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AUTOETNOGRAFÍA CLÍNICA DE UN SUJETO POLITRÓPICO CONECTIVO</w:t>
      </w:r>
    </w:p>
    <w:p>
      <w:pPr>
        <w:pStyle w:val="BodyText"/>
      </w:pPr>
      <w:r>
        <w:rPr>
          <w:bCs/>
          <w:b/>
        </w:rPr>
        <w:t xml:space="preserve">Propuesta de modelo integrativo antropológico-cognitivo de la neurodivergencia</w:t>
      </w:r>
    </w:p>
    <w:p>
      <w:pPr>
        <w:pStyle w:val="BodyText"/>
      </w:pPr>
      <w:r>
        <w:rPr>
          <w:iCs/>
          <w:i/>
        </w:rPr>
        <w:t xml:space="preserve">Procesamiento cognitivo, entorno y función evolutiva</w:t>
      </w:r>
    </w:p>
    <w:p>
      <w:pPr>
        <w:pStyle w:val="BodyText"/>
      </w:pPr>
      <w:r>
        <w:rPr>
          <w:bCs/>
          <w:b/>
        </w:rPr>
        <w:t xml:space="preserve">Raúl Jiménez Solaz</w:t>
      </w:r>
    </w:p>
    <w:p>
      <w:pPr>
        <w:pStyle w:val="BodyText"/>
      </w:pPr>
      <w:r>
        <w:t xml:space="preserve">Abril de 2026</w:t>
      </w:r>
    </w:p>
    <w:p>
      <w:pPr>
        <w:pStyle w:val="BodyText"/>
      </w:pPr>
      <w:r>
        <w:rPr>
          <w:iCs/>
          <w:i/>
        </w:rPr>
        <w:t xml:space="preserve">Autoetnografía clínica con propuesta teórica integradora</w:t>
      </w:r>
    </w:p>
    <w:p>
      <w:pPr>
        <w:pStyle w:val="BodyText"/>
      </w:pPr>
      <w:r>
        <w:rPr>
          <w:iCs/>
          <w:i/>
        </w:rPr>
        <w:t xml:space="preserve">Este documento constituye una exploración en primera persona desde la experiencia vivida del TDAH y el pensamiento arbóreo conectivo. No pretende sustituir la investigación empírica, sino generar hipótesis desde un lugar epistemológico que la observación externa no puede ocupar.</w:t>
      </w:r>
    </w:p>
    <w:bookmarkStart w:id="20" w:name="agradecimientos"/>
    <w:p>
      <w:pPr>
        <w:pStyle w:val="Heading1"/>
      </w:pPr>
      <w:r>
        <w:rPr>
          <w:bCs/>
          <w:b/>
        </w:rPr>
        <w:t xml:space="preserve">Agradecimientos</w:t>
      </w:r>
    </w:p>
    <w:p>
      <w:pPr>
        <w:pStyle w:val="FirstParagraph"/>
      </w:pPr>
      <w:r>
        <w:t xml:space="preserve">A Elvira, mi compañera de piso, cuya lectura crítica y honesta del documento original me obligó a cuestionar qué estaba haciendo realmente. Sin su reflexión, habría seguido presentando este trabajo como un intento de método científico teórico en lugar de reconocer lo que verdaderamente era desde el principio: una autoetnografía clínica. Esa reorientación no fue un retroceso, sino el paso que convirtió la debilidad metodológica del documento en su mayor fortaleza epistemológica.</w:t>
      </w:r>
    </w:p>
    <w:bookmarkEnd w:id="20"/>
    <w:bookmarkStart w:id="21" w:name="resumen"/>
    <w:p>
      <w:pPr>
        <w:pStyle w:val="Heading1"/>
      </w:pPr>
      <w:r>
        <w:rPr>
          <w:bCs/>
          <w:b/>
        </w:rPr>
        <w:t xml:space="preserve">Resumen</w:t>
      </w:r>
    </w:p>
    <w:p>
      <w:pPr>
        <w:pStyle w:val="FirstParagraph"/>
      </w:pPr>
      <w:r>
        <w:t xml:space="preserve">Este documento es una autoetnografía clínica: una investigación cualitativa en primera persona realizada por un sujeto con perfil politrópico conectivo (TDAH diagnosticado y pensamiento arbóreo conectivo observado pero no evaluado formalmente). El autor, tras décadas de autoobservación inconsciente orientada a comprender y replicar el comportamiento neurotípico, integra su experiencia vivida con literatura clínica y antropológica para proponer un modelo teórico de la neurodivergencia.</w:t>
      </w:r>
    </w:p>
    <w:p>
      <w:pPr>
        <w:pStyle w:val="BodyText"/>
      </w:pPr>
      <w:r>
        <w:t xml:space="preserve">La autoetnografía es una metodología cualitativa reconocida en ciencias sociales (Ellis, Adams y Bochner, 2011) que utiliza la experiencia personal del investigador como dato primario. En el contexto de la neurodivergencia, esta perspectiva aporta un valor epistemológico específico: el acceso directo a la fenomenología del procesamiento cognitivo divergente, un territorio al que la observación externa tiene acceso limitado. Como argumenta Milton (2012) con el problema de la doble empatía, la comprensión de la experiencia neurodivergente está estructuralmente limitada cuando se realiza exclusivamente desde marcos neurotípicos.</w:t>
      </w:r>
    </w:p>
    <w:p>
      <w:pPr>
        <w:pStyle w:val="BodyText"/>
      </w:pPr>
      <w:r>
        <w:t xml:space="preserve">El modelo se articula en torno a tres ejes: (1) la reinterpretación del TDAH y el autismo como configuraciones de procesamiento dependientes del entorno, no como déficits; (2) la hipótesis de que estas configuraciones cumplieron funciones adaptativas en contextos evolutivos; y (3) una representación bidimensional (Cruz de Conectividad) que organiza los perfiles cognitivos sin jerarquizarlos.</w:t>
      </w:r>
    </w:p>
    <w:p>
      <w:pPr>
        <w:pStyle w:val="BodyText"/>
      </w:pPr>
      <w:r>
        <w:rPr>
          <w:iCs/>
          <w:i/>
        </w:rPr>
        <w:t xml:space="preserve">Se trata de un modelo generador de hipótesis, no de una teoría demostrada. Su valor reside en la perspectiva en primera persona y en la integración de dominios que la investigación convencional suele tratar por separado. Las hipótesis aquí propuestas requieren contrastación empírica posterior.</w:t>
      </w:r>
    </w:p>
    <w:p>
      <w:pPr>
        <w:pStyle w:val="BodyText"/>
      </w:pPr>
      <w:r>
        <w:rPr>
          <w:bCs/>
          <w:b/>
        </w:rPr>
        <w:t xml:space="preserve">Palabras clave:</w:t>
      </w:r>
      <w:r>
        <w:t xml:space="preserve"> </w:t>
      </w:r>
      <w:r>
        <w:rPr>
          <w:iCs/>
          <w:i/>
        </w:rPr>
        <w:t xml:space="preserve">TDAH, autismo, neurodivergencia, autoetnografía, pensamiento arbóreo, politropismo, monotropismo, función evolutiva, procesamiento atencional, disfunción ejecutiva.</w:t>
      </w:r>
    </w:p>
    <w:bookmarkEnd w:id="21"/>
    <w:bookmarkStart w:id="23" w:name="Xc80da3d853c8dc2cae16d5d6d717cbdc6e382c7"/>
    <w:p>
      <w:pPr>
        <w:pStyle w:val="Heading1"/>
      </w:pPr>
      <w:r>
        <w:rPr>
          <w:bCs/>
          <w:b/>
        </w:rPr>
        <w:t xml:space="preserve">1. Introducción: el observador dentro del sistema</w:t>
      </w:r>
    </w:p>
    <w:p>
      <w:pPr>
        <w:pStyle w:val="FirstParagraph"/>
      </w:pPr>
      <w:r>
        <w:t xml:space="preserve">La conceptualización dominante del TDAH en la literatura clínica lo describe como un trastorno del neurodesarrollo caracterizado por inatención, hiperactividad e impulsividad, con impacto funcional en múltiples contextos vitales (Antshel y Barkley, 2020). Esta formulación resulta útil para la evaluación diagnóstica y la intervención, pero deja sin responder una pregunta fundamental:</w:t>
      </w:r>
      <w:r>
        <w:t xml:space="preserve"> </w:t>
      </w:r>
      <w:r>
        <w:rPr>
          <w:bCs/>
          <w:b/>
        </w:rPr>
        <w:t xml:space="preserve">por qué un perfil cognitivo con costes tan evidentes en contextos estructurados se mantiene con tanta persistencia en la población.</w:t>
      </w:r>
    </w:p>
    <w:p>
      <w:pPr>
        <w:pStyle w:val="BodyText"/>
      </w:pPr>
      <w:r>
        <w:t xml:space="preserve">De forma análoga, el espectro autista se define por diferencias en comunicación social e intereses restringidos, pero esta descripción sintomática no aborda la función que estos patrones de procesamiento pudieron haber cumplido en la historia evolutiva de la especie.</w:t>
      </w:r>
    </w:p>
    <w:bookmarkStart w:id="22" w:name="Xee926554ca09ac4f798042dcefc19a055a83d40"/>
    <w:p>
      <w:pPr>
        <w:pStyle w:val="Heading2"/>
      </w:pPr>
      <w:r>
        <w:rPr>
          <w:bCs/>
          <w:b/>
        </w:rPr>
        <w:t xml:space="preserve">El nudo gordiano del conocimiento sesgado</w:t>
      </w:r>
    </w:p>
    <w:p>
      <w:pPr>
        <w:pStyle w:val="FirstParagraph"/>
      </w:pPr>
      <w:r>
        <w:t xml:space="preserve">El estudio de la neurodivergencia arrastra un problema epistemológico de fondo que este documento no puede ignorar:</w:t>
      </w:r>
      <w:r>
        <w:t xml:space="preserve"> </w:t>
      </w:r>
      <w:r>
        <w:rPr>
          <w:bCs/>
          <w:b/>
        </w:rPr>
        <w:t xml:space="preserve">décadas de investigación construidas sobre premisas capacitistas han producido un cuerpo de conocimiento parcialmente contaminado en su origen.</w:t>
      </w:r>
      <w:r>
        <w:t xml:space="preserve"> </w:t>
      </w:r>
      <w:r>
        <w:t xml:space="preserve">Durante generaciones, las personas con TDAH fueron catalogadas como deficitarias, retrasadas o simplemente problemáticas. Se las apartaba, se las medicaba sin comprensión, o directamente no se las diagnosticaba. Los estudios que se realizaron partían, en muchos casos, de una premisa no cuestionada: que el procesamiento neurotípico era el estándar correcto y todo lo demás era desviación patológica.</w:t>
      </w:r>
    </w:p>
    <w:p>
      <w:pPr>
        <w:pStyle w:val="BodyText"/>
      </w:pPr>
      <w:r>
        <w:t xml:space="preserve">Este sesgo de base genera lo que podríamos llamar un</w:t>
      </w:r>
      <w:r>
        <w:t xml:space="preserve"> </w:t>
      </w:r>
      <w:r>
        <w:rPr>
          <w:bCs/>
          <w:b/>
        </w:rPr>
        <w:t xml:space="preserve">nudo gordiano epistemológico</w:t>
      </w:r>
      <w:r>
        <w:t xml:space="preserve">: no podemos fiarnos completamente de lo que creemos saber, porque parte del conocimiento existente fue producido dentro de un marco que asumía como verdad lo que en realidad era un juicio de valor. Intentar deshacer ese nudo tirando de los mismos hilos — es decir, utilizando exclusivamente la metodología y los supuestos que lo crearon — puede resultar insuficiente.</w:t>
      </w:r>
    </w:p>
    <w:p>
      <w:pPr>
        <w:pStyle w:val="BodyText"/>
      </w:pPr>
      <w:r>
        <w:t xml:space="preserve">La propuesta de este documento es, en cierto sentido, un intento de</w:t>
      </w:r>
      <w:r>
        <w:t xml:space="preserve"> </w:t>
      </w:r>
      <w:r>
        <w:rPr>
          <w:bCs/>
          <w:b/>
        </w:rPr>
        <w:t xml:space="preserve">cortar ese nudo por un lugar diferente</w:t>
      </w:r>
      <w:r>
        <w:t xml:space="preserve">: partir de la experiencia vivida, del procesamiento en primera persona, y desde ahí construir hipótesis. Este enfoque puede parecer heterodoxo, y sin duda lleva a ramas que desde la perspectiva convencional parecen equivocadas o excesivamente especulativas. Sin embargo, cuando las conclusiones alcanzadas por esta vía convergen con los hallazgos de la investigación empírica reciente — como ocurre con la función evolutiva de la neurodivergencia, la crítica al modelo de déficit, o la hiperconectividad diferencial —, esa convergencia aporta validez bidireccional:</w:t>
      </w:r>
      <w:r>
        <w:t xml:space="preserve"> </w:t>
      </w:r>
      <w:r>
        <w:rPr>
          <w:bCs/>
          <w:b/>
        </w:rPr>
        <w:t xml:space="preserve">si partiendo de una base epistemológica distinta se llega a los mismos resultados, el patrón subyacente es más robusto que cualquiera de las dos vías por separado.</w:t>
      </w:r>
    </w:p>
    <w:p>
      <w:pPr>
        <w:pStyle w:val="BodyText"/>
      </w:pPr>
      <w:r>
        <w:t xml:space="preserve">Este documento nace de una circunstancia epistemológica particular: el autor es un sujeto diagnosticado con TDAH y con un patrón de pensamiento arbóreo conectivo compatible con el perfil politrópico del modelo, aunque sin evaluación formal de altas capacidades que, antes de conocer su diagnóstico, dedicó años a observar y sistematizar las diferencias entre su procesamiento cognitivo y el de su entorno. Lo que comenzó como un esfuerzo de adaptación — aprender a imitar el comportamiento neurotípico para funcionar socialmente — se convirtió, con el diagnóstico, en un ejercicio de autoobservación con marco clínico.</w:t>
      </w:r>
    </w:p>
    <w:p>
      <w:pPr>
        <w:pStyle w:val="BodyText"/>
      </w:pPr>
      <w:r>
        <w:t xml:space="preserve">La propuesta central es que tanto el TDAH como el autismo pueden entenderse como especializaciones cognitivas cuyo rendimiento depende del entorno. El TDAH representa un patrón de procesamiento orientado a la novedad, la recompensa inmediata y la acción rápida. El autismo representa un patrón orientado a la profundidad, la precisión y la comprensión sistémica.</w:t>
      </w:r>
    </w:p>
    <w:p>
      <w:pPr>
        <w:pStyle w:val="BodyText"/>
      </w:pPr>
      <w:r>
        <w:t xml:space="preserve">Esta perspectiva no es nueva en la literatura — investigadores como Hartmann (1993, 2015), Murray, Lesser y Lawson (2005) y Milton (2012) han propuesto marcos similares. Lo que este documento aporta es la integración de estos marcos con la experiencia fenomenológica directa de un sujeto neurodivergente, siguiendo la tradición autoetnográfica en investigación cualitativa.</w:t>
      </w:r>
    </w:p>
    <w:p>
      <w:pPr>
        <w:pStyle w:val="BodyText"/>
      </w:pPr>
      <w:r>
        <w:rPr>
          <w:iCs/>
          <w:i/>
        </w:rPr>
        <w:t xml:space="preserve">→ Véase Sección 1.1 (Marco metodológico) para la fundamentación del enfoque autoetnográfico.</w:t>
      </w:r>
    </w:p>
    <w:p>
      <w:pPr>
        <w:pStyle w:val="BodyText"/>
      </w:pPr>
      <w:r>
        <w:rPr>
          <w:iCs/>
          <w:i/>
        </w:rPr>
        <w:t xml:space="preserve">→ Véase Sección 3 (Hipótesis estructural) para el modelo de cruz bidimensional que formaliza esta distinción.</w:t>
      </w:r>
    </w:p>
    <w:bookmarkEnd w:id="22"/>
    <w:bookmarkEnd w:id="23"/>
    <w:bookmarkStart w:id="27" w:name="Xbe110de2e1593ba9a5af12942cee7b4ed1517a0"/>
    <w:p>
      <w:pPr>
        <w:pStyle w:val="Heading1"/>
      </w:pPr>
      <w:r>
        <w:rPr>
          <w:bCs/>
          <w:b/>
        </w:rPr>
        <w:t xml:space="preserve">1.1. Marco metodológico: la autoetnografía clínica</w:t>
      </w:r>
    </w:p>
    <w:bookmarkStart w:id="24" w:name="fundamento-del-enfoque"/>
    <w:p>
      <w:pPr>
        <w:pStyle w:val="Heading2"/>
      </w:pPr>
      <w:r>
        <w:rPr>
          <w:bCs/>
          <w:b/>
        </w:rPr>
        <w:t xml:space="preserve">Fundamento del enfoque</w:t>
      </w:r>
    </w:p>
    <w:p>
      <w:pPr>
        <w:pStyle w:val="FirstParagraph"/>
      </w:pPr>
      <w:r>
        <w:t xml:space="preserve">La autoetnografía es una metodología de investigación cualitativa reconocida en ciencias sociales que utiliza la experiencia personal del investigador como dato primario para comprender fenómenos culturales y sociales más amplios (Ellis, Adams y Bochner, 2011). A diferencia de la autobiografía, la autoetnografía conecta lo personal con lo teórico, lo individual con lo estructural.</w:t>
      </w:r>
    </w:p>
    <w:p>
      <w:pPr>
        <w:pStyle w:val="BodyText"/>
      </w:pPr>
      <w:r>
        <w:t xml:space="preserve">En el estudio de la neurodivergencia, este enfoque tiene un valor epistemológico específico:</w:t>
      </w:r>
    </w:p>
    <w:p>
      <w:pPr>
        <w:numPr>
          <w:ilvl w:val="0"/>
          <w:numId w:val="1001"/>
        </w:numPr>
      </w:pPr>
      <w:r>
        <w:rPr>
          <w:bCs/>
          <w:b/>
        </w:rPr>
        <w:t xml:space="preserve">Acceso fenomenológico directo</w:t>
      </w:r>
      <w:r>
        <w:t xml:space="preserve">: el sujeto neurodivergente puede describir la experiencia interna del procesamiento cognitivo divergente de maneras que la observación conductual externa no captura.</w:t>
      </w:r>
    </w:p>
    <w:p>
      <w:pPr>
        <w:numPr>
          <w:ilvl w:val="0"/>
          <w:numId w:val="1001"/>
        </w:numPr>
      </w:pPr>
      <w:r>
        <w:rPr>
          <w:bCs/>
          <w:b/>
        </w:rPr>
        <w:t xml:space="preserve">El problema de la doble empatía</w:t>
      </w:r>
      <w:r>
        <w:t xml:space="preserve"> </w:t>
      </w:r>
      <w:r>
        <w:t xml:space="preserve">(Milton, 2012): la comprensión de la experiencia neurodivergente está estructuralmente limitada cuando se realiza exclusivamente desde marcos neurotípicos. Un investigador neurodivergente no tiene esta barrera.</w:t>
      </w:r>
    </w:p>
    <w:p>
      <w:pPr>
        <w:numPr>
          <w:ilvl w:val="0"/>
          <w:numId w:val="1001"/>
        </w:numPr>
      </w:pPr>
      <w:r>
        <w:rPr>
          <w:bCs/>
          <w:b/>
        </w:rPr>
        <w:t xml:space="preserve">Precedente académico</w:t>
      </w:r>
      <w:r>
        <w:t xml:space="preserve">: existe una tradición creciente de investigadores autistas y con TDAH que producen investigación desde la perspectiva en primera persona (Yergeau, 2018; Kapp, 2020).</w:t>
      </w:r>
    </w:p>
    <w:bookmarkEnd w:id="24"/>
    <w:bookmarkStart w:id="25" w:name="posición-del-autor"/>
    <w:p>
      <w:pPr>
        <w:pStyle w:val="Heading2"/>
      </w:pPr>
      <w:r>
        <w:rPr>
          <w:bCs/>
          <w:b/>
        </w:rPr>
        <w:t xml:space="preserve">Posición del autor</w:t>
      </w:r>
    </w:p>
    <w:p>
      <w:pPr>
        <w:pStyle w:val="FirstParagraph"/>
      </w:pPr>
      <w:r>
        <w:t xml:space="preserve">El autor de este documento es un varón adulto diagnosticado con TDAH, con un patrón de pensamiento arbóreo conectivo autoobservado. No dispone de evaluación formal de altas capacidades ni la considera metodológicamente fiable para capturar este tipo de procesamiento. La autoobservación que fundamenta este trabajo no comenzó como investigación, sino como un mecanismo de supervivencia social: la necesidad de comprender por qué su procesamiento cognitivo difería del de su entorno y de aprender a replicar conductas neurotípicas. El diagnóstico proporcionó el marco clínico que transformó esta observación implícita en hipótesis formulables.</w:t>
      </w:r>
    </w:p>
    <w:p>
      <w:pPr>
        <w:pStyle w:val="BodyText"/>
      </w:pPr>
      <w:r>
        <w:t xml:space="preserve">La trayectoria vital del autor constituye en sí misma un dato autoetnográfico relevante para el modelo. De pequeño fue adelantado un curso escolar, del que fue retirado por motivos personales y no intelectuales. A lo largo de su vida ha explorado de manera autodidacta y profesional un número inusualmente alto de dominios: psicología, filosofía, informática, inteligencia artificial, sociología, educación infantil, programación web (incluyendo COBOL), creación de contenido digital (streamer, youtuber, editor de vídeo, guionista), humor, realización audiovisual, doblaje, actuación en cortometrajes, y administración de empresas. En esta última, la macroeconomía le resultaba fascinante mientras que la microeconomía le resultaba insoportable — un patrón coherente con el procesamiento politrópico conectivo:</w:t>
      </w:r>
      <w:r>
        <w:t xml:space="preserve"> </w:t>
      </w:r>
      <w:r>
        <w:rPr>
          <w:bCs/>
          <w:b/>
        </w:rPr>
        <w:t xml:space="preserve">preferencia por sistemas grandes e interconectados frente a unidades aisladas y detallistas.</w:t>
      </w:r>
    </w:p>
    <w:p>
      <w:pPr>
        <w:pStyle w:val="BodyText"/>
      </w:pPr>
      <w:r>
        <w:t xml:space="preserve">Fue también monitor de ocio y tiempo libre, lo que implica una capacidad de conexión social que contradice la narrativa del TDAH como déficit relacional. La constante en todas estas actividades no fue la formación reglada — muchas fueron ejercidas sin titulación formal — sino la pulsión de comprender:</w:t>
      </w:r>
      <w:r>
        <w:t xml:space="preserve"> </w:t>
      </w:r>
      <w:r>
        <w:t xml:space="preserve">“</w:t>
      </w:r>
      <w:r>
        <w:t xml:space="preserve">quiero entender esto.</w:t>
      </w:r>
      <w:r>
        <w:t xml:space="preserve">”</w:t>
      </w:r>
      <w:r>
        <w:t xml:space="preserve"> </w:t>
      </w:r>
      <w:r>
        <w:t xml:space="preserve">Esa motivación epistemológica, aplicada simultáneamente a dominios inconexos, es exactamente lo que el modelo describe como</w:t>
      </w:r>
      <w:r>
        <w:t xml:space="preserve"> </w:t>
      </w:r>
      <w:r>
        <w:rPr>
          <w:bCs/>
          <w:b/>
        </w:rPr>
        <w:t xml:space="preserve">atención simultánea conectiva</w:t>
      </w:r>
      <w:r>
        <w:t xml:space="preserve">: la incapacidad de permanecer en un solo dominio no como déficit, sino como arquitectura cognitiva orientada a la conexión lateral entre campos.</w:t>
      </w:r>
    </w:p>
    <w:p>
      <w:pPr>
        <w:pStyle w:val="BodyText"/>
      </w:pPr>
      <w:r>
        <w:t xml:space="preserve">Este perfil multidisciplinar, lejos de ser un curriculum desordenado, es el rastro conductual que deja un cerebro politrópico conectivo funcionando en un entorno que premia la especialización lineal.</w:t>
      </w:r>
    </w:p>
    <w:p>
      <w:pPr>
        <w:pStyle w:val="BodyText"/>
      </w:pPr>
      <w:r>
        <w:t xml:space="preserve">De hecho, este documento es en sí mismo la prueba más elocuente del perfil que describe. Un sujeto que ha explorado decenas de dominios inconexos a lo largo de su vida y que, al recibir el diagnóstico de TDAH, siente la pulsión inmediata de</w:t>
      </w:r>
      <w:r>
        <w:t xml:space="preserve"> </w:t>
      </w:r>
      <w:r>
        <w:rPr>
          <w:bCs/>
          <w:b/>
        </w:rPr>
        <w:t xml:space="preserve">conectarlo todo</w:t>
      </w:r>
      <w:r>
        <w:t xml:space="preserve"> </w:t>
      </w:r>
      <w:r>
        <w:t xml:space="preserve">— de construir un modelo que integre psicología, antropología, filosofía, neurociencia y experiencia personal en una única estructura coherente — está ejecutando en tiempo real exactamente lo que el modelo predice: atención simultánea conectiva aplicada a la propia identidad. Este documento no solo describe el procesamiento politrópico conectivo;</w:t>
      </w:r>
      <w:r>
        <w:t xml:space="preserve"> </w:t>
      </w:r>
      <w:r>
        <w:rPr>
          <w:bCs/>
          <w:b/>
        </w:rPr>
        <w:t xml:space="preserve">es</w:t>
      </w:r>
      <w:r>
        <w:t xml:space="preserve"> </w:t>
      </w:r>
      <w:r>
        <w:t xml:space="preserve">procesamiento politrópico conectivo.</w:t>
      </w:r>
    </w:p>
    <w:p>
      <w:pPr>
        <w:pStyle w:val="BodyText"/>
      </w:pPr>
      <w:r>
        <w:t xml:space="preserve">Esto constituye, en la práctica, un estudio de caso N=1 con la particularidad de que el investigador y el sujeto son la misma persona. Las limitaciones de esta posición son evidentes — subjetividad, ausencia de grupo de control, imposibilidad de generalización directa — pero también lo es su fortaleza:</w:t>
      </w:r>
      <w:r>
        <w:t xml:space="preserve"> </w:t>
      </w:r>
      <w:r>
        <w:rPr>
          <w:bCs/>
          <w:b/>
        </w:rPr>
        <w:t xml:space="preserve">la perspectiva desde dentro del sistema no es replicable externamente</w:t>
      </w:r>
      <w:r>
        <w:t xml:space="preserve">.</w:t>
      </w:r>
    </w:p>
    <w:bookmarkEnd w:id="25"/>
    <w:bookmarkStart w:id="26" w:name="alcance-y-limitaciones"/>
    <w:p>
      <w:pPr>
        <w:pStyle w:val="Heading2"/>
      </w:pPr>
      <w:r>
        <w:rPr>
          <w:bCs/>
          <w:b/>
        </w:rPr>
        <w:t xml:space="preserve">Alcance y limitaciones</w:t>
      </w:r>
    </w:p>
    <w:p>
      <w:pPr>
        <w:pStyle w:val="FirstParagraph"/>
      </w:pPr>
      <w:r>
        <w:t xml:space="preserve">Este documento no pretende: - Sustituir la investigación empírica con muestras amplias - Presentar sus hipótesis como teorías demostradas - Invalidar los marcos diagnósticos existentes</w:t>
      </w:r>
    </w:p>
    <w:p>
      <w:pPr>
        <w:pStyle w:val="BodyText"/>
      </w:pPr>
      <w:r>
        <w:t xml:space="preserve">Sí pretende: - Generar hipótesis que puedan ser contrastadas empíricamente - Ofrecer una síntesis integradora entre dominios que la investigación convencional trata por separado (clínica, antropología, fenomenología) - Aportar la perspectiva en primera persona como dato complementario al conocimiento existente</w:t>
      </w:r>
    </w:p>
    <w:p>
      <w:pPr>
        <w:pStyle w:val="BodyText"/>
      </w:pPr>
      <w:r>
        <w:rPr>
          <w:iCs/>
          <w:i/>
        </w:rPr>
        <w:t xml:space="preserve">→ Véase Sección 18 (Limitaciones del modelo) para una discusión detallada de las restricciones del enfoque.</w:t>
      </w:r>
    </w:p>
    <w:bookmarkEnd w:id="26"/>
    <w:bookmarkEnd w:id="27"/>
    <w:bookmarkStart w:id="30" w:name="X73158136142ff8312196857fbb99ccd1fe44eca"/>
    <w:p>
      <w:pPr>
        <w:pStyle w:val="Heading1"/>
      </w:pPr>
      <w:r>
        <w:rPr>
          <w:bCs/>
          <w:b/>
        </w:rPr>
        <w:t xml:space="preserve">2. Marco conceptual: conectivos y especialistas</w:t>
      </w:r>
    </w:p>
    <w:p>
      <w:pPr>
        <w:pStyle w:val="FirstParagraph"/>
      </w:pPr>
      <w:r>
        <w:t xml:space="preserve">El modelo distingue entre perfiles conectivos y especialistas como formas complementarias de procesar la información. Esta distinción se aplica tanto al TDAH como al autismo y constituye uno de los pilares del modelo.</w:t>
      </w:r>
    </w:p>
    <w:bookmarkStart w:id="28" w:name="perfil-conectivo"/>
    <w:p>
      <w:pPr>
        <w:pStyle w:val="Heading2"/>
      </w:pPr>
      <w:r>
        <w:rPr>
          <w:bCs/>
          <w:b/>
        </w:rPr>
        <w:t xml:space="preserve">2.1. Perfil conectivo</w:t>
      </w:r>
    </w:p>
    <w:p>
      <w:pPr>
        <w:numPr>
          <w:ilvl w:val="0"/>
          <w:numId w:val="1002"/>
        </w:numPr>
      </w:pPr>
      <w:r>
        <w:t xml:space="preserve">Conecta dominios distantes de información</w:t>
      </w:r>
    </w:p>
    <w:p>
      <w:pPr>
        <w:numPr>
          <w:ilvl w:val="0"/>
          <w:numId w:val="1002"/>
        </w:numPr>
      </w:pPr>
      <w:r>
        <w:t xml:space="preserve">Tolera el cambio y la ambigüedad</w:t>
      </w:r>
    </w:p>
    <w:p>
      <w:pPr>
        <w:numPr>
          <w:ilvl w:val="0"/>
          <w:numId w:val="1002"/>
        </w:numPr>
      </w:pPr>
      <w:r>
        <w:t xml:space="preserve">Genera hipótesis nuevas mediante asociación lateral</w:t>
      </w:r>
    </w:p>
    <w:p>
      <w:pPr>
        <w:numPr>
          <w:ilvl w:val="0"/>
          <w:numId w:val="1002"/>
        </w:numPr>
      </w:pPr>
      <w:r>
        <w:t xml:space="preserve">Funciona mejor en entornos dinámicos e impredecibles</w:t>
      </w:r>
    </w:p>
    <w:bookmarkEnd w:id="28"/>
    <w:bookmarkStart w:id="29" w:name="perfil-especialista"/>
    <w:p>
      <w:pPr>
        <w:pStyle w:val="Heading2"/>
      </w:pPr>
      <w:r>
        <w:rPr>
          <w:bCs/>
          <w:b/>
        </w:rPr>
        <w:t xml:space="preserve">2.2. Perfil especialista</w:t>
      </w:r>
    </w:p>
    <w:p>
      <w:pPr>
        <w:numPr>
          <w:ilvl w:val="0"/>
          <w:numId w:val="1003"/>
        </w:numPr>
      </w:pPr>
      <w:r>
        <w:t xml:space="preserve">Profundiza en un dominio específico con alta precisión</w:t>
      </w:r>
    </w:p>
    <w:p>
      <w:pPr>
        <w:numPr>
          <w:ilvl w:val="0"/>
          <w:numId w:val="1003"/>
        </w:numPr>
      </w:pPr>
      <w:r>
        <w:t xml:space="preserve">Estabiliza y optimiza sistemas complejos</w:t>
      </w:r>
    </w:p>
    <w:p>
      <w:pPr>
        <w:numPr>
          <w:ilvl w:val="0"/>
          <w:numId w:val="1003"/>
        </w:numPr>
      </w:pPr>
      <w:r>
        <w:t xml:space="preserve">Funciona mejor en entornos estructurados y predecibles</w:t>
      </w:r>
    </w:p>
    <w:p>
      <w:pPr>
        <w:numPr>
          <w:ilvl w:val="0"/>
          <w:numId w:val="1003"/>
        </w:numPr>
      </w:pPr>
      <w:r>
        <w:t xml:space="preserve">Detecta patrones sutiles que otros perfiles pasan por alto</w:t>
      </w:r>
    </w:p>
    <w:p>
      <w:pPr>
        <w:pStyle w:val="FirstParagraph"/>
      </w:pPr>
      <w:r>
        <w:rPr>
          <w:bCs/>
          <w:b/>
        </w:rPr>
        <w:t xml:space="preserve">No existe jerarquía entre ambos perfiles.</w:t>
      </w:r>
      <w:r>
        <w:t xml:space="preserve">** **Representan funciones distintas, no niveles de capacidad. Un conectivo no es</w:t>
      </w:r>
      <w:r>
        <w:t xml:space="preserve"> </w:t>
      </w:r>
      <w:r>
        <w:t xml:space="preserve">“</w:t>
      </w:r>
      <w:r>
        <w:t xml:space="preserve">más inteligente</w:t>
      </w:r>
      <w:r>
        <w:t xml:space="preserve">”</w:t>
      </w:r>
      <w:r>
        <w:t xml:space="preserve"> </w:t>
      </w:r>
      <w:r>
        <w:t xml:space="preserve">que un especialista ni viceversa; simplemente organizan la información de manera diferente.</w:t>
      </w:r>
    </w:p>
    <w:p>
      <w:pPr>
        <w:pStyle w:val="BodyText"/>
      </w:pPr>
      <w:r>
        <w:rPr>
          <w:iCs/>
          <w:i/>
        </w:rPr>
        <w:t xml:space="preserve">→ Véase Sección 8 (Redefinición de las Altas Capacidades) para la crítica al concepto de AACC como jerarquía.</w:t>
      </w:r>
    </w:p>
    <w:bookmarkEnd w:id="29"/>
    <w:bookmarkEnd w:id="30"/>
    <w:bookmarkStart w:id="31" w:name="X975f16591d562a9d7b0e2a6e0bf345edfbc6b9e"/>
    <w:p>
      <w:pPr>
        <w:pStyle w:val="Heading1"/>
      </w:pPr>
      <w:r>
        <w:rPr>
          <w:bCs/>
          <w:b/>
        </w:rPr>
        <w:t xml:space="preserve">3. Hipótesis estructural: la Cruz de Conectividad</w:t>
      </w:r>
    </w:p>
    <w:p>
      <w:pPr>
        <w:pStyle w:val="FirstParagraph"/>
      </w:pPr>
      <w:r>
        <w:t xml:space="preserve">El núcleo del modelo es una</w:t>
      </w:r>
      <w:r>
        <w:t xml:space="preserve"> </w:t>
      </w:r>
      <w:r>
        <w:rPr>
          <w:bCs/>
          <w:b/>
        </w:rPr>
        <w:t xml:space="preserve">representación bidimensional en forma de cruz</w:t>
      </w:r>
      <w:r>
        <w:t xml:space="preserve">** **que organiza los perfiles neurocognitivos según dos ejes:</w:t>
      </w:r>
    </w:p>
    <w:p>
      <w:pPr>
        <w:numPr>
          <w:ilvl w:val="0"/>
          <w:numId w:val="1004"/>
        </w:numPr>
      </w:pPr>
      <w:r>
        <w:rPr>
          <w:bCs/>
          <w:b/>
        </w:rPr>
        <w:t xml:space="preserve">Eje horizontal (X) — Politropismo (TDAH):</w:t>
      </w:r>
      <w:r>
        <w:t xml:space="preserve">** **procesamiento distribuido, expansión, conexión.</w:t>
      </w:r>
    </w:p>
    <w:p>
      <w:pPr>
        <w:numPr>
          <w:ilvl w:val="0"/>
          <w:numId w:val="1004"/>
        </w:numPr>
      </w:pPr>
      <w:r>
        <w:rPr>
          <w:bCs/>
          <w:b/>
        </w:rPr>
        <w:t xml:space="preserve">Eje vertical (Y) — Monotropismo (Autismo):</w:t>
      </w:r>
      <w:r>
        <w:t xml:space="preserve">** **procesamiento concentrado, profundidad, sistema.</w:t>
      </w:r>
    </w:p>
    <w:p>
      <w:pPr>
        <w:numPr>
          <w:ilvl w:val="0"/>
          <w:numId w:val="1004"/>
        </w:numPr>
      </w:pPr>
      <w:r>
        <w:rPr>
          <w:bCs/>
          <w:b/>
        </w:rPr>
        <w:t xml:space="preserve">Centro (0,0) — Neurotípico:</w:t>
      </w:r>
      <w:r>
        <w:t xml:space="preserve">** **atención normativa y ejecución eficiente.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ARRIBA</w:t>
            </w:r>
          </w:p>
        </w:tc>
        <w:tc>
          <w:tcPr/>
          <w:p>
            <w:pPr>
              <w:pStyle w:val="Compact"/>
            </w:pPr>
          </w:p>
        </w:tc>
        <w:tc>
          <w:tcPr/>
          <w:p>
            <w:pPr>
              <w:pStyle w:val="Compact"/>
            </w:pPr>
          </w:p>
        </w:tc>
      </w:tr>
      <w:tr>
        <w:tc>
          <w:tcPr/>
          <w:p>
            <w:pPr>
              <w:pStyle w:val="Compact"/>
            </w:pPr>
          </w:p>
        </w:tc>
        <w:tc>
          <w:tcPr/>
          <w:p>
            <w:pPr>
              <w:pStyle w:val="Compact"/>
              <w:jc w:val="left"/>
            </w:pPr>
            <w:r>
              <w:rPr>
                <w:bCs/>
                <w:b/>
              </w:rPr>
              <w:t xml:space="preserve">Autista Conectivo</w:t>
            </w:r>
            <w:r>
              <w:t xml:space="preserve"> </w:t>
            </w:r>
            <w:r>
              <w:t xml:space="preserve">Disfunción ejecutiva por atención monotrópica sistémica</w:t>
            </w:r>
          </w:p>
        </w:tc>
        <w:tc>
          <w:tcPr/>
          <w:p>
            <w:pPr>
              <w:pStyle w:val="Compact"/>
            </w:pPr>
          </w:p>
        </w:tc>
        <w:tc>
          <w:tcPr/>
          <w:p>
            <w:pPr>
              <w:pStyle w:val="Compact"/>
            </w:pPr>
          </w:p>
        </w:tc>
      </w:tr>
      <w:tr>
        <w:tc>
          <w:tcPr/>
          <w:p>
            <w:pPr>
              <w:pStyle w:val="Compact"/>
              <w:jc w:val="left"/>
            </w:pPr>
            <w:r>
              <w:rPr>
                <w:bCs/>
                <w:b/>
              </w:rPr>
              <w:t xml:space="preserve">IZQUIERDA TDAH Especialista</w:t>
            </w:r>
            <w:r>
              <w:t xml:space="preserve"> </w:t>
            </w:r>
            <w:r>
              <w:t xml:space="preserve">Disfunción ejecutiva por exceso de atención simultánea de búsqueda</w:t>
            </w:r>
          </w:p>
        </w:tc>
        <w:tc>
          <w:tcPr/>
          <w:p>
            <w:pPr>
              <w:pStyle w:val="Compact"/>
              <w:jc w:val="left"/>
            </w:pPr>
            <w:r>
              <w:rPr>
                <w:bCs/>
                <w:b/>
              </w:rPr>
              <w:t xml:space="preserve">CENTRO Neurotípico</w:t>
            </w:r>
            <w:r>
              <w:t xml:space="preserve"> </w:t>
            </w:r>
            <w:r>
              <w:t xml:space="preserve">Atención normativa Ejecución eficiente</w:t>
            </w:r>
          </w:p>
        </w:tc>
        <w:tc>
          <w:tcPr/>
          <w:p>
            <w:pPr>
              <w:pStyle w:val="Compact"/>
              <w:jc w:val="left"/>
            </w:pPr>
            <w:r>
              <w:rPr>
                <w:bCs/>
                <w:b/>
              </w:rPr>
              <w:t xml:space="preserve">DERECHA TDAH Conectivo</w:t>
            </w:r>
            <w:r>
              <w:t xml:space="preserve"> </w:t>
            </w:r>
            <w:r>
              <w:t xml:space="preserve">Disfunción ejecutiva por exceso de atención simultánea conectiva</w:t>
            </w:r>
          </w:p>
        </w:tc>
        <w:tc>
          <w:tcPr/>
          <w:p>
            <w:pPr>
              <w:pStyle w:val="Compact"/>
            </w:pPr>
          </w:p>
        </w:tc>
      </w:tr>
      <w:tr>
        <w:tc>
          <w:tcPr/>
          <w:p>
            <w:pPr>
              <w:pStyle w:val="Compact"/>
            </w:pPr>
          </w:p>
        </w:tc>
        <w:tc>
          <w:tcPr/>
          <w:p>
            <w:pPr>
              <w:pStyle w:val="Compact"/>
              <w:jc w:val="left"/>
            </w:pPr>
            <w:r>
              <w:rPr>
                <w:bCs/>
                <w:b/>
              </w:rPr>
              <w:t xml:space="preserve">ABAJO Autista Especialista</w:t>
            </w:r>
            <w:r>
              <w:t xml:space="preserve"> </w:t>
            </w:r>
            <w:r>
              <w:t xml:space="preserve">Disfunción ejecutiva por atención monotrópica técnica</w:t>
            </w:r>
          </w:p>
        </w:tc>
        <w:tc>
          <w:tcPr/>
          <w:p>
            <w:pPr>
              <w:pStyle w:val="Compact"/>
            </w:pPr>
          </w:p>
        </w:tc>
        <w:tc>
          <w:tcPr/>
          <w:p>
            <w:pPr>
              <w:pStyle w:val="Compact"/>
            </w:pPr>
          </w:p>
        </w:tc>
      </w:tr>
    </w:tbl>
    <w:p>
      <w:pPr>
        <w:pStyle w:val="BodyText"/>
      </w:pPr>
      <w:r>
        <w:rPr>
          <w:iCs/>
          <w:i/>
        </w:rPr>
        <w:t xml:space="preserve">Tabla 1. Representación esquemática de la Cruz de Conectividad. El eje horizontal representa el politropismo (TDAH) y el vertical el monotropismo (Autismo). Naranja = eje TDAH; Azul = eje Autismo; Gris = centro neurotípico.</w:t>
      </w:r>
    </w:p>
    <w:bookmarkEnd w:id="31"/>
    <w:bookmarkStart w:id="36" w:name="base-clínica"/>
    <w:p>
      <w:pPr>
        <w:pStyle w:val="Heading1"/>
      </w:pPr>
      <w:r>
        <w:rPr>
          <w:bCs/>
          <w:b/>
        </w:rPr>
        <w:t xml:space="preserve">4. Base clínica</w:t>
      </w:r>
    </w:p>
    <w:bookmarkStart w:id="32" w:name="sistemas-dopaminérgicos-y-motivación"/>
    <w:p>
      <w:pPr>
        <w:pStyle w:val="Heading2"/>
      </w:pPr>
      <w:r>
        <w:rPr>
          <w:bCs/>
          <w:b/>
        </w:rPr>
        <w:t xml:space="preserve">4.1. Sistemas dopaminérgicos y motivación</w:t>
      </w:r>
    </w:p>
    <w:p>
      <w:pPr>
        <w:pStyle w:val="FirstParagraph"/>
      </w:pPr>
      <w:r>
        <w:t xml:space="preserve">El TDAH se asocia a alteraciones en sistemas dopaminérgicos relacionados con la recompensa (Volkow et al., 2009). Esto implica que muchas conductas interpretadas como</w:t>
      </w:r>
      <w:r>
        <w:t xml:space="preserve"> </w:t>
      </w:r>
      <w:r>
        <w:t xml:space="preserve">“</w:t>
      </w:r>
      <w:r>
        <w:t xml:space="preserve">fallos de atención</w:t>
      </w:r>
      <w:r>
        <w:t xml:space="preserve">”</w:t>
      </w:r>
      <w:r>
        <w:t xml:space="preserve"> </w:t>
      </w:r>
      <w:r>
        <w:t xml:space="preserve">son en realidad</w:t>
      </w:r>
      <w:r>
        <w:t xml:space="preserve"> </w:t>
      </w:r>
      <w:r>
        <w:rPr>
          <w:bCs/>
          <w:b/>
        </w:rPr>
        <w:t xml:space="preserve">diferencias en motivación y umbral de estimulación</w:t>
      </w:r>
      <w:r>
        <w:t xml:space="preserve">. La impulsividad puede entenderse como un intento de autorregulación para aumentar la activación de un sistema infraestimulado.</w:t>
      </w:r>
    </w:p>
    <w:p>
      <w:pPr>
        <w:pStyle w:val="BodyText"/>
      </w:pPr>
      <w:r>
        <w:rPr>
          <w:iCs/>
          <w:i/>
        </w:rPr>
        <w:t xml:space="preserve">→ Véase Sección 11 (Estimulación ambiental) para la evidencia sobre cómo los entornos de alta estimulación mejoran el rendimiento en TDAH.</w:t>
      </w:r>
    </w:p>
    <w:bookmarkEnd w:id="32"/>
    <w:bookmarkStart w:id="34" w:name="Xfb77bb659d0decc6a4fd6f7450469c4e2bb41ad"/>
    <w:p>
      <w:pPr>
        <w:pStyle w:val="Heading2"/>
      </w:pPr>
      <w:r>
        <w:rPr>
          <w:bCs/>
          <w:b/>
        </w:rPr>
        <w:t xml:space="preserve">4.2. Hipersensibilidad al entorno e hiperconectividad</w:t>
      </w:r>
    </w:p>
    <w:p>
      <w:pPr>
        <w:pStyle w:val="FirstParagraph"/>
      </w:pPr>
      <w:r>
        <w:t xml:space="preserve">El TDAH no es solo un déficit de dopamina. El modelo propone que se trata de una hipersensibilidad al entorno combinada con una hiperconectividad horizontal: las diferentes áreas del cerebro envían señales entre sí constantemente sin un filtro eficaz. El cerebro TDAH no jerarquiza bien qué estímulo es importante y cuál no.</w:t>
      </w:r>
    </w:p>
    <w:p>
      <w:pPr>
        <w:pStyle w:val="BodyText"/>
      </w:pPr>
      <w:r>
        <w:t xml:space="preserve">En el autismo, por el contrario, la hiperconectividad es vertical o local: conexiones masivas pero localizadas en áreas específicas, especialmente en la corteza sensorial. Esto permite procesar un detalle visual o un sonido con una precisión que un perfil neurotípico no alcanza.</w:t>
      </w:r>
    </w:p>
    <w:bookmarkStart w:id="33" w:name="Xfb98e9df826dbe199ff544393a2b1e77d475327"/>
    <w:p>
      <w:pPr>
        <w:pStyle w:val="Heading3"/>
      </w:pPr>
      <w:r>
        <w:rPr>
          <w:bCs/>
          <w:b/>
        </w:rPr>
        <w:t xml:space="preserve">4.2.1. Sustento neurobiológico: poda sináptica, exceso neuronal y maduración cortical</w:t>
      </w:r>
    </w:p>
    <w:p>
      <w:pPr>
        <w:pStyle w:val="FirstParagraph"/>
      </w:pPr>
      <w:r>
        <w:t xml:space="preserve">La hipótesis de hiperconectividad descrita arriba encuentra correlatos directos en la literatura empírica, aunque cada eje opera por mecanismos distintos que no deben conflarse.</w:t>
      </w:r>
    </w:p>
    <w:p>
      <w:pPr>
        <w:pStyle w:val="BodyText"/>
      </w:pPr>
      <w:r>
        <w:rPr>
          <w:bCs/>
          <w:b/>
        </w:rPr>
        <w:t xml:space="preserve">En el eje autista (monotrópico).</w:t>
      </w:r>
      <w:r>
        <w:t xml:space="preserve"> </w:t>
      </w:r>
      <w:r>
        <w:t xml:space="preserve">Tang et al. (2014) demostraron, mediante análisis postmortem de corteza temporal en pacientes con TEA, que la densidad de espinas dendríticas en neuronas piramidales de la capa V se reduce aproximadamente un 16% durante la infancia tardía en cerebros autistas, frente a una reducción cercana al 50% en controles neurotípicos. Esta poda sináptica deficitaria se asocia a hiperactivación de la vía mTOR y a autofagia neuronal alterada. El resultado es una conservación anómala de conexiones que coincide con el patrón de hiperconectividad local descrito en el modelo.</w:t>
      </w:r>
    </w:p>
    <w:p>
      <w:pPr>
        <w:pStyle w:val="BodyText"/>
      </w:pPr>
      <w:r>
        <w:t xml:space="preserve">A este mecanismo postnatal se suma uno prenatal: Courchesne et al. (2011), en estudio postmortem de corteza prefrontal en niños autistas (2-16 años), encontraron un exceso del 67% en el número total de neuronas prefrontales (1.94 mil millones frente a 1.16 mil millones en controles), con un exceso del 79% concentrado en la corteza prefrontal dorsolateral y del 29% en la medial. Los autores atribuyen este exceso a alteraciones prenatales de proliferación y apoptosis entre las semanas 10 y 20 de gestación, no a déficit de poda postnatal. Ambos hallazgos —proliferación prenatal anómala y poda postnatal deficitaria— son mecanismos distintos que confluyen en el mismo resultado funcional: mayor densidad neuronal y sináptica sostenida en regiones específicas.</w:t>
      </w:r>
    </w:p>
    <w:p>
      <w:pPr>
        <w:pStyle w:val="BodyText"/>
      </w:pPr>
      <w:r>
        <w:rPr>
          <w:bCs/>
          <w:b/>
        </w:rPr>
        <w:t xml:space="preserve">En el eje TDAH (politrópico).</w:t>
      </w:r>
      <w:r>
        <w:t xml:space="preserve"> </w:t>
      </w:r>
      <w:r>
        <w:t xml:space="preserve">El correlato neurobiológico es de naturaleza distinta y no debe equipararse al autista. Shaw et al. (2007), en estudio longitudinal con 446 niños (223 con TDAH y 223 controles, 824 escáneres de RMN), encontraron que el TDAH se caracteriza por un retraso marcado en la maduración cortical: la edad mediana en la que el 50% de los puntos corticales alcanzan su grosor máximo es de 10.5 años en TDAH frente a 7.5 años en controles, con el retraso más prominente en regiones prefrontales asociadas al control atencional. No se trata, por tanto, de una desviación estructural del desarrollo típico, sino de una trayectoria temporal desplazada. Esta plasticidad prolongada es coherente con la flexibilidad asociativa y la apertura a la novedad descritas en el perfil politrópico.</w:t>
      </w:r>
    </w:p>
    <w:p>
      <w:pPr>
        <w:pStyle w:val="BodyText"/>
      </w:pPr>
      <w:r>
        <w:rPr>
          <w:bCs/>
          <w:b/>
        </w:rPr>
        <w:t xml:space="preserve">Síntesis.</w:t>
      </w:r>
      <w:r>
        <w:t xml:space="preserve"> </w:t>
      </w:r>
      <w:r>
        <w:t xml:space="preserve">Los tres mecanismos —proliferación neuronal prenatal aumentada (Courchesne), déficit de poda postnatal (Tang) y maduración cortical retrasada (Shaw)— constituyen el sustrato neurobiológico de la Cruz de Conectividad. El eje autista opera por preservación estructural (más conexiones, más neuronas, más sostenido en el tiempo); el eje TDAH opera por desfase madurativo (mayor plasticidad durante un periodo más largo). Que ambos perfiles se categoricen clínicamente como</w:t>
      </w:r>
      <w:r>
        <w:t xml:space="preserve"> </w:t>
      </w:r>
      <w:r>
        <w:t xml:space="preserve">“</w:t>
      </w:r>
      <w:r>
        <w:t xml:space="preserve">neurodivergencias</w:t>
      </w:r>
      <w:r>
        <w:t xml:space="preserve">”</w:t>
      </w:r>
      <w:r>
        <w:t xml:space="preserve"> </w:t>
      </w:r>
      <w:r>
        <w:t xml:space="preserve">oculta que se trata de configuraciones cognitivas con bases biológicas distintas, no de variantes del mismo fenómeno.</w:t>
      </w:r>
    </w:p>
    <w:bookmarkEnd w:id="33"/>
    <w:bookmarkEnd w:id="34"/>
    <w:bookmarkStart w:id="35" w:name="X5d64207690ca8d14b77b589a25d0a5aad8ed9eb"/>
    <w:p>
      <w:pPr>
        <w:pStyle w:val="Heading2"/>
      </w:pPr>
      <w:r>
        <w:rPr>
          <w:bCs/>
          <w:b/>
        </w:rPr>
        <w:t xml:space="preserve">4.3. Mecanismo común: disfunción ejecutiva por saturación</w:t>
      </w:r>
    </w:p>
    <w:p>
      <w:pPr>
        <w:pStyle w:val="FirstParagraph"/>
      </w:pPr>
      <w:r>
        <w:t xml:space="preserve">El modelo propone que tanto TDAH como autismo comparten un mismo núcleo funcional:</w:t>
      </w:r>
      <w:r>
        <w:t xml:space="preserve"> </w:t>
      </w:r>
      <w:r>
        <w:rPr>
          <w:bCs/>
          <w:b/>
        </w:rPr>
        <w:t xml:space="preserve">disfunción ejecutiva por saturación del sistema atencional</w:t>
      </w:r>
      <w:r>
        <w:t xml:space="preserve">. No fallan en capacidad, sino en gestión de carga, priorización y conversión de procesamiento en acción.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Dimensión</w:t>
            </w:r>
          </w:p>
        </w:tc>
        <w:tc>
          <w:tcPr/>
          <w:p>
            <w:pPr>
              <w:pStyle w:val="Compact"/>
              <w:jc w:val="left"/>
            </w:pPr>
            <w:r>
              <w:rPr>
                <w:bCs/>
                <w:b/>
              </w:rPr>
              <w:t xml:space="preserve">TDAH (Politrópico)</w:t>
            </w:r>
          </w:p>
        </w:tc>
        <w:tc>
          <w:tcPr/>
          <w:p>
            <w:pPr>
              <w:pStyle w:val="Compact"/>
              <w:jc w:val="left"/>
            </w:pPr>
            <w:r>
              <w:rPr>
                <w:bCs/>
                <w:b/>
              </w:rPr>
              <w:t xml:space="preserve">Autismo (Monotrópico)</w:t>
            </w:r>
          </w:p>
        </w:tc>
      </w:tr>
      <w:tr>
        <w:tc>
          <w:tcPr/>
          <w:p>
            <w:pPr>
              <w:pStyle w:val="Compact"/>
              <w:jc w:val="left"/>
            </w:pPr>
            <w:r>
              <w:rPr>
                <w:bCs/>
                <w:b/>
              </w:rPr>
              <w:t xml:space="preserve">Tipo de procesamiento</w:t>
            </w:r>
          </w:p>
        </w:tc>
        <w:tc>
          <w:tcPr/>
          <w:p>
            <w:pPr>
              <w:pStyle w:val="Compact"/>
              <w:jc w:val="left"/>
            </w:pPr>
            <w:r>
              <w:t xml:space="preserve">Distribuido, simultáneo</w:t>
            </w:r>
          </w:p>
        </w:tc>
        <w:tc>
          <w:tcPr/>
          <w:p>
            <w:pPr>
              <w:pStyle w:val="Compact"/>
              <w:jc w:val="left"/>
            </w:pPr>
            <w:r>
              <w:t xml:space="preserve">Concentrado, profundo</w:t>
            </w:r>
          </w:p>
        </w:tc>
      </w:tr>
      <w:tr>
        <w:tc>
          <w:tcPr/>
          <w:p>
            <w:pPr>
              <w:pStyle w:val="Compact"/>
              <w:jc w:val="left"/>
            </w:pPr>
            <w:r>
              <w:rPr>
                <w:bCs/>
                <w:b/>
              </w:rPr>
              <w:t xml:space="preserve">Tipo de saturación</w:t>
            </w:r>
          </w:p>
        </w:tc>
        <w:tc>
          <w:tcPr/>
          <w:p>
            <w:pPr>
              <w:pStyle w:val="Compact"/>
              <w:jc w:val="left"/>
            </w:pPr>
            <w:r>
              <w:t xml:space="preserve">Por ancho de banda (demasiadas conexiones)</w:t>
            </w:r>
          </w:p>
        </w:tc>
        <w:tc>
          <w:tcPr/>
          <w:p>
            <w:pPr>
              <w:pStyle w:val="Compact"/>
              <w:jc w:val="left"/>
            </w:pPr>
            <w:r>
              <w:t xml:space="preserve">Por profundidad (demasiado detalle)</w:t>
            </w:r>
          </w:p>
        </w:tc>
      </w:tr>
      <w:tr>
        <w:tc>
          <w:tcPr/>
          <w:p>
            <w:pPr>
              <w:pStyle w:val="Compact"/>
              <w:jc w:val="left"/>
            </w:pPr>
            <w:r>
              <w:rPr>
                <w:bCs/>
                <w:b/>
              </w:rPr>
              <w:t xml:space="preserve">Inatención se manifiesta como</w:t>
            </w:r>
          </w:p>
        </w:tc>
        <w:tc>
          <w:tcPr/>
          <w:p>
            <w:pPr>
              <w:pStyle w:val="Compact"/>
              <w:jc w:val="left"/>
            </w:pPr>
            <w:r>
              <w:t xml:space="preserve">Dispersión, cambio constante</w:t>
            </w:r>
          </w:p>
        </w:tc>
        <w:tc>
          <w:tcPr/>
          <w:p>
            <w:pPr>
              <w:pStyle w:val="Compact"/>
              <w:jc w:val="left"/>
            </w:pPr>
            <w:r>
              <w:t xml:space="preserve">Rigidez, desconexión del entorno</w:t>
            </w:r>
          </w:p>
        </w:tc>
      </w:tr>
      <w:tr>
        <w:tc>
          <w:tcPr/>
          <w:p>
            <w:pPr>
              <w:pStyle w:val="Compact"/>
              <w:jc w:val="left"/>
            </w:pPr>
            <w:r>
              <w:rPr>
                <w:bCs/>
                <w:b/>
              </w:rPr>
              <w:t xml:space="preserve">Ventaja funcional</w:t>
            </w:r>
          </w:p>
        </w:tc>
        <w:tc>
          <w:tcPr/>
          <w:p>
            <w:pPr>
              <w:pStyle w:val="Compact"/>
              <w:jc w:val="left"/>
            </w:pPr>
            <w:r>
              <w:t xml:space="preserve">Asociación rápida, creatividad, respuesta al cambio</w:t>
            </w:r>
          </w:p>
        </w:tc>
        <w:tc>
          <w:tcPr/>
          <w:p>
            <w:pPr>
              <w:pStyle w:val="Compact"/>
              <w:jc w:val="left"/>
            </w:pPr>
            <w:r>
              <w:t xml:space="preserve">Precisión, profundidad, comprensión sistémica</w:t>
            </w:r>
          </w:p>
        </w:tc>
      </w:tr>
      <w:tr>
        <w:tc>
          <w:tcPr/>
          <w:p>
            <w:pPr>
              <w:pStyle w:val="Compact"/>
              <w:jc w:val="left"/>
            </w:pPr>
            <w:r>
              <w:rPr>
                <w:bCs/>
                <w:b/>
              </w:rPr>
              <w:t xml:space="preserve">Punto ciego</w:t>
            </w:r>
          </w:p>
        </w:tc>
        <w:tc>
          <w:tcPr/>
          <w:p>
            <w:pPr>
              <w:pStyle w:val="Compact"/>
              <w:jc w:val="left"/>
            </w:pPr>
            <w:r>
              <w:t xml:space="preserve">Continuidad, detalle, precisión</w:t>
            </w:r>
          </w:p>
        </w:tc>
        <w:tc>
          <w:tcPr/>
          <w:p>
            <w:pPr>
              <w:pStyle w:val="Compact"/>
              <w:jc w:val="left"/>
            </w:pPr>
            <w:r>
              <w:t xml:space="preserve">Contexto, flexibilidad, adaptación social</w:t>
            </w:r>
          </w:p>
        </w:tc>
      </w:tr>
    </w:tbl>
    <w:p>
      <w:pPr>
        <w:pStyle w:val="BodyText"/>
      </w:pPr>
      <w:r>
        <w:rPr>
          <w:iCs/>
          <w:i/>
        </w:rPr>
        <w:t xml:space="preserve">Tabla 2. Comparación funcional entre procesamiento politrópico (TDAH) y monotrópico (Autismo).</w:t>
      </w:r>
    </w:p>
    <w:bookmarkEnd w:id="35"/>
    <w:bookmarkEnd w:id="36"/>
    <w:bookmarkStart w:id="40" w:name="redefinición-de-la-inatención"/>
    <w:p>
      <w:pPr>
        <w:pStyle w:val="Heading1"/>
      </w:pPr>
      <w:r>
        <w:rPr>
          <w:bCs/>
          <w:b/>
        </w:rPr>
        <w:t xml:space="preserve">5. Redefinición de la inatención</w:t>
      </w:r>
    </w:p>
    <w:p>
      <w:pPr>
        <w:pStyle w:val="FirstParagraph"/>
      </w:pPr>
      <w:r>
        <w:t xml:space="preserve">El concepto central del modelo es que</w:t>
      </w:r>
      <w:r>
        <w:t xml:space="preserve"> </w:t>
      </w:r>
      <w:r>
        <w:rPr>
          <w:bCs/>
          <w:b/>
        </w:rPr>
        <w:t xml:space="preserve">la inatención no es un déficit, sino una consecuencia del exceso de procesamiento</w:t>
      </w:r>
      <w:r>
        <w:t xml:space="preserve">. Es el colapso del sistema por saturación, no por ausencia de capacidad.</w:t>
      </w:r>
    </w:p>
    <w:p>
      <w:pPr>
        <w:numPr>
          <w:ilvl w:val="0"/>
          <w:numId w:val="1005"/>
        </w:numPr>
      </w:pPr>
      <w:r>
        <w:rPr>
          <w:bCs/>
          <w:b/>
        </w:rPr>
        <w:t xml:space="preserve">TDAH:</w:t>
      </w:r>
      <w:r>
        <w:t xml:space="preserve">** **inatención por expansión. Dispersión por exceso de conexiones simultáneas.</w:t>
      </w:r>
    </w:p>
    <w:p>
      <w:pPr>
        <w:numPr>
          <w:ilvl w:val="0"/>
          <w:numId w:val="1005"/>
        </w:numPr>
      </w:pPr>
      <w:r>
        <w:rPr>
          <w:bCs/>
          <w:b/>
        </w:rPr>
        <w:t xml:space="preserve">Autismo:</w:t>
      </w:r>
      <w:r>
        <w:t xml:space="preserve">** **inatención por profundidad. Ceguera al entorno por hiperfoco en un único canal.</w:t>
      </w:r>
    </w:p>
    <w:p>
      <w:pPr>
        <w:pStyle w:val="FirstParagraph"/>
      </w:pPr>
      <w:r>
        <w:t xml:space="preserve">En ambos casos, el sistema está</w:t>
      </w:r>
      <w:r>
        <w:t xml:space="preserve"> </w:t>
      </w:r>
      <w:r>
        <w:rPr>
          <w:bCs/>
          <w:b/>
        </w:rPr>
        <w:t xml:space="preserve">hiperactivo, no deficitario</w:t>
      </w:r>
      <w:r>
        <w:t xml:space="preserve">. La disfunción ejecutiva es un fallo de salida (output), no de entrada (input).</w:t>
      </w:r>
    </w:p>
    <w:p>
      <w:pPr>
        <w:pStyle w:val="BodyText"/>
      </w:pPr>
      <w:r>
        <w:rPr>
          <w:iCs/>
          <w:i/>
        </w:rPr>
        <w:t xml:space="preserve">→ Véase Sección 4.3 para el mecanismo común de saturación.</w:t>
      </w:r>
    </w:p>
    <w:bookmarkStart w:id="38" w:name="el-hiperfoco-diferenciado"/>
    <w:p>
      <w:pPr>
        <w:pStyle w:val="Heading2"/>
      </w:pPr>
      <w:r>
        <w:rPr>
          <w:bCs/>
          <w:b/>
        </w:rPr>
        <w:t xml:space="preserve">5.1. El hiperfoco diferenciado</w:t>
      </w:r>
    </w:p>
    <w:p>
      <w:pPr>
        <w:pStyle w:val="FirstParagraph"/>
      </w:pPr>
      <w:r>
        <w:t xml:space="preserve">Tanto el TDAH como el autismo presentan hiperfoco, pero el mecanismo de activación y mantenimiento es radicalmente distinto:</w:t>
      </w:r>
    </w:p>
    <w:p>
      <w:pPr>
        <w:pStyle w:val="BodyText"/>
      </w:pPr>
      <w:r>
        <w:rPr>
          <w:bCs/>
          <w:b/>
        </w:rPr>
        <w:t xml:space="preserve">Hiperfoco TDAH (dependiente de estímulo):</w:t>
      </w:r>
      <w:r>
        <w:t xml:space="preserve">** **Solo se activa si la tarea genera suficiente dopamina: es nueva, difícil, emocionante o hay una fecha límite urgente. Es un estado frágil: cualquier interrupción externa rompe el estado y cuesta enormemente volver a entrar. El TDAH lucha por encontrar el carril.</w:t>
      </w:r>
    </w:p>
    <w:p>
      <w:pPr>
        <w:pStyle w:val="BodyText"/>
      </w:pPr>
      <w:r>
        <w:rPr>
          <w:bCs/>
          <w:b/>
        </w:rPr>
        <w:t xml:space="preserve">Hiperfoco autista (estado natural):</w:t>
      </w:r>
      <w:r>
        <w:t xml:space="preserve">** **No necesita que la tarea sea nueva o emocionante. Puede ser algo repetitivo, técnico o un interés de hace años. Es una tendencia natural a profundizar. Una vez dentro, el autista presenta una inercia cognitiva rígida: no le cuesta entrar, le cuesta salir. El autista lucha por no ser empujado fuera del carril.</w:t>
      </w:r>
    </w:p>
    <w:p>
      <w:pPr>
        <w:pStyle w:val="BodyText"/>
      </w:pPr>
      <w:r>
        <w:rPr>
          <w:bCs/>
          <w:b/>
        </w:rPr>
        <w:t xml:space="preserve">En ambos casos el mundo exterior desaparece,</w:t>
      </w:r>
      <w:r>
        <w:t xml:space="preserve">** **se pierde la noción del tiempo y hay gran frustración si alguien los saca de ese estado. Pero uno lucha por arrancar el motor y el otro por que no le apaguen el tren.</w:t>
      </w:r>
    </w:p>
    <w:bookmarkStart w:id="37" w:name="X8f70c47dac781bc704af7b2eea966752032514d"/>
    <w:p>
      <w:pPr>
        <w:pStyle w:val="Heading3"/>
      </w:pPr>
      <w:r>
        <w:rPr>
          <w:bCs/>
          <w:b/>
        </w:rPr>
        <w:t xml:space="preserve">5.1.1. La visión de túnel cruzada: el hiperfoco como inversión de ejes</w:t>
      </w:r>
    </w:p>
    <w:p>
      <w:pPr>
        <w:pStyle w:val="FirstParagraph"/>
      </w:pPr>
      <w:r>
        <w:t xml:space="preserve">El hiperfoco produce un fenómeno que el modelo plano de la Cruz no captura completamente:</w:t>
      </w:r>
      <w:r>
        <w:t xml:space="preserve"> </w:t>
      </w:r>
      <w:r>
        <w:rPr>
          <w:bCs/>
          <w:b/>
        </w:rPr>
        <w:t xml:space="preserve">durante el hiperfoco, cada perfil invade temporalmente el territorio del eje opuesto.</w:t>
      </w:r>
    </w:p>
    <w:p>
      <w:pPr>
        <w:numPr>
          <w:ilvl w:val="0"/>
          <w:numId w:val="1006"/>
        </w:numPr>
      </w:pPr>
      <w:r>
        <w:rPr>
          <w:bCs/>
          <w:b/>
        </w:rPr>
        <w:t xml:space="preserve">El TDAH en hiperfoco consigue pensamiento monotrópico vertical dentro de su gran lateralidad.</w:t>
      </w:r>
      <w:r>
        <w:t xml:space="preserve"> </w:t>
      </w:r>
      <w:r>
        <w:t xml:space="preserve">Entra en una visión de túnel lateral: toda su capacidad de conexión horizontal se canaliza en un único punto con una intensidad que, desde fuera, es indistinguible del procesamiento autista. Es un monotropismo prestado, frágil y dependiente de la dopamina, pero funcionalmente equivalente mientras dura.</w:t>
      </w:r>
    </w:p>
    <w:p>
      <w:pPr>
        <w:numPr>
          <w:ilvl w:val="0"/>
          <w:numId w:val="1006"/>
        </w:numPr>
      </w:pPr>
      <w:r>
        <w:rPr>
          <w:bCs/>
          <w:b/>
        </w:rPr>
        <w:t xml:space="preserve">El autista en hiperfoco consigue pensamiento conectivo lateral dentro de su verticalidad.</w:t>
      </w:r>
      <w:r>
        <w:t xml:space="preserve"> </w:t>
      </w:r>
      <w:r>
        <w:t xml:space="preserve">Entra en un hiperfoco de túnel vertical: su profundización es tan intensa que empieza a generar conexiones laterales dentro de su dominio, alcanzando un nivel de integración que, desde fuera, parece politropismo. Es un politropismo emergente, limitado al dominio de interés, pero extraordinariamente productivo.</w:t>
      </w:r>
    </w:p>
    <w:p>
      <w:pPr>
        <w:pStyle w:val="FirstParagraph"/>
      </w:pPr>
      <w:r>
        <w:rPr>
          <w:bCs/>
          <w:b/>
        </w:rPr>
        <w:t xml:space="preserve">Implicación para el modelo visual:</w:t>
      </w:r>
      <w:r>
        <w:t xml:space="preserve"> </w:t>
      </w:r>
      <w:r>
        <w:t xml:space="preserve">La Cruz de Conectividad no es un plano bidimensional estático, sino una</w:t>
      </w:r>
      <w:r>
        <w:t xml:space="preserve"> </w:t>
      </w:r>
      <w:r>
        <w:rPr>
          <w:bCs/>
          <w:b/>
        </w:rPr>
        <w:t xml:space="preserve">cruz de tubos</w:t>
      </w:r>
      <w:r>
        <w:t xml:space="preserve">. Cada eje tiene volumen, profundidad. El hiperfoco convierte las líneas del modelo en túneles tridimensionales por los que el procesamiento viaja. La distancia de un cuadrado entre cada extremo se mantiene, pero ahora la cruz tiene grosor: es una cruz de túnel perfecta donde el TDAH puede recorrer verticalmente su tubo horizontal y el autista puede recorrer horizontalmente su tubo vertical.</w:t>
      </w:r>
    </w:p>
    <w:p>
      <w:pPr>
        <w:pStyle w:val="BodyText"/>
      </w:pPr>
      <w:r>
        <w:t xml:space="preserve">Esto explica por qué los perfiles TDAH conectivos y los autistas sistémicos pueden producir resultados aparentemente similares (como innovación científica de alto nivel) pese a partir de arquitecturas atencionales opuestas: ambos están, en hiperfoco, recorriendo el túnel de su eje en la dirección del eje contrario.</w:t>
      </w:r>
    </w:p>
    <w:p>
      <w:pPr>
        <w:pStyle w:val="BodyText"/>
      </w:pPr>
      <w:r>
        <w:rPr>
          <w:iCs/>
          <w:i/>
        </w:rPr>
        <w:t xml:space="preserve">→ Véase Sección 11.3 (Figuras históricas): Da Vinci entrando en túnel vertical sobre anatomía; Einstein generando conexiones laterales dentro de la física.</w:t>
      </w:r>
    </w:p>
    <w:bookmarkEnd w:id="37"/>
    <w:bookmarkEnd w:id="38"/>
    <w:bookmarkStart w:id="39" w:name="motivación-novedad-frente-a-patrones"/>
    <w:p>
      <w:pPr>
        <w:pStyle w:val="Heading2"/>
      </w:pPr>
      <w:r>
        <w:rPr>
          <w:bCs/>
          <w:b/>
        </w:rPr>
        <w:t xml:space="preserve">5.2. Motivación: novedad frente a patrones</w:t>
      </w:r>
    </w:p>
    <w:p>
      <w:pPr>
        <w:pStyle w:val="FirstParagraph"/>
      </w:pPr>
      <w:r>
        <w:rPr>
          <w:bCs/>
          <w:b/>
        </w:rPr>
        <w:t xml:space="preserve">El TDAH se enfoca en lo que le sorprende (novedad).</w:t>
      </w:r>
      <w:r>
        <w:t xml:space="preserve">** **En cuanto entiende cómo funciona algo, pierde el interés. Su hiperconectividad horizontal le hace saltar a la siguiente cosa para mantener el cerebro encendido. La novedad genera el pico de dopamina necesario para activar el hiperfoco.</w:t>
      </w:r>
    </w:p>
    <w:p>
      <w:pPr>
        <w:pStyle w:val="BodyText"/>
      </w:pPr>
      <w:r>
        <w:rPr>
          <w:bCs/>
          <w:b/>
        </w:rPr>
        <w:t xml:space="preserve">El autista se enfoca en lo que puede sistematizar (patrones).</w:t>
      </w:r>
      <w:r>
        <w:t xml:space="preserve">** **No es que rechace la novedad, es que prefiere la profundidad sobre la superficie. Si ve la misma película muchas veces, cada vez su hiperconectividad vertical le permite encontrar un detalle nuevo. Lo predecible le permite relajar el sistema sensorial y dedicar toda su energía al hiperfoco técnico.</w:t>
      </w:r>
    </w:p>
    <w:p>
      <w:pPr>
        <w:pStyle w:val="BodyText"/>
      </w:pPr>
      <w:r>
        <w:rPr>
          <w:iCs/>
          <w:i/>
        </w:rPr>
        <w:t xml:space="preserve">→ Véase Sección 4.1 (Dopamina): el TDAH necesita novedad como combustible dopaminérgico.</w:t>
      </w:r>
    </w:p>
    <w:p>
      <w:pPr>
        <w:pStyle w:val="BodyText"/>
      </w:pPr>
      <w:r>
        <w:rPr>
          <w:iCs/>
          <w:i/>
        </w:rPr>
        <w:t xml:space="preserve">→ Véase Sección 4.2 (Hiperconectividad): horizontal = asociación lateral; vertical = profundización en un canal.</w:t>
      </w:r>
    </w:p>
    <w:bookmarkEnd w:id="39"/>
    <w:bookmarkEnd w:id="40"/>
    <w:bookmarkStart w:id="43" w:name="subtipos-funcionales-dentro-de-cada-eje"/>
    <w:p>
      <w:pPr>
        <w:pStyle w:val="Heading1"/>
      </w:pPr>
      <w:r>
        <w:rPr>
          <w:bCs/>
          <w:b/>
        </w:rPr>
        <w:t xml:space="preserve">6. Subtipos funcionales dentro de cada eje</w:t>
      </w:r>
    </w:p>
    <w:bookmarkStart w:id="41" w:name="eje-horizontal-tdah"/>
    <w:p>
      <w:pPr>
        <w:pStyle w:val="Heading2"/>
      </w:pPr>
      <w:r>
        <w:rPr>
          <w:bCs/>
          <w:b/>
        </w:rPr>
        <w:t xml:space="preserve">6.1. Eje horizontal: TDAH</w:t>
      </w:r>
    </w:p>
    <w:p>
      <w:pPr>
        <w:pStyle w:val="FirstParagraph"/>
      </w:pPr>
      <w:r>
        <w:rPr>
          <w:bCs/>
          <w:b/>
        </w:rPr>
        <w:t xml:space="preserve">TDAH de búsqueda (especialista):</w:t>
      </w:r>
      <w:r>
        <w:t xml:space="preserve">** **Cambio constante de foco por novedad.</w:t>
      </w:r>
      <w:r>
        <w:t xml:space="preserve"> </w:t>
      </w:r>
      <w:r>
        <w:t xml:space="preserve">“</w:t>
      </w:r>
      <w:r>
        <w:t xml:space="preserve">Disfunción ejecutiva por exceso de atención simultánea de búsqueda.</w:t>
      </w:r>
      <w:r>
        <w:t xml:space="preserve">”</w:t>
      </w:r>
      <w:r>
        <w:t xml:space="preserve"> </w:t>
      </w:r>
      <w:r>
        <w:t xml:space="preserve">Su función antropológica: el explorador, el rastreador que detecta señales nuevas.</w:t>
      </w:r>
    </w:p>
    <w:p>
      <w:pPr>
        <w:pStyle w:val="BodyText"/>
      </w:pPr>
      <w:r>
        <w:rPr>
          <w:bCs/>
          <w:b/>
        </w:rPr>
        <w:t xml:space="preserve">TDAH conectivo:</w:t>
      </w:r>
      <w:r>
        <w:t xml:space="preserve">** **Integración simultánea de múltiples elementos.</w:t>
      </w:r>
      <w:r>
        <w:t xml:space="preserve"> </w:t>
      </w:r>
      <w:r>
        <w:t xml:space="preserve">“</w:t>
      </w:r>
      <w:r>
        <w:t xml:space="preserve">Disfunción ejecutiva por exceso de atención simultánea conectiva.</w:t>
      </w:r>
      <w:r>
        <w:t xml:space="preserve">”</w:t>
      </w:r>
      <w:r>
        <w:t xml:space="preserve"> </w:t>
      </w:r>
      <w:r>
        <w:t xml:space="preserve">Su función antropológica: el coordinador de caza, el estratega de campo.</w:t>
      </w:r>
    </w:p>
    <w:p>
      <w:pPr>
        <w:pStyle w:val="BodyText"/>
      </w:pPr>
      <w:r>
        <w:rPr>
          <w:iCs/>
          <w:i/>
        </w:rPr>
        <w:t xml:space="preserve">→ Véase Sección 9 (Hipótesis antropológica) para el desarrollo completo de estos roles.</w:t>
      </w:r>
    </w:p>
    <w:bookmarkEnd w:id="41"/>
    <w:bookmarkStart w:id="42" w:name="eje-vertical-autismo"/>
    <w:p>
      <w:pPr>
        <w:pStyle w:val="Heading2"/>
      </w:pPr>
      <w:r>
        <w:rPr>
          <w:bCs/>
          <w:b/>
        </w:rPr>
        <w:t xml:space="preserve">6.2. Eje vertical: Autismo</w:t>
      </w:r>
    </w:p>
    <w:p>
      <w:pPr>
        <w:pStyle w:val="FirstParagraph"/>
      </w:pPr>
      <w:r>
        <w:rPr>
          <w:bCs/>
          <w:b/>
        </w:rPr>
        <w:t xml:space="preserve">Autismo técnico (especialista):</w:t>
      </w:r>
      <w:r>
        <w:t xml:space="preserve">** **Foco en detalle específico.</w:t>
      </w:r>
      <w:r>
        <w:t xml:space="preserve"> </w:t>
      </w:r>
      <w:r>
        <w:t xml:space="preserve">“</w:t>
      </w:r>
      <w:r>
        <w:t xml:space="preserve">Disfunción ejecutiva por atención monotrópica técnica.</w:t>
      </w:r>
      <w:r>
        <w:t xml:space="preserve">”</w:t>
      </w:r>
      <w:r>
        <w:t xml:space="preserve"> </w:t>
      </w:r>
      <w:r>
        <w:t xml:space="preserve">Su función antropológica: el recolector técnico, el guardián de la calidad.</w:t>
      </w:r>
    </w:p>
    <w:p>
      <w:pPr>
        <w:pStyle w:val="BodyText"/>
      </w:pPr>
      <w:r>
        <w:rPr>
          <w:bCs/>
          <w:b/>
        </w:rPr>
        <w:t xml:space="preserve">Autismo sistémico (conectivo):</w:t>
      </w:r>
      <w:r>
        <w:t xml:space="preserve">** **Foco en estructuras complejas o modelos.</w:t>
      </w:r>
      <w:r>
        <w:t xml:space="preserve"> </w:t>
      </w:r>
      <w:r>
        <w:t xml:space="preserve">“</w:t>
      </w:r>
      <w:r>
        <w:t xml:space="preserve">Disfunción ejecutiva por atención monotrópica sistémica.</w:t>
      </w:r>
      <w:r>
        <w:t xml:space="preserve">”</w:t>
      </w:r>
      <w:r>
        <w:t xml:space="preserve"> </w:t>
      </w:r>
      <w:r>
        <w:t xml:space="preserve">Su función antropológica: el ingeniero de sistemas, el productor de ciclos.</w:t>
      </w:r>
    </w:p>
    <w:p>
      <w:pPr>
        <w:pStyle w:val="BodyText"/>
      </w:pPr>
      <w:r>
        <w:rPr>
          <w:iCs/>
          <w:i/>
        </w:rPr>
        <w:t xml:space="preserve">→ Véase Sección 9.2 para la relación con la recolección y el conocimiento estático.</w:t>
      </w:r>
    </w:p>
    <w:bookmarkEnd w:id="42"/>
    <w:bookmarkEnd w:id="43"/>
    <w:bookmarkStart w:id="50" w:name="procesamiento-sensorial-como-modulador"/>
    <w:p>
      <w:pPr>
        <w:pStyle w:val="Heading1"/>
      </w:pPr>
      <w:r>
        <w:rPr>
          <w:bCs/>
          <w:b/>
        </w:rPr>
        <w:t xml:space="preserve">7. Procesamiento sensorial como modulador</w:t>
      </w:r>
    </w:p>
    <w:p>
      <w:pPr>
        <w:pStyle w:val="FirstParagraph"/>
      </w:pPr>
      <w:r>
        <w:t xml:space="preserve">El modelo incorpora una variable adicional: la intensidad del input sensorial. A mayor sensibilidad, mayor carga por estímulo y menor margen antes de alcanzar la saturación. Esto explica la hipersensibilidad, la sobrecarga emocional y la fatiga cognitiva presentes en ambos perfiles.</w:t>
      </w:r>
    </w:p>
    <w:p>
      <w:pPr>
        <w:pStyle w:val="BodyText"/>
      </w:pPr>
      <w:r>
        <w:t xml:space="preserve">El TDAH suele buscar estímulos adicionales (música, movimiento, ruido) para</w:t>
      </w:r>
      <w:r>
        <w:t xml:space="preserve"> </w:t>
      </w:r>
      <w:r>
        <w:t xml:space="preserve">“</w:t>
      </w:r>
      <w:r>
        <w:t xml:space="preserve">despertar</w:t>
      </w:r>
      <w:r>
        <w:t xml:space="preserve">”</w:t>
      </w:r>
      <w:r>
        <w:t xml:space="preserve"> </w:t>
      </w:r>
      <w:r>
        <w:t xml:space="preserve">un sistema infraactivado. El autismo suele necesitar reducir el input sensorial para evitar la saturación de un canal ya al límite de su capacidad. Esta diferencia es coherente con la distinción entre</w:t>
      </w:r>
      <w:r>
        <w:t xml:space="preserve"> </w:t>
      </w:r>
      <w:r>
        <w:rPr>
          <w:bCs/>
          <w:b/>
        </w:rPr>
        <w:t xml:space="preserve">hiperconectividad horizontal (TDAH)</w:t>
      </w:r>
      <w:r>
        <w:t xml:space="preserve"> </w:t>
      </w:r>
      <w:r>
        <w:t xml:space="preserve">e</w:t>
      </w:r>
      <w:r>
        <w:t xml:space="preserve"> </w:t>
      </w:r>
      <w:r>
        <w:rPr>
          <w:bCs/>
          <w:b/>
        </w:rPr>
        <w:t xml:space="preserve">hiperconectividad vertical (autismo)</w:t>
      </w:r>
      <w:r>
        <w:t xml:space="preserve">.</w:t>
      </w:r>
    </w:p>
    <w:bookmarkStart w:id="44" w:name="Xaca5bc68bcc7789d3f45c2827b27a3002dfa5aa"/>
    <w:p>
      <w:pPr>
        <w:pStyle w:val="Heading2"/>
      </w:pPr>
      <w:r>
        <w:rPr>
          <w:bCs/>
          <w:b/>
        </w:rPr>
        <w:t xml:space="preserve">7.1. El perfil AuDHD: conflicto interno entre ejes</w:t>
      </w:r>
    </w:p>
    <w:p>
      <w:pPr>
        <w:pStyle w:val="FirstParagraph"/>
      </w:pPr>
      <w:r>
        <w:t xml:space="preserve">Muchas personas presentan simultáneamente TDAH y autismo (perfil AuDHD), lo que crea una lucha interna constante entre la necesidad de novedad (eje horizontal) y la necesidad de rutina y finalización (eje vertical). El lado TDAH se aburre y quiere saltar a otra cosa; el lado autista se resiste a dejar lo que está haciendo porque aún no ha terminado el sistema. El resultado puede ser parálisis por análisis: querer hacer todo y nada a la vez.</w:t>
      </w:r>
    </w:p>
    <w:p>
      <w:pPr>
        <w:pStyle w:val="BodyText"/>
      </w:pPr>
      <w:r>
        <w:t xml:space="preserve">El autista necesita</w:t>
      </w:r>
      <w:r>
        <w:t xml:space="preserve"> </w:t>
      </w:r>
      <w:r>
        <w:t xml:space="preserve">“</w:t>
      </w:r>
      <w:r>
        <w:t xml:space="preserve">avisos de transición</w:t>
      </w:r>
      <w:r>
        <w:t xml:space="preserve">”</w:t>
      </w:r>
      <w:r>
        <w:t xml:space="preserve"> </w:t>
      </w:r>
      <w:r>
        <w:t xml:space="preserve">para frenar el tren con antelación; el TDAH necesita recordatorios para no distraerse. En el perfil AuDHD, ambas necesidades coexisten y se contradicen, lo que explica por qué estos perfiles presentan una disfunción ejecutiva especialmente intensa.</w:t>
      </w:r>
    </w:p>
    <w:p>
      <w:pPr>
        <w:pStyle w:val="BodyText"/>
      </w:pPr>
      <w:r>
        <w:rPr>
          <w:iCs/>
          <w:i/>
        </w:rPr>
        <w:t xml:space="preserve">→ Véase Sección 5.1 (Hiperfoco diferenciado): dos motores opuestos en el mismo cerebro.</w:t>
      </w:r>
    </w:p>
    <w:bookmarkEnd w:id="44"/>
    <w:bookmarkStart w:id="46" w:name="Xaef082b325dce47688a1c4f1336401a200777f9"/>
    <w:p>
      <w:pPr>
        <w:pStyle w:val="Heading2"/>
      </w:pPr>
      <w:r>
        <w:rPr>
          <w:bCs/>
          <w:b/>
        </w:rPr>
        <w:t xml:space="preserve">7.2. Complementariedad operativa y body doubling</w:t>
      </w:r>
    </w:p>
    <w:p>
      <w:pPr>
        <w:pStyle w:val="FirstParagraph"/>
      </w:pPr>
      <w:r>
        <w:t xml:space="preserve">Cuando un perfil TDAH lanza una idea novedosa y un perfil autista detecta que hay un sistema lógico y factible detrás, se activa la motivación del autista por maestría y sistematización</w:t>
      </w:r>
      <w:r>
        <w:t xml:space="preserve"> </w:t>
      </w:r>
      <w:r>
        <w:rPr>
          <w:bCs/>
          <w:b/>
        </w:rPr>
        <w:t xml:space="preserve">desde el minuto uno</w:t>
      </w:r>
      <w:r>
        <w:t xml:space="preserve">. El TDAH pone la chispa (la novedad, la conexión lateral) y el autista pone el motor (la estructura, la ejecución técnica). Uno genera el</w:t>
      </w:r>
      <w:r>
        <w:t xml:space="preserve"> </w:t>
      </w:r>
      <w:r>
        <w:t xml:space="preserve">“</w:t>
      </w:r>
      <w:r>
        <w:t xml:space="preserve">qué</w:t>
      </w:r>
      <w:r>
        <w:t xml:space="preserve">”</w:t>
      </w:r>
      <w:r>
        <w:t xml:space="preserve"> </w:t>
      </w:r>
      <w:r>
        <w:t xml:space="preserve">y el otro crea el</w:t>
      </w:r>
      <w:r>
        <w:t xml:space="preserve"> </w:t>
      </w:r>
      <w:r>
        <w:t xml:space="preserve">“</w:t>
      </w:r>
      <w:r>
        <w:t xml:space="preserve">cómo.</w:t>
      </w:r>
      <w:r>
        <w:t xml:space="preserve">”</w:t>
      </w:r>
    </w:p>
    <w:p>
      <w:pPr>
        <w:pStyle w:val="BodyText"/>
      </w:pPr>
      <w:r>
        <w:t xml:space="preserve">Estudios recientes sobre body doubling (duplicación corporal) indican que la presencia de otra persona reduce la parálisis ejecutiva y mejora el inicio de tareas (ACM Digital Library, 2024). En combinaciones TDAH-autista con procesamiento conectivo, este efecto se potencia por tres mecanismos simultáneos:</w:t>
      </w:r>
    </w:p>
    <w:p>
      <w:pPr>
        <w:numPr>
          <w:ilvl w:val="0"/>
          <w:numId w:val="1007"/>
        </w:numPr>
      </w:pPr>
      <w:r>
        <w:rPr>
          <w:bCs/>
          <w:b/>
        </w:rPr>
        <w:t xml:space="preserve">Sincronización dopaminérgica (TDAH):</w:t>
      </w:r>
      <w:r>
        <w:t xml:space="preserve"> </w:t>
      </w:r>
      <w:r>
        <w:t xml:space="preserve">La presencia del otro actúa como ancla externa que mantiene los niveles de dopamina suficientemente altos para sostener la atención. La interacción social con alguien que</w:t>
      </w:r>
      <w:r>
        <w:t xml:space="preserve"> </w:t>
      </w:r>
      <w:r>
        <w:t xml:space="preserve">“</w:t>
      </w:r>
      <w:r>
        <w:t xml:space="preserve">vibra en la misma frecuencia</w:t>
      </w:r>
      <w:r>
        <w:t xml:space="preserve">”</w:t>
      </w:r>
      <w:r>
        <w:t xml:space="preserve"> </w:t>
      </w:r>
      <w:r>
        <w:t xml:space="preserve">genera el estímulo que la tarea sola no proporciona.</w:t>
      </w:r>
    </w:p>
    <w:p>
      <w:pPr>
        <w:numPr>
          <w:ilvl w:val="0"/>
          <w:numId w:val="1007"/>
        </w:numPr>
      </w:pPr>
      <w:r>
        <w:rPr>
          <w:bCs/>
          <w:b/>
        </w:rPr>
        <w:t xml:space="preserve">Regulación por co-presencia (Autismo):</w:t>
      </w:r>
      <w:r>
        <w:t xml:space="preserve"> </w:t>
      </w:r>
      <w:r>
        <w:t xml:space="preserve">Para el perfil autista, tener al lado a alguien que no exige contacto visual constante ni protocolos sociales rígidos reduce la ansiedad y facilita el hiperfoco. El TDAH, como</w:t>
      </w:r>
      <w:r>
        <w:t xml:space="preserve"> </w:t>
      </w:r>
      <w:r>
        <w:t xml:space="preserve">“</w:t>
      </w:r>
      <w:r>
        <w:t xml:space="preserve">alma libre</w:t>
      </w:r>
      <w:r>
        <w:t xml:space="preserve">”</w:t>
      </w:r>
      <w:r>
        <w:t xml:space="preserve"> </w:t>
      </w:r>
      <w:r>
        <w:t xml:space="preserve">que se salta las normas sociales, le da permiso implícito para ser él mismo. Esa honestidad es más segura que la cortesía social neurotípica.</w:t>
      </w:r>
    </w:p>
    <w:p>
      <w:pPr>
        <w:numPr>
          <w:ilvl w:val="0"/>
          <w:numId w:val="1007"/>
        </w:numPr>
      </w:pPr>
      <w:r>
        <w:rPr>
          <w:bCs/>
          <w:b/>
        </w:rPr>
        <w:t xml:space="preserve">Eliminación del masking:</w:t>
      </w:r>
      <w:r>
        <w:t xml:space="preserve"> </w:t>
      </w:r>
      <w:r>
        <w:t xml:space="preserve">Al ser ambos neurodivergentes, la comunicación no requiere camuflaje social. Esto libera energía cognitiva que se redirige al hiperfoco compartido. La teoría de la doble empatía (Milton, 2012) predice exactamente esto: los neurodivergentes se comunican con tanta o más eficacia entre sí que los neurotípicos entre ellos.</w:t>
      </w:r>
    </w:p>
    <w:bookmarkStart w:id="45" w:name="el-pensamiento-arbóreo-compartido"/>
    <w:p>
      <w:pPr>
        <w:pStyle w:val="Heading3"/>
      </w:pPr>
      <w:r>
        <w:rPr>
          <w:bCs/>
          <w:b/>
        </w:rPr>
        <w:t xml:space="preserve">7.2.1. El pensamiento arbóreo compartido</w:t>
      </w:r>
    </w:p>
    <w:p>
      <w:pPr>
        <w:pStyle w:val="FirstParagraph"/>
      </w:pPr>
      <w:r>
        <w:t xml:space="preserve">La conexión profunda entre un TDAH y un autista que comparten nivel cognitivo no se explica por las etiquetas diagnósticas, sino por el</w:t>
      </w:r>
      <w:r>
        <w:t xml:space="preserve"> </w:t>
      </w:r>
      <w:r>
        <w:rPr>
          <w:bCs/>
          <w:b/>
        </w:rPr>
        <w:t xml:space="preserve">pensamiento arbóreo</w:t>
      </w:r>
      <w:r>
        <w:t xml:space="preserve">: una idea es el tronco, de ahí salen diez ramas, y de cada rama cien hojas. Para un neurotípico, seguir esa conversación es agotador porque</w:t>
      </w:r>
      <w:r>
        <w:t xml:space="preserve"> </w:t>
      </w:r>
      <w:r>
        <w:t xml:space="preserve">“</w:t>
      </w:r>
      <w:r>
        <w:t xml:space="preserve">se van por las ramas.</w:t>
      </w:r>
      <w:r>
        <w:t xml:space="preserve">”</w:t>
      </w:r>
      <w:r>
        <w:t xml:space="preserve"> </w:t>
      </w:r>
      <w:r>
        <w:t xml:space="preserve">Para ellos, las ramas son el camino.</w:t>
      </w:r>
    </w:p>
    <w:p>
      <w:pPr>
        <w:pStyle w:val="BodyText"/>
      </w:pPr>
      <w:r>
        <w:t xml:space="preserve">El TDAH funciona como el gas: expandido, volátil, con potencial enorme pero sin dirección propia. El autista funciona como el mechero: el punto de ignición, la precisión, el foco concentrado. Por separado, el gas se dispersa y el mechero es una llama pequeña. Juntos, producen una combustión intelectual que puede sostener un estado de flujo durante horas.</w:t>
      </w:r>
    </w:p>
    <w:p>
      <w:pPr>
        <w:pStyle w:val="BodyText"/>
      </w:pPr>
      <w:r>
        <w:t xml:space="preserve">Esta dinámica explica fenómenos observados en la práctica clínica y en la vida cotidiana: caminatas de seis horas por el campo donde ninguno de los dos se cansa porque el movimiento (que regula al autista) y la conversación (que estimula al TDAH) se retroalimentan. Es una forma de</w:t>
      </w:r>
      <w:r>
        <w:t xml:space="preserve"> </w:t>
      </w:r>
      <w:r>
        <w:rPr>
          <w:bCs/>
          <w:b/>
        </w:rPr>
        <w:t xml:space="preserve">body doubling activo</w:t>
      </w:r>
      <w:r>
        <w:t xml:space="preserve"> </w:t>
      </w:r>
      <w:r>
        <w:t xml:space="preserve">donde el movimiento y la charla son el pegamento que mantiene a ambos cerebros en estado de flujo óptimo.</w:t>
      </w:r>
    </w:p>
    <w:p>
      <w:pPr>
        <w:pStyle w:val="BodyText"/>
      </w:pPr>
      <w:r>
        <w:rPr>
          <w:iCs/>
          <w:i/>
        </w:rPr>
        <w:t xml:space="preserve">→ Véase Sección 9.4 (Complementariedad funcional): el mismo principio a escala tribal.</w:t>
      </w:r>
    </w:p>
    <w:p>
      <w:pPr>
        <w:pStyle w:val="BodyText"/>
      </w:pPr>
      <w:r>
        <w:rPr>
          <w:iCs/>
          <w:i/>
        </w:rPr>
        <w:t xml:space="preserve">→ Véase Sección 5.2 (Novedad vs. patrones): los motivadores diferenciados que se acoplan en la colaboración.</w:t>
      </w:r>
    </w:p>
    <w:bookmarkEnd w:id="45"/>
    <w:bookmarkEnd w:id="46"/>
    <w:bookmarkStart w:id="49" w:name="X87a33b6dd31c44bdda495e1eb918101b4bfef25"/>
    <w:p>
      <w:pPr>
        <w:pStyle w:val="Heading2"/>
      </w:pPr>
      <w:r>
        <w:rPr>
          <w:bCs/>
          <w:b/>
        </w:rPr>
        <w:t xml:space="preserve">7.3. Regulación corporal diferencial: deporte, música y gamificación</w:t>
      </w:r>
    </w:p>
    <w:p>
      <w:pPr>
        <w:pStyle w:val="FirstParagraph"/>
      </w:pPr>
      <w:r>
        <w:t xml:space="preserve">El modelo predice que las estrategias de regulación corporal deben ser radicalmente distintas para cada perfil, porque las necesidades neurobiológicas subyacentes son opuestas.</w:t>
      </w:r>
    </w:p>
    <w:bookmarkStart w:id="47" w:name="deporte-y-neurodivergencia"/>
    <w:p>
      <w:pPr>
        <w:pStyle w:val="Heading3"/>
      </w:pPr>
      <w:r>
        <w:rPr>
          <w:bCs/>
          <w:b/>
        </w:rPr>
        <w:t xml:space="preserve">7.3.1. Deporte y neurodivergencia</w:t>
      </w:r>
    </w:p>
    <w:p>
      <w:pPr>
        <w:pStyle w:val="FirstParagraph"/>
      </w:pPr>
      <w:r>
        <w:t xml:space="preserve">Para un cerebro TDAH, el ejercicio aeróbico lineal (correr, bicicleta estática, nadar en piscina) es una actividad con recompensa retardada. La satisfacción llega al final, pero mientras tanto el cerebro no tiene nada que lo</w:t>
      </w:r>
      <w:r>
        <w:t xml:space="preserve"> </w:t>
      </w:r>
      <w:r>
        <w:t xml:space="preserve">“</w:t>
      </w:r>
      <w:r>
        <w:t xml:space="preserve">atrape.</w:t>
      </w:r>
      <w:r>
        <w:t xml:space="preserve">”</w:t>
      </w:r>
      <w:r>
        <w:t xml:space="preserve"> </w:t>
      </w:r>
      <w:r>
        <w:t xml:space="preserve">El aburrimiento en el TDAH se experimenta casi como dolor físico. Por eso, correr por correr es insostenible, pero correr jugando con un perro transforma la actividad en resolución de problemas en tiempo real: ¿hacia dónde va a girar? ¿tengo que esquivar ese obstáculo? El foco pasa del tiempo al estímulo externo y el ruido interno se apaga.</w:t>
      </w:r>
    </w:p>
    <w:p>
      <w:pPr>
        <w:pStyle w:val="BodyText"/>
      </w:pPr>
      <w:r>
        <w:t xml:space="preserve">Para un cerebro autista, correr un maratón es higiene mental: previsibilidad total, misma zancada repetida, datos cuantificables (ritmo, frecuencia cardíaca, distancia). Esa repetición es reguladora para el sistema nervioso. El aislamiento sensorial permite</w:t>
      </w:r>
      <w:r>
        <w:t xml:space="preserve"> </w:t>
      </w:r>
      <w:r>
        <w:t xml:space="preserve">“</w:t>
      </w:r>
      <w:r>
        <w:t xml:space="preserve">apagar</w:t>
      </w:r>
      <w:r>
        <w:t xml:space="preserve">”</w:t>
      </w:r>
      <w:r>
        <w:t xml:space="preserve"> </w:t>
      </w:r>
      <w:r>
        <w:t xml:space="preserve">el mundo social agotador.</w:t>
      </w:r>
    </w:p>
    <w:p>
      <w:pPr>
        <w:pStyle w:val="BodyText"/>
      </w:pPr>
      <w:r>
        <w:rPr>
          <w:bCs/>
          <w:b/>
        </w:rPr>
        <w:t xml:space="preserve">El mismo ejercicio físico (correr) tiene efectos opuestos dependiendo de la arquitectura atencional del sujeto.</w:t>
      </w:r>
      <w:r>
        <w:t xml:space="preserve"> </w:t>
      </w:r>
      <w:r>
        <w:t xml:space="preserve">Esta observación es coherente con la distinción entre hiperconectividad horizontal (TDAH necesita estímulo externo variado) e hiperconectividad vertical (autismo necesita input predecible y cuantificable).</w:t>
      </w:r>
    </w:p>
    <w:p>
      <w:pPr>
        <w:pStyle w:val="BodyText"/>
      </w:pPr>
      <w:r>
        <w:t xml:space="preserve">Investigaciones publicadas en</w:t>
      </w:r>
      <w:r>
        <w:t xml:space="preserve"> </w:t>
      </w:r>
      <w:r>
        <w:rPr>
          <w:iCs/>
          <w:i/>
        </w:rPr>
        <w:t xml:space="preserve">Frontiers in Psychiatry</w:t>
      </w:r>
      <w:r>
        <w:t xml:space="preserve"> </w:t>
      </w:r>
      <w:r>
        <w:t xml:space="preserve">y</w:t>
      </w:r>
      <w:r>
        <w:t xml:space="preserve"> </w:t>
      </w:r>
      <w:r>
        <w:rPr>
          <w:iCs/>
          <w:i/>
        </w:rPr>
        <w:t xml:space="preserve">PLOS ONE</w:t>
      </w:r>
      <w:r>
        <w:t xml:space="preserve"> </w:t>
      </w:r>
      <w:r>
        <w:t xml:space="preserve">confirman que el ejercicio actúa como</w:t>
      </w:r>
      <w:r>
        <w:t xml:space="preserve"> </w:t>
      </w:r>
      <w:r>
        <w:t xml:space="preserve">“</w:t>
      </w:r>
      <w:r>
        <w:t xml:space="preserve">medicación natural</w:t>
      </w:r>
      <w:r>
        <w:t xml:space="preserve">”</w:t>
      </w:r>
      <w:r>
        <w:t xml:space="preserve"> </w:t>
      </w:r>
      <w:r>
        <w:t xml:space="preserve">en el TDAH al liberar dopamina y norepinefrina, mientras que en el autismo reduce conductas repetitivas y mejora la comunicación social. Los deportes que funcionan para ambos perfiles simultáneamente son aquellos que combinan acción constante con estructura predecible: el pádel (pista cerrada, reglas claras, pelota siempre en juego), la escalada (puzzle físico con guía visual), las artes marciales (estructura ritual + canalización de energía) o el trail running (cada paso es una decisión técnica que impide la divagación mental).</w:t>
      </w:r>
    </w:p>
    <w:p>
      <w:pPr>
        <w:pStyle w:val="BodyText"/>
      </w:pPr>
      <w:r>
        <w:rPr>
          <w:bCs/>
          <w:b/>
        </w:rPr>
        <w:t xml:space="preserve">La clave es la gamificación:</w:t>
      </w:r>
      <w:r>
        <w:t xml:space="preserve"> </w:t>
      </w:r>
      <w:r>
        <w:t xml:space="preserve">el cerebro TDAH necesita que el ejercicio sea un juego, no una tarea. El cerebro autista necesita que sea un sistema optimizable. Cuando ambas condiciones se cumplen simultáneamente, el deporte se convierte en regulación neurocognitiva.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Deporte</w:t>
            </w:r>
          </w:p>
        </w:tc>
        <w:tc>
          <w:tcPr/>
          <w:p>
            <w:pPr>
              <w:pStyle w:val="Compact"/>
              <w:jc w:val="left"/>
            </w:pPr>
            <w:r>
              <w:rPr>
                <w:bCs/>
                <w:b/>
              </w:rPr>
              <w:t xml:space="preserve">Beneficio TDAH</w:t>
            </w:r>
          </w:p>
        </w:tc>
        <w:tc>
          <w:tcPr/>
          <w:p>
            <w:pPr>
              <w:pStyle w:val="Compact"/>
              <w:jc w:val="left"/>
            </w:pPr>
            <w:r>
              <w:rPr>
                <w:bCs/>
                <w:b/>
              </w:rPr>
              <w:t xml:space="preserve">Beneficio Autismo</w:t>
            </w:r>
          </w:p>
        </w:tc>
        <w:tc>
          <w:tcPr/>
          <w:p>
            <w:pPr>
              <w:pStyle w:val="Compact"/>
              <w:jc w:val="left"/>
            </w:pPr>
            <w:r>
              <w:rPr>
                <w:bCs/>
                <w:b/>
              </w:rPr>
              <w:t xml:space="preserve">Por qué funciona para ambos</w:t>
            </w:r>
          </w:p>
        </w:tc>
      </w:tr>
      <w:tr>
        <w:tc>
          <w:tcPr/>
          <w:p>
            <w:pPr>
              <w:pStyle w:val="Compact"/>
              <w:jc w:val="left"/>
            </w:pPr>
            <w:r>
              <w:rPr>
                <w:bCs/>
                <w:b/>
              </w:rPr>
              <w:t xml:space="preserve">Pádel</w:t>
            </w:r>
          </w:p>
        </w:tc>
        <w:tc>
          <w:tcPr/>
          <w:p>
            <w:pPr>
              <w:pStyle w:val="Compact"/>
              <w:jc w:val="left"/>
            </w:pPr>
            <w:r>
              <w:t xml:space="preserve">Pelota siempre en juego, sin tiempos muertos</w:t>
            </w:r>
          </w:p>
        </w:tc>
        <w:tc>
          <w:tcPr/>
          <w:p>
            <w:pPr>
              <w:pStyle w:val="Compact"/>
              <w:jc w:val="left"/>
            </w:pPr>
            <w:r>
              <w:t xml:space="preserve">Pista cerrada, reglas claras, anticipación</w:t>
            </w:r>
          </w:p>
        </w:tc>
        <w:tc>
          <w:tcPr/>
          <w:p>
            <w:pPr>
              <w:pStyle w:val="Compact"/>
              <w:jc w:val="left"/>
            </w:pPr>
            <w:r>
              <w:t xml:space="preserve">Acción constante + estructura predecible</w:t>
            </w:r>
          </w:p>
        </w:tc>
      </w:tr>
      <w:tr>
        <w:tc>
          <w:tcPr/>
          <w:p>
            <w:pPr>
              <w:pStyle w:val="Compact"/>
              <w:jc w:val="left"/>
            </w:pPr>
            <w:r>
              <w:rPr>
                <w:bCs/>
                <w:b/>
              </w:rPr>
              <w:t xml:space="preserve">Escalada</w:t>
            </w:r>
          </w:p>
        </w:tc>
        <w:tc>
          <w:tcPr/>
          <w:p>
            <w:pPr>
              <w:pStyle w:val="Compact"/>
              <w:jc w:val="left"/>
            </w:pPr>
            <w:r>
              <w:t xml:space="preserve">Puzzle físico, adrenalina, hiperfoco obligado</w:t>
            </w:r>
          </w:p>
        </w:tc>
        <w:tc>
          <w:tcPr/>
          <w:p>
            <w:pPr>
              <w:pStyle w:val="Compact"/>
              <w:jc w:val="left"/>
            </w:pPr>
            <w:r>
              <w:t xml:space="preserve">Técnica repetible, guía visual de colores</w:t>
            </w:r>
          </w:p>
        </w:tc>
        <w:tc>
          <w:tcPr/>
          <w:p>
            <w:pPr>
              <w:pStyle w:val="Compact"/>
              <w:jc w:val="left"/>
            </w:pPr>
            <w:r>
              <w:t xml:space="preserve">Resolución de problemas + sistema optimizable</w:t>
            </w:r>
          </w:p>
        </w:tc>
      </w:tr>
      <w:tr>
        <w:tc>
          <w:tcPr/>
          <w:p>
            <w:pPr>
              <w:pStyle w:val="Compact"/>
              <w:jc w:val="left"/>
            </w:pPr>
            <w:r>
              <w:rPr>
                <w:bCs/>
                <w:b/>
              </w:rPr>
              <w:t xml:space="preserve">Artes marciales</w:t>
            </w:r>
          </w:p>
        </w:tc>
        <w:tc>
          <w:tcPr/>
          <w:p>
            <w:pPr>
              <w:pStyle w:val="Compact"/>
              <w:jc w:val="left"/>
            </w:pPr>
            <w:r>
              <w:t xml:space="preserve">Canalización de energía, freno inhibitorio</w:t>
            </w:r>
          </w:p>
        </w:tc>
        <w:tc>
          <w:tcPr/>
          <w:p>
            <w:pPr>
              <w:pStyle w:val="Compact"/>
              <w:jc w:val="left"/>
            </w:pPr>
            <w:r>
              <w:t xml:space="preserve">Estructura ritual idéntica cada sesión</w:t>
            </w:r>
          </w:p>
        </w:tc>
        <w:tc>
          <w:tcPr/>
          <w:p>
            <w:pPr>
              <w:pStyle w:val="Compact"/>
              <w:jc w:val="left"/>
            </w:pPr>
            <w:r>
              <w:t xml:space="preserve">Energía + rutina</w:t>
            </w:r>
          </w:p>
        </w:tc>
      </w:tr>
      <w:tr>
        <w:tc>
          <w:tcPr/>
          <w:p>
            <w:pPr>
              <w:pStyle w:val="Compact"/>
              <w:jc w:val="left"/>
            </w:pPr>
            <w:r>
              <w:rPr>
                <w:bCs/>
                <w:b/>
              </w:rPr>
              <w:t xml:space="preserve">Trail running</w:t>
            </w:r>
          </w:p>
        </w:tc>
        <w:tc>
          <w:tcPr/>
          <w:p>
            <w:pPr>
              <w:pStyle w:val="Compact"/>
              <w:jc w:val="left"/>
            </w:pPr>
            <w:r>
              <w:t xml:space="preserve">Cada paso es una decisión, no hay monotonía</w:t>
            </w:r>
          </w:p>
        </w:tc>
        <w:tc>
          <w:tcPr/>
          <w:p>
            <w:pPr>
              <w:pStyle w:val="Compact"/>
              <w:jc w:val="left"/>
            </w:pPr>
            <w:r>
              <w:t xml:space="preserve">Naturaleza como ruido blanco sensorial</w:t>
            </w:r>
          </w:p>
        </w:tc>
        <w:tc>
          <w:tcPr/>
          <w:p>
            <w:pPr>
              <w:pStyle w:val="Compact"/>
              <w:jc w:val="left"/>
            </w:pPr>
            <w:r>
              <w:t xml:space="preserve">Estímulo variado + regulación ambiental</w:t>
            </w:r>
          </w:p>
        </w:tc>
      </w:tr>
      <w:tr>
        <w:tc>
          <w:tcPr/>
          <w:p>
            <w:pPr>
              <w:pStyle w:val="Compact"/>
              <w:jc w:val="left"/>
            </w:pPr>
            <w:r>
              <w:rPr>
                <w:bCs/>
                <w:b/>
              </w:rPr>
              <w:t xml:space="preserve">Canicross</w:t>
            </w:r>
          </w:p>
        </w:tc>
        <w:tc>
          <w:tcPr/>
          <w:p>
            <w:pPr>
              <w:pStyle w:val="Compact"/>
              <w:jc w:val="left"/>
            </w:pPr>
            <w:r>
              <w:t xml:space="preserve">El perro añade novedad e imprevisibilidad</w:t>
            </w:r>
          </w:p>
        </w:tc>
        <w:tc>
          <w:tcPr/>
          <w:p>
            <w:pPr>
              <w:pStyle w:val="Compact"/>
              <w:jc w:val="left"/>
            </w:pPr>
            <w:r>
              <w:t xml:space="preserve">Vínculo sensorial con el animal, sin presión social</w:t>
            </w:r>
          </w:p>
        </w:tc>
        <w:tc>
          <w:tcPr/>
          <w:p>
            <w:pPr>
              <w:pStyle w:val="Compact"/>
              <w:jc w:val="left"/>
            </w:pPr>
            <w:r>
              <w:t xml:space="preserve">Gamificación + co-regulación</w:t>
            </w:r>
          </w:p>
        </w:tc>
      </w:tr>
    </w:tbl>
    <w:p>
      <w:pPr>
        <w:pStyle w:val="BodyText"/>
      </w:pPr>
      <w:r>
        <w:rPr>
          <w:iCs/>
          <w:i/>
        </w:rPr>
        <w:t xml:space="preserve">Tabla 6. Deportes con beneficios simultáneos para perfiles TDAH y autistas según el modelo.</w:t>
      </w:r>
    </w:p>
    <w:p>
      <w:pPr>
        <w:pStyle w:val="BodyText"/>
      </w:pPr>
      <w:r>
        <w:rPr>
          <w:iCs/>
          <w:i/>
        </w:rPr>
        <w:t xml:space="preserve">→ Véase Sección 4.1 (Dopamina): el ejercicio como regulador del sistema de recompensa infraestimulado.</w:t>
      </w:r>
    </w:p>
    <w:p>
      <w:pPr>
        <w:pStyle w:val="BodyText"/>
      </w:pPr>
      <w:r>
        <w:rPr>
          <w:iCs/>
          <w:i/>
        </w:rPr>
        <w:t xml:space="preserve">→ Véase Sección 11.1 (Estimulación ambiental): la necesidad de estimulación óptima aplicada al cuerpo.</w:t>
      </w:r>
    </w:p>
    <w:bookmarkEnd w:id="47"/>
    <w:bookmarkStart w:id="48" w:name="X22acbe9ea1b9dd25bdb73095139e6408aea442e"/>
    <w:p>
      <w:pPr>
        <w:pStyle w:val="Heading3"/>
      </w:pPr>
      <w:r>
        <w:rPr>
          <w:bCs/>
          <w:b/>
        </w:rPr>
        <w:t xml:space="preserve">7.3.2. Música como regulación sensorial diferencial</w:t>
      </w:r>
    </w:p>
    <w:p>
      <w:pPr>
        <w:pStyle w:val="FirstParagraph"/>
      </w:pPr>
      <w:r>
        <w:t xml:space="preserve">El procesamiento musical refleja la misma división que el modelo predice en otros dominios:</w:t>
      </w:r>
    </w:p>
    <w:p>
      <w:pPr>
        <w:numPr>
          <w:ilvl w:val="0"/>
          <w:numId w:val="1008"/>
        </w:numPr>
      </w:pPr>
      <w:r>
        <w:rPr>
          <w:bCs/>
          <w:b/>
        </w:rPr>
        <w:t xml:space="preserve">TDAH:</w:t>
      </w:r>
      <w:r>
        <w:t xml:space="preserve"> </w:t>
      </w:r>
      <w:r>
        <w:t xml:space="preserve">La música con ritmo rápido y repetitivo (como el drift phonk) actúa como</w:t>
      </w:r>
      <w:r>
        <w:t xml:space="preserve"> </w:t>
      </w:r>
      <w:r>
        <w:t xml:space="preserve">“</w:t>
      </w:r>
      <w:r>
        <w:t xml:space="preserve">ruido de fondo estimulante</w:t>
      </w:r>
      <w:r>
        <w:t xml:space="preserve">”</w:t>
      </w:r>
      <w:r>
        <w:t xml:space="preserve"> </w:t>
      </w:r>
      <w:r>
        <w:t xml:space="preserve">que compensa la infraactivación dopaminérgica. Los bajos potentes y el tempo acelerado mantienen al cerebro en un nivel de activación que permite concentrarse en otras tareas.</w:t>
      </w:r>
    </w:p>
    <w:p>
      <w:pPr>
        <w:numPr>
          <w:ilvl w:val="0"/>
          <w:numId w:val="1008"/>
        </w:numPr>
      </w:pPr>
      <w:r>
        <w:rPr>
          <w:bCs/>
          <w:b/>
        </w:rPr>
        <w:t xml:space="preserve">Autismo:</w:t>
      </w:r>
      <w:r>
        <w:t xml:space="preserve"> </w:t>
      </w:r>
      <w:r>
        <w:t xml:space="preserve">La preferencia es por estructuras musicales predecibles. La música funciona como stimming auditivo (autoestimulación reguladora). Los bucles constantes reducen la ansiedad. Sin embargo, sonidos distorsionados o letras inteligibles pueden provocar sobrecarga sensorial al activar el procesamiento semántico involuntariamente.</w:t>
      </w:r>
    </w:p>
    <w:p>
      <w:pPr>
        <w:numPr>
          <w:ilvl w:val="0"/>
          <w:numId w:val="1008"/>
        </w:numPr>
      </w:pPr>
      <w:r>
        <w:rPr>
          <w:bCs/>
          <w:b/>
        </w:rPr>
        <w:t xml:space="preserve">Perfil AuDHD:</w:t>
      </w:r>
      <w:r>
        <w:t xml:space="preserve"> </w:t>
      </w:r>
      <w:r>
        <w:t xml:space="preserve">Puede beneficiarse de versiones instrumentales de música rítmica, combinando la estimulación que necesita el eje TDAH con la previsibilidad que necesita el eje autista.</w:t>
      </w:r>
    </w:p>
    <w:p>
      <w:pPr>
        <w:pStyle w:val="FirstParagraph"/>
      </w:pPr>
      <w:r>
        <w:rPr>
          <w:iCs/>
          <w:i/>
        </w:rPr>
        <w:t xml:space="preserve">→ Véase Sección 7 (Procesamiento sensorial): la música como caso específico de modulación sensorial.</w:t>
      </w:r>
    </w:p>
    <w:bookmarkEnd w:id="48"/>
    <w:bookmarkEnd w:id="49"/>
    <w:bookmarkEnd w:id="50"/>
    <w:bookmarkStart w:id="55" w:name="X391e50d95a6841e465acb487f3eb90cd9ce1898"/>
    <w:p>
      <w:pPr>
        <w:pStyle w:val="Heading1"/>
      </w:pPr>
      <w:r>
        <w:rPr>
          <w:bCs/>
          <w:b/>
        </w:rPr>
        <w:t xml:space="preserve">8. Redefinición de las Altas Capacidades (AACC)</w:t>
      </w:r>
    </w:p>
    <w:bookmarkStart w:id="51" w:name="crítica-al-modelo-clásico"/>
    <w:p>
      <w:pPr>
        <w:pStyle w:val="Heading2"/>
      </w:pPr>
      <w:r>
        <w:rPr>
          <w:bCs/>
          <w:b/>
        </w:rPr>
        <w:t xml:space="preserve">8.1. Crítica al modelo clásico</w:t>
      </w:r>
    </w:p>
    <w:p>
      <w:pPr>
        <w:pStyle w:val="FirstParagraph"/>
      </w:pPr>
      <w:r>
        <w:t xml:space="preserve">Las Altas Capacidades se han asociado tradicionalmente a</w:t>
      </w:r>
      <w:r>
        <w:t xml:space="preserve"> </w:t>
      </w:r>
      <w:r>
        <w:t xml:space="preserve">“</w:t>
      </w:r>
      <w:r>
        <w:t xml:space="preserve">mayor inteligencia</w:t>
      </w:r>
      <w:r>
        <w:t xml:space="preserve">”</w:t>
      </w:r>
      <w:r>
        <w:t xml:space="preserve"> </w:t>
      </w:r>
      <w:r>
        <w:t xml:space="preserve">o</w:t>
      </w:r>
      <w:r>
        <w:t xml:space="preserve"> </w:t>
      </w:r>
      <w:r>
        <w:t xml:space="preserve">“</w:t>
      </w:r>
      <w:r>
        <w:t xml:space="preserve">mayor potencial cognitivo.</w:t>
      </w:r>
      <w:r>
        <w:t xml:space="preserve">”</w:t>
      </w:r>
      <w:r>
        <w:t xml:space="preserve"> </w:t>
      </w:r>
      <w:r>
        <w:t xml:space="preserve">Este modelo rechaza esa interpretación por dos motivos: introduce una jerarquía artificial y depende de métricas sesgadas.</w:t>
      </w:r>
    </w:p>
    <w:bookmarkEnd w:id="51"/>
    <w:bookmarkStart w:id="53" w:name="nueva-definición-dentro-del-modelo"/>
    <w:p>
      <w:pPr>
        <w:pStyle w:val="Heading2"/>
      </w:pPr>
      <w:r>
        <w:rPr>
          <w:bCs/>
          <w:b/>
        </w:rPr>
        <w:t xml:space="preserve">8.2. Nueva definición dentro del modelo</w:t>
      </w:r>
    </w:p>
    <w:p>
      <w:pPr>
        <w:pStyle w:val="FirstParagraph"/>
      </w:pPr>
      <w:r>
        <w:rPr>
          <w:bCs/>
          <w:b/>
        </w:rPr>
        <w:t xml:space="preserve">AACC = procesamiento global dentro de un eje.</w:t>
      </w:r>
      <w:r>
        <w:t xml:space="preserve">** **No implica más capacidad, sino mayor abstracción y mayor integración. Es una variación dentro de cada eje, no un eje independiente:</w:t>
      </w:r>
    </w:p>
    <w:p>
      <w:pPr>
        <w:numPr>
          <w:ilvl w:val="0"/>
          <w:numId w:val="1009"/>
        </w:numPr>
      </w:pPr>
      <w:r>
        <w:t xml:space="preserve">En TDAH: especialista = búsqueda de novedad; conectivo (AACC) = conexión simultánea de múltiples elementos.</w:t>
      </w:r>
    </w:p>
    <w:p>
      <w:pPr>
        <w:numPr>
          <w:ilvl w:val="0"/>
          <w:numId w:val="1009"/>
        </w:numPr>
      </w:pPr>
      <w:r>
        <w:t xml:space="preserve">En Autismo: especialista = detalle técnico preciso; conectivo (AACC) = modelo sistémico global.</w:t>
      </w:r>
    </w:p>
    <w:p>
      <w:pPr>
        <w:pStyle w:val="FirstParagraph"/>
      </w:pPr>
      <w:r>
        <w:rPr>
          <w:bCs/>
          <w:b/>
        </w:rPr>
        <w:t xml:space="preserve">Diferencia clave:</w:t>
      </w:r>
      <w:r>
        <w:t xml:space="preserve">** **especialista = procesamiento local; conectivo = procesamiento global. No hay jerarquía.</w:t>
      </w:r>
    </w:p>
    <w:bookmarkStart w:id="52" w:name="Xd69edad9871d2b57829fe1e12ffd0003bae93c6"/>
    <w:p>
      <w:pPr>
        <w:pStyle w:val="Heading3"/>
      </w:pPr>
      <w:r>
        <w:rPr>
          <w:bCs/>
          <w:b/>
        </w:rPr>
        <w:t xml:space="preserve">8.2.1. Correlato neurobiológico: la teoría de integración parieto-frontal (P-FIT)</w:t>
      </w:r>
    </w:p>
    <w:p>
      <w:pPr>
        <w:pStyle w:val="FirstParagraph"/>
      </w:pPr>
      <w:r>
        <w:t xml:space="preserve">La definición del perfil conectivo como</w:t>
      </w:r>
      <w:r>
        <w:t xml:space="preserve"> </w:t>
      </w:r>
      <w:r>
        <w:t xml:space="preserve">“</w:t>
      </w:r>
      <w:r>
        <w:t xml:space="preserve">procesamiento global por integración de redes distribuidas</w:t>
      </w:r>
      <w:r>
        <w:t xml:space="preserve">”</w:t>
      </w:r>
      <w:r>
        <w:t xml:space="preserve"> </w:t>
      </w:r>
      <w:r>
        <w:t xml:space="preserve">tiene sustento empírico en la literatura sobre bases neurales de la inteligencia. Jung y Haier (2007), en revisión de 37 estudios de neuroimagen estructural y funcional, propusieron la</w:t>
      </w:r>
      <w:r>
        <w:t xml:space="preserve"> </w:t>
      </w:r>
      <w:r>
        <w:rPr>
          <w:iCs/>
          <w:i/>
        </w:rPr>
        <w:t xml:space="preserve">Parieto-Frontal Integration Theory</w:t>
      </w:r>
      <w:r>
        <w:t xml:space="preserve"> </w:t>
      </w:r>
      <w:r>
        <w:t xml:space="preserve">(P-FIT). El modelo identifica una red distribuida que comprende corteza prefrontal dorsolateral (áreas de Brodmann 6, 9, 10, 45, 46, 47), lóbulo parietal inferior y superior (BA 7, 39, 40), giro cingulado anterior (BA 32) y regiones temporales y occipitales (BA 18, 19, 21, 37), conectadas por tractos de sustancia blanca (fascículo arqueado, fascículo longitudinal superior). Según el modelo, las diferencias individuales en inteligencia general no se explican por mayor volumen ni mayor activación local, sino por la</w:t>
      </w:r>
      <w:r>
        <w:t xml:space="preserve"> </w:t>
      </w:r>
      <w:r>
        <w:rPr>
          <w:bCs/>
          <w:b/>
        </w:rPr>
        <w:t xml:space="preserve">eficiencia de comunicación entre nodos distantes</w:t>
      </w:r>
      <w:r>
        <w:t xml:space="preserve"> </w:t>
      </w:r>
      <w:r>
        <w:t xml:space="preserve">dentro de esta red.</w:t>
      </w:r>
    </w:p>
    <w:p>
      <w:pPr>
        <w:pStyle w:val="BodyText"/>
      </w:pPr>
      <w:r>
        <w:t xml:space="preserve">La P-FIT proporciona un sustrato neurobiológico coherente con la definición de</w:t>
      </w:r>
      <w:r>
        <w:t xml:space="preserve"> </w:t>
      </w:r>
      <w:r>
        <w:t xml:space="preserve">“</w:t>
      </w:r>
      <w:r>
        <w:t xml:space="preserve">conectivo</w:t>
      </w:r>
      <w:r>
        <w:t xml:space="preserve">”</w:t>
      </w:r>
      <w:r>
        <w:t xml:space="preserve"> </w:t>
      </w:r>
      <w:r>
        <w:t xml:space="preserve">propuesta en este modelo: lo que distingue al perfil conectivo no es disponer de más recursos cognitivos sino integrar de forma más eficaz información procedente de regiones distantes. Conviene, no obstante, mantener una distinción terminológica precisa: la P-FIT describe una propiedad empírica de redes neurales (eficiencia de integración distribuida); el</w:t>
      </w:r>
      <w:r>
        <w:t xml:space="preserve"> </w:t>
      </w:r>
      <w:r>
        <w:t xml:space="preserve">“</w:t>
      </w:r>
      <w:r>
        <w:t xml:space="preserve">pensamiento arbóreo</w:t>
      </w:r>
      <w:r>
        <w:t xml:space="preserve">”</w:t>
      </w:r>
      <w:r>
        <w:t xml:space="preserve"> </w:t>
      </w:r>
      <w:r>
        <w:t xml:space="preserve">es una reformulación conceptual propuesta en este trabajo para describir la fenomenología subjetiva de esa integración. Ambos conceptos son compatibles, pero no equivalentes, y no deben presentarse como sinónimos.</w:t>
      </w:r>
    </w:p>
    <w:bookmarkEnd w:id="52"/>
    <w:bookmarkEnd w:id="53"/>
    <w:bookmarkStart w:id="54" w:name="crítica-a-los-tests-de-inteligencia"/>
    <w:p>
      <w:pPr>
        <w:pStyle w:val="Heading2"/>
      </w:pPr>
      <w:r>
        <w:rPr>
          <w:bCs/>
          <w:b/>
        </w:rPr>
        <w:t xml:space="preserve">8.3. Crítica a los tests de inteligencia</w:t>
      </w:r>
    </w:p>
    <w:p>
      <w:pPr>
        <w:pStyle w:val="FirstParagraph"/>
      </w:pPr>
      <w:r>
        <w:t xml:space="preserve">Los tests clásicos de inteligencia miden rendimiento en tareas estructuradas, reconocimiento de patrones y persistencia en condiciones controladas. Esto favorece perfiles monotrópicos, estructurados y motivados por la tarea. Un TDAH que no se interesa por la prueba pasará desapercibido. Un autista la resolverá con precisión porque el formato está diseñado para su tipo de procesamiento.</w:t>
      </w:r>
    </w:p>
    <w:p>
      <w:pPr>
        <w:pStyle w:val="BodyText"/>
      </w:pPr>
      <w:r>
        <w:rPr>
          <w:bCs/>
          <w:b/>
        </w:rPr>
        <w:t xml:space="preserve">Reformulación:</w:t>
      </w:r>
      <w:r>
        <w:t xml:space="preserve">** **Un test de inteligencia mide la capacidad de adaptarse a un formato de evaluación concreto, no la capacidad cognitiva global. No mide creatividad real, adaptación contextual ni toma de decisiones en entornos dinámicos.</w:t>
      </w:r>
    </w:p>
    <w:p>
      <w:pPr>
        <w:pStyle w:val="BodyText"/>
      </w:pPr>
      <w:r>
        <w:rPr>
          <w:iCs/>
          <w:i/>
        </w:rPr>
        <w:t xml:space="preserve">→ Véase Sección 2 (Marco conceptual) para la distinción entre conectivo y especialista sin jerarquía.</w:t>
      </w:r>
    </w:p>
    <w:bookmarkEnd w:id="54"/>
    <w:bookmarkEnd w:id="55"/>
    <w:bookmarkStart w:id="60" w:name="X31dab2b3cc5a7c4cdd1f035e9ba97103f89f725"/>
    <w:p>
      <w:pPr>
        <w:pStyle w:val="Heading1"/>
      </w:pPr>
      <w:r>
        <w:rPr>
          <w:bCs/>
          <w:b/>
        </w:rPr>
        <w:t xml:space="preserve">9. Hipótesis antropológica: especialización evolutiva</w:t>
      </w:r>
    </w:p>
    <w:p>
      <w:pPr>
        <w:pStyle w:val="FirstParagraph"/>
      </w:pPr>
      <w:r>
        <w:t xml:space="preserve">La neurodiversidad no representa un error del sistema, sino la persistencia de arquitecturas cognitivas diseñadas para entornos distintos al actual. Dentro de sistemas humanos prehistóricos, la supervivencia dependía de cubrir distintos tipos de recursos, no de homogeneidad cognitiva.</w:t>
      </w:r>
    </w:p>
    <w:bookmarkStart w:id="56" w:name="eje-tdah-dominio-del-movimiento"/>
    <w:p>
      <w:pPr>
        <w:pStyle w:val="Heading2"/>
      </w:pPr>
      <w:r>
        <w:rPr>
          <w:bCs/>
          <w:b/>
        </w:rPr>
        <w:t xml:space="preserve">9.1. Eje TDAH: dominio del movimiento</w:t>
      </w:r>
    </w:p>
    <w:p>
      <w:pPr>
        <w:pStyle w:val="FirstParagraph"/>
      </w:pPr>
      <w:r>
        <w:t xml:space="preserve">El cerebro TDAH está diseñado para entornos de baja predictibilidad donde el recurso debe ser buscado o perseguido. Su atención es simultánea y conectiva.</w:t>
      </w:r>
    </w:p>
    <w:p>
      <w:pPr>
        <w:pStyle w:val="BodyText"/>
      </w:pPr>
      <w:r>
        <w:rPr>
          <w:bCs/>
          <w:b/>
        </w:rPr>
        <w:t xml:space="preserve">TDAH especialista — El Cazador:</w:t>
      </w:r>
      <w:r>
        <w:t xml:space="preserve">** **Su función es la prospección constante. Produce mediante la energía cinética y la detección de novedades. En un entorno estático, su sistema se apaga por falta de estímulo.</w:t>
      </w:r>
    </w:p>
    <w:p>
      <w:pPr>
        <w:pStyle w:val="BodyText"/>
      </w:pPr>
      <w:r>
        <w:rPr>
          <w:bCs/>
          <w:b/>
        </w:rPr>
        <w:t xml:space="preserve">TDAH conectivo — El Coordinador:</w:t>
      </w:r>
      <w:r>
        <w:t xml:space="preserve">** **Es el estratega de campo. Su talento es conectar las variables del entorno (clima, terreno, grupo) para asegurar el éxito de la captura. Transforma la pulsión de búsqueda en un plan de acción socialmente útil.</w:t>
      </w:r>
    </w:p>
    <w:p>
      <w:pPr>
        <w:pStyle w:val="BodyText"/>
      </w:pPr>
      <w:r>
        <w:rPr>
          <w:iCs/>
          <w:i/>
        </w:rPr>
        <w:t xml:space="preserve">→ Véase Sección 10 (Reconversión funcional) para cómo este perfil migró a roles bélicos y de exploración.</w:t>
      </w:r>
    </w:p>
    <w:bookmarkEnd w:id="56"/>
    <w:bookmarkStart w:id="57" w:name="eje-autista-dominio-del-conocimiento"/>
    <w:p>
      <w:pPr>
        <w:pStyle w:val="Heading2"/>
      </w:pPr>
      <w:r>
        <w:rPr>
          <w:bCs/>
          <w:b/>
        </w:rPr>
        <w:t xml:space="preserve">9.2. Eje Autista: dominio del conocimiento</w:t>
      </w:r>
    </w:p>
    <w:p>
      <w:pPr>
        <w:pStyle w:val="FirstParagraph"/>
      </w:pPr>
      <w:r>
        <w:t xml:space="preserve">El cerebro autista está diseñado para la explotación de recursos estáticos y sistemas complejos. Su atención es focalizada y profunda. La hipótesis del modelo vincula el autismo con la especialización en recolección, no con la caza.</w:t>
      </w:r>
    </w:p>
    <w:p>
      <w:pPr>
        <w:pStyle w:val="BodyText"/>
      </w:pPr>
      <w:r>
        <w:rPr>
          <w:bCs/>
          <w:b/>
        </w:rPr>
        <w:t xml:space="preserve">Autista especialista — El Recolector Técnico:</w:t>
      </w:r>
      <w:r>
        <w:t xml:space="preserve">** **Es el guardián de la calidad. Su capacidad de discriminación sensorial le permite distinguir el detalle crítico: veneno frente a medicina, material óptimo para herramientas. El único capaz de memorizar miles de texturas, raíces y variaciones.</w:t>
      </w:r>
    </w:p>
    <w:p>
      <w:pPr>
        <w:pStyle w:val="BodyText"/>
      </w:pPr>
      <w:r>
        <w:rPr>
          <w:bCs/>
          <w:b/>
        </w:rPr>
        <w:t xml:space="preserve">Autista conectivo — El Ingeniero de Sistemas:</w:t>
      </w:r>
      <w:r>
        <w:t xml:space="preserve">** **Es el responsable de la escala. Entiende los ciclos naturales como un sistema completo:</w:t>
      </w:r>
      <w:r>
        <w:t xml:space="preserve"> </w:t>
      </w:r>
      <w:r>
        <w:t xml:space="preserve">“</w:t>
      </w:r>
      <w:r>
        <w:t xml:space="preserve">si el pájaro X anida ahora, en tres días la raíz Y estará lista para ser excavada.</w:t>
      </w:r>
      <w:r>
        <w:t xml:space="preserve">”</w:t>
      </w:r>
      <w:r>
        <w:t xml:space="preserve"> </w:t>
      </w:r>
      <w:r>
        <w:t xml:space="preserve">Es el precursor de la agricultura y la arquitectura.</w:t>
      </w:r>
    </w:p>
    <w:bookmarkEnd w:id="57"/>
    <w:bookmarkStart w:id="58" w:name="X3ac8f32b1b4702398cedd1754f7d7a47c3e3bec"/>
    <w:p>
      <w:pPr>
        <w:pStyle w:val="Heading2"/>
      </w:pPr>
      <w:r>
        <w:rPr>
          <w:bCs/>
          <w:b/>
        </w:rPr>
        <w:t xml:space="preserve">9.3. Centro neurotípico: dominio de la estabilidad</w:t>
      </w:r>
    </w:p>
    <w:p>
      <w:pPr>
        <w:pStyle w:val="FirstParagraph"/>
      </w:pPr>
      <w:r>
        <w:t xml:space="preserve">Atención normativa y ejecución eficiente. Representa el mantenimiento de la cohesión grupal y la gestión de lo ya conocido. No escala la producción ni descubre nuevas zonas, pero asegura que lo existente se gestione con eficiencia. Su función es la sostenibilidad del día a día.</w:t>
      </w:r>
    </w:p>
    <w:bookmarkEnd w:id="58"/>
    <w:bookmarkStart w:id="59" w:name="complementariedad-funcional"/>
    <w:p>
      <w:pPr>
        <w:pStyle w:val="Heading2"/>
      </w:pPr>
      <w:r>
        <w:rPr>
          <w:bCs/>
          <w:b/>
        </w:rPr>
        <w:t xml:space="preserve">9.4. Complementariedad funcional</w:t>
      </w:r>
    </w:p>
    <w:p>
      <w:pPr>
        <w:pStyle w:val="FirstParagraph"/>
      </w:pPr>
      <w:r>
        <w:t xml:space="preserve">El sistema completo funciona como una organización complementaria:</w:t>
      </w:r>
    </w:p>
    <w:p>
      <w:pPr>
        <w:numPr>
          <w:ilvl w:val="0"/>
          <w:numId w:val="1010"/>
        </w:numPr>
      </w:pPr>
      <w:r>
        <w:rPr>
          <w:bCs/>
          <w:b/>
        </w:rPr>
        <w:t xml:space="preserve">TDAH →</w:t>
      </w:r>
      <w:r>
        <w:t xml:space="preserve">** **descubre y captura (recurso en movimiento)</w:t>
      </w:r>
    </w:p>
    <w:p>
      <w:pPr>
        <w:numPr>
          <w:ilvl w:val="0"/>
          <w:numId w:val="1010"/>
        </w:numPr>
      </w:pPr>
      <w:r>
        <w:rPr>
          <w:bCs/>
          <w:b/>
        </w:rPr>
        <w:t xml:space="preserve">Autismo →</w:t>
      </w:r>
      <w:r>
        <w:t xml:space="preserve">** **optimiza y estructura (recurso estático)</w:t>
      </w:r>
    </w:p>
    <w:p>
      <w:pPr>
        <w:numPr>
          <w:ilvl w:val="0"/>
          <w:numId w:val="1010"/>
        </w:numPr>
      </w:pPr>
      <w:r>
        <w:rPr>
          <w:bCs/>
          <w:b/>
        </w:rPr>
        <w:t xml:space="preserve">Neurotípico →</w:t>
      </w:r>
      <w:r>
        <w:t xml:space="preserve">** **mantiene y reproduce (cohesión social)</w:t>
      </w:r>
    </w:p>
    <w:p>
      <w:pPr>
        <w:pStyle w:val="FirstParagraph"/>
      </w:pPr>
      <w:r>
        <w:rPr>
          <w:bCs/>
          <w:b/>
        </w:rPr>
        <w:t xml:space="preserve">Ningún eje es suficiente por sí solo.</w:t>
      </w:r>
      <w:r>
        <w:t xml:space="preserve">** **La supervivencia del grupo dependía de cubrir los tres vectores: la tribu necesitaba carne y plantas, acción y conocimiento, exploración y estabilidad.</w:t>
      </w:r>
    </w:p>
    <w:p>
      <w:pPr>
        <w:pStyle w:val="BodyText"/>
      </w:pPr>
      <w:r>
        <w:t xml:space="preserve">El mecanismo de complementariedad es preciso: cuando el TDAH detecta una oportunidad (una presa, un recurso, una idea), su perfil lanza la hipótesis al grupo. Si el autista reconoce que hay un sistema factible detrás, se activa su motivación por sistematización inmediata.</w:t>
      </w:r>
      <w:r>
        <w:t xml:space="preserve"> </w:t>
      </w:r>
      <w:r>
        <w:rPr>
          <w:bCs/>
          <w:b/>
        </w:rPr>
        <w:t xml:space="preserve">Uno introduce variabilidad; el otro la convierte en estructura.</w:t>
      </w:r>
      <w:r>
        <w:t xml:space="preserve">** **Uno ve la posibilidad donde no hay nada; el otro ve el sistema perfecto que puede nacer de ahí.</w:t>
      </w:r>
    </w:p>
    <w:p>
      <w:pPr>
        <w:pStyle w:val="BodyText"/>
      </w:pPr>
      <w:r>
        <w:rPr>
          <w:iCs/>
          <w:i/>
        </w:rPr>
        <w:t xml:space="preserve">→ Véase Sección 7.2 (Body doubling): esta dinámica sigue observándose en colaboraciones modernas entre perfiles neurodivergentes.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Perfil</w:t>
            </w:r>
          </w:p>
        </w:tc>
        <w:tc>
          <w:tcPr/>
          <w:p>
            <w:pPr>
              <w:pStyle w:val="Compact"/>
              <w:jc w:val="left"/>
            </w:pPr>
            <w:r>
              <w:rPr>
                <w:bCs/>
                <w:b/>
              </w:rPr>
              <w:t xml:space="preserve">Rol Antropológico</w:t>
            </w:r>
          </w:p>
        </w:tc>
        <w:tc>
          <w:tcPr/>
          <w:p>
            <w:pPr>
              <w:pStyle w:val="Compact"/>
              <w:jc w:val="left"/>
            </w:pPr>
            <w:r>
              <w:rPr>
                <w:bCs/>
                <w:b/>
              </w:rPr>
              <w:t xml:space="preserve">Tipo de Recurso</w:t>
            </w:r>
          </w:p>
        </w:tc>
        <w:tc>
          <w:tcPr/>
          <w:p>
            <w:pPr>
              <w:pStyle w:val="Compact"/>
              <w:jc w:val="left"/>
            </w:pPr>
            <w:r>
              <w:rPr>
                <w:bCs/>
                <w:b/>
              </w:rPr>
              <w:t xml:space="preserve">Método</w:t>
            </w:r>
          </w:p>
        </w:tc>
        <w:tc>
          <w:tcPr/>
          <w:p>
            <w:pPr>
              <w:pStyle w:val="Compact"/>
              <w:jc w:val="left"/>
            </w:pPr>
            <w:r>
              <w:rPr>
                <w:bCs/>
                <w:b/>
              </w:rPr>
              <w:t xml:space="preserve">Función</w:t>
            </w:r>
          </w:p>
        </w:tc>
      </w:tr>
      <w:tr>
        <w:tc>
          <w:tcPr/>
          <w:p>
            <w:pPr>
              <w:pStyle w:val="Compact"/>
              <w:jc w:val="left"/>
            </w:pPr>
            <w:r>
              <w:rPr>
                <w:bCs/>
                <w:b/>
              </w:rPr>
              <w:t xml:space="preserve">TDAH Especialista</w:t>
            </w:r>
          </w:p>
        </w:tc>
        <w:tc>
          <w:tcPr/>
          <w:p>
            <w:pPr>
              <w:pStyle w:val="Compact"/>
              <w:jc w:val="left"/>
            </w:pPr>
            <w:r>
              <w:t xml:space="preserve">Cazador / Rastreador</w:t>
            </w:r>
          </w:p>
        </w:tc>
        <w:tc>
          <w:tcPr/>
          <w:p>
            <w:pPr>
              <w:pStyle w:val="Compact"/>
              <w:jc w:val="left"/>
            </w:pPr>
            <w:r>
              <w:t xml:space="preserve">En movimiento</w:t>
            </w:r>
          </w:p>
        </w:tc>
        <w:tc>
          <w:tcPr/>
          <w:p>
            <w:pPr>
              <w:pStyle w:val="Compact"/>
              <w:jc w:val="left"/>
            </w:pPr>
            <w:r>
              <w:t xml:space="preserve">Acción directa</w:t>
            </w:r>
          </w:p>
        </w:tc>
        <w:tc>
          <w:tcPr/>
          <w:p>
            <w:pPr>
              <w:pStyle w:val="Compact"/>
              <w:jc w:val="left"/>
            </w:pPr>
            <w:r>
              <w:t xml:space="preserve">Detección y captura</w:t>
            </w:r>
          </w:p>
        </w:tc>
      </w:tr>
      <w:tr>
        <w:tc>
          <w:tcPr/>
          <w:p>
            <w:pPr>
              <w:pStyle w:val="Compact"/>
              <w:jc w:val="left"/>
            </w:pPr>
            <w:r>
              <w:rPr>
                <w:bCs/>
                <w:b/>
              </w:rPr>
              <w:t xml:space="preserve">TDAH Conectivo</w:t>
            </w:r>
          </w:p>
        </w:tc>
        <w:tc>
          <w:tcPr/>
          <w:p>
            <w:pPr>
              <w:pStyle w:val="Compact"/>
              <w:jc w:val="left"/>
            </w:pPr>
            <w:r>
              <w:t xml:space="preserve">Coordinador / Estratega</w:t>
            </w:r>
          </w:p>
        </w:tc>
        <w:tc>
          <w:tcPr/>
          <w:p>
            <w:pPr>
              <w:pStyle w:val="Compact"/>
              <w:jc w:val="left"/>
            </w:pPr>
            <w:r>
              <w:t xml:space="preserve">En movimiento</w:t>
            </w:r>
          </w:p>
        </w:tc>
        <w:tc>
          <w:tcPr/>
          <w:p>
            <w:pPr>
              <w:pStyle w:val="Compact"/>
              <w:jc w:val="left"/>
            </w:pPr>
            <w:r>
              <w:t xml:space="preserve">Conexión de variables</w:t>
            </w:r>
          </w:p>
        </w:tc>
        <w:tc>
          <w:tcPr/>
          <w:p>
            <w:pPr>
              <w:pStyle w:val="Compact"/>
              <w:jc w:val="left"/>
            </w:pPr>
            <w:r>
              <w:t xml:space="preserve">Optimización de la caza</w:t>
            </w:r>
          </w:p>
        </w:tc>
      </w:tr>
      <w:tr>
        <w:tc>
          <w:tcPr/>
          <w:p>
            <w:pPr>
              <w:pStyle w:val="Compact"/>
              <w:jc w:val="left"/>
            </w:pPr>
            <w:r>
              <w:rPr>
                <w:bCs/>
                <w:b/>
              </w:rPr>
              <w:t xml:space="preserve">Autista Especialista</w:t>
            </w:r>
          </w:p>
        </w:tc>
        <w:tc>
          <w:tcPr/>
          <w:p>
            <w:pPr>
              <w:pStyle w:val="Compact"/>
              <w:jc w:val="left"/>
            </w:pPr>
            <w:r>
              <w:t xml:space="preserve">Recolector técnico</w:t>
            </w:r>
          </w:p>
        </w:tc>
        <w:tc>
          <w:tcPr/>
          <w:p>
            <w:pPr>
              <w:pStyle w:val="Compact"/>
              <w:jc w:val="left"/>
            </w:pPr>
            <w:r>
              <w:t xml:space="preserve">Estático</w:t>
            </w:r>
          </w:p>
        </w:tc>
        <w:tc>
          <w:tcPr/>
          <w:p>
            <w:pPr>
              <w:pStyle w:val="Compact"/>
              <w:jc w:val="left"/>
            </w:pPr>
            <w:r>
              <w:t xml:space="preserve">Discriminación precisa</w:t>
            </w:r>
          </w:p>
        </w:tc>
        <w:tc>
          <w:tcPr/>
          <w:p>
            <w:pPr>
              <w:pStyle w:val="Compact"/>
              <w:jc w:val="left"/>
            </w:pPr>
            <w:r>
              <w:t xml:space="preserve">Calidad del recurso</w:t>
            </w:r>
          </w:p>
        </w:tc>
      </w:tr>
      <w:tr>
        <w:tc>
          <w:tcPr/>
          <w:p>
            <w:pPr>
              <w:pStyle w:val="Compact"/>
              <w:jc w:val="left"/>
            </w:pPr>
            <w:r>
              <w:rPr>
                <w:bCs/>
                <w:b/>
              </w:rPr>
              <w:t xml:space="preserve">Autista Conectivo</w:t>
            </w:r>
          </w:p>
        </w:tc>
        <w:tc>
          <w:tcPr/>
          <w:p>
            <w:pPr>
              <w:pStyle w:val="Compact"/>
              <w:jc w:val="left"/>
            </w:pPr>
            <w:r>
              <w:t xml:space="preserve">Ingeniero de ciclos</w:t>
            </w:r>
          </w:p>
        </w:tc>
        <w:tc>
          <w:tcPr/>
          <w:p>
            <w:pPr>
              <w:pStyle w:val="Compact"/>
              <w:jc w:val="left"/>
            </w:pPr>
            <w:r>
              <w:t xml:space="preserve">Estático</w:t>
            </w:r>
          </w:p>
        </w:tc>
        <w:tc>
          <w:tcPr/>
          <w:p>
            <w:pPr>
              <w:pStyle w:val="Compact"/>
              <w:jc w:val="left"/>
            </w:pPr>
            <w:r>
              <w:t xml:space="preserve">Sistematización</w:t>
            </w:r>
          </w:p>
        </w:tc>
        <w:tc>
          <w:tcPr/>
          <w:p>
            <w:pPr>
              <w:pStyle w:val="Compact"/>
              <w:jc w:val="left"/>
            </w:pPr>
            <w:r>
              <w:t xml:space="preserve">Escala y producción</w:t>
            </w:r>
          </w:p>
        </w:tc>
      </w:tr>
      <w:tr>
        <w:tc>
          <w:tcPr/>
          <w:p>
            <w:pPr>
              <w:pStyle w:val="Compact"/>
              <w:jc w:val="left"/>
            </w:pPr>
            <w:r>
              <w:rPr>
                <w:bCs/>
                <w:b/>
              </w:rPr>
              <w:t xml:space="preserve">Neurotípico</w:t>
            </w:r>
          </w:p>
        </w:tc>
        <w:tc>
          <w:tcPr/>
          <w:p>
            <w:pPr>
              <w:pStyle w:val="Compact"/>
              <w:jc w:val="left"/>
            </w:pPr>
            <w:r>
              <w:t xml:space="preserve">Gestor de la aldea</w:t>
            </w:r>
          </w:p>
        </w:tc>
        <w:tc>
          <w:tcPr/>
          <w:p>
            <w:pPr>
              <w:pStyle w:val="Compact"/>
              <w:jc w:val="left"/>
            </w:pPr>
            <w:r>
              <w:t xml:space="preserve">Conocido</w:t>
            </w:r>
          </w:p>
        </w:tc>
        <w:tc>
          <w:tcPr/>
          <w:p>
            <w:pPr>
              <w:pStyle w:val="Compact"/>
              <w:jc w:val="left"/>
            </w:pPr>
            <w:r>
              <w:t xml:space="preserve">Repetición eficiente</w:t>
            </w:r>
          </w:p>
        </w:tc>
        <w:tc>
          <w:tcPr/>
          <w:p>
            <w:pPr>
              <w:pStyle w:val="Compact"/>
              <w:jc w:val="left"/>
            </w:pPr>
            <w:r>
              <w:t xml:space="preserve">Cohesión y estabilidad</w:t>
            </w:r>
          </w:p>
        </w:tc>
      </w:tr>
    </w:tbl>
    <w:p>
      <w:pPr>
        <w:pStyle w:val="BodyText"/>
      </w:pPr>
      <w:r>
        <w:rPr>
          <w:iCs/>
          <w:i/>
        </w:rPr>
        <w:t xml:space="preserve">Tabla 3. Correspondencia entre perfiles neurocognitivos y roles antropológicos en sociedades cazadoras-recolectoras.</w:t>
      </w:r>
    </w:p>
    <w:bookmarkEnd w:id="59"/>
    <w:bookmarkEnd w:id="60"/>
    <w:bookmarkStart w:id="65" w:name="Xd3d8ec590451e0155d988c01aab01585e51eef0"/>
    <w:p>
      <w:pPr>
        <w:pStyle w:val="Heading1"/>
      </w:pPr>
      <w:r>
        <w:rPr>
          <w:bCs/>
          <w:b/>
        </w:rPr>
        <w:t xml:space="preserve">10. Reconversión funcional del TDAH tras la estabulación</w:t>
      </w:r>
    </w:p>
    <w:bookmarkStart w:id="61" w:name="el-choque-de-la-civilización"/>
    <w:p>
      <w:pPr>
        <w:pStyle w:val="Heading2"/>
      </w:pPr>
      <w:r>
        <w:rPr>
          <w:bCs/>
          <w:b/>
        </w:rPr>
        <w:t xml:space="preserve">10.1. El choque de la civilización</w:t>
      </w:r>
    </w:p>
    <w:p>
      <w:pPr>
        <w:pStyle w:val="FirstParagraph"/>
      </w:pPr>
      <w:r>
        <w:t xml:space="preserve">Cuando la humanidad transitó de sociedades nómadas a sedentarias, la estructura social se volvió predominantemente estática. La agricultura y la estabulación son sistemas que requieren rutina, repetición y observación obsesiva del ciclo natural: tareas puramente alineadas con el eje vertical (autista) y el centro (neurotípico). Se empezó a premiar la repetición y el orden.</w:t>
      </w:r>
    </w:p>
    <w:bookmarkEnd w:id="61"/>
    <w:bookmarkStart w:id="62" w:name="la-crisis-del-cazador"/>
    <w:p>
      <w:pPr>
        <w:pStyle w:val="Heading2"/>
      </w:pPr>
      <w:r>
        <w:rPr>
          <w:bCs/>
          <w:b/>
        </w:rPr>
        <w:t xml:space="preserve">10.2. La crisis del cazador</w:t>
      </w:r>
    </w:p>
    <w:p>
      <w:pPr>
        <w:pStyle w:val="FirstParagraph"/>
      </w:pPr>
      <w:r>
        <w:t xml:space="preserve">Para el perfil TDAH, la estabulación fue una trampa sensorial. La habilidad para detectar movimientos en el horizonte o reaccionar a estímulos impredecibles dejó de tener utilidad frente a una azada. El cazador se quedó sin bosque.</w:t>
      </w:r>
    </w:p>
    <w:bookmarkEnd w:id="62"/>
    <w:bookmarkStart w:id="63" w:name="hipótesis-de-reconversión"/>
    <w:p>
      <w:pPr>
        <w:pStyle w:val="Heading2"/>
      </w:pPr>
      <w:r>
        <w:rPr>
          <w:bCs/>
          <w:b/>
        </w:rPr>
        <w:t xml:space="preserve">10.3. Hipótesis de reconversión</w:t>
      </w:r>
    </w:p>
    <w:p>
      <w:pPr>
        <w:pStyle w:val="FirstParagraph"/>
      </w:pPr>
      <w:r>
        <w:t xml:space="preserve">El modelo propone que el TDAH no desaparece con el sedentarismo, sino que</w:t>
      </w:r>
      <w:r>
        <w:t xml:space="preserve"> </w:t>
      </w:r>
      <w:r>
        <w:rPr>
          <w:bCs/>
          <w:b/>
        </w:rPr>
        <w:t xml:space="preserve">se desplaza hacia funciones de exploración de nuevos límites</w:t>
      </w:r>
      <w:r>
        <w:t xml:space="preserve">:</w:t>
      </w:r>
    </w:p>
    <w:p>
      <w:pPr>
        <w:numPr>
          <w:ilvl w:val="0"/>
          <w:numId w:val="1011"/>
        </w:numPr>
      </w:pPr>
      <w:r>
        <w:t xml:space="preserve">Expansión territorial y exploración geográfica</w:t>
      </w:r>
    </w:p>
    <w:p>
      <w:pPr>
        <w:numPr>
          <w:ilvl w:val="0"/>
          <w:numId w:val="1011"/>
        </w:numPr>
      </w:pPr>
      <w:r>
        <w:t xml:space="preserve">Contextos bélicos y de alta incertidumbre</w:t>
      </w:r>
    </w:p>
    <w:p>
      <w:pPr>
        <w:numPr>
          <w:ilvl w:val="0"/>
          <w:numId w:val="1011"/>
        </w:numPr>
      </w:pPr>
      <w:r>
        <w:t xml:space="preserve">Comercio, logística entre aldeas y política</w:t>
      </w:r>
    </w:p>
    <w:p>
      <w:pPr>
        <w:pStyle w:val="FirstParagraph"/>
      </w:pPr>
      <w:r>
        <w:t xml:space="preserve">La impulsividad, la tolerancia al caos y la baja latencia entre estímulo y acción se convirtieron en ventajas operativas en escenarios de conflicto y frontera. Lo que hoy la clínica llama inatención, en el contexto bélico era vigilancia estratégica. Lo que hoy se llama impulsividad, era capacidad de decisión rápida bajo presión.</w:t>
      </w:r>
    </w:p>
    <w:p>
      <w:pPr>
        <w:pStyle w:val="BodyText"/>
      </w:pPr>
      <w:r>
        <w:rPr>
          <w:iCs/>
          <w:i/>
        </w:rPr>
        <w:t xml:space="preserve">→ Véase Sección 11.4 para la relación entre impulsividad y adaptación a entornos de caos.</w:t>
      </w:r>
    </w:p>
    <w:bookmarkEnd w:id="63"/>
    <w:bookmarkStart w:id="64" w:name="diferenciación-con-el-eje-autista"/>
    <w:p>
      <w:pPr>
        <w:pStyle w:val="Heading2"/>
      </w:pPr>
      <w:r>
        <w:rPr>
          <w:bCs/>
          <w:b/>
        </w:rPr>
        <w:t xml:space="preserve">10.4. Diferenciación con el eje autista</w:t>
      </w:r>
    </w:p>
    <w:p>
      <w:pPr>
        <w:pStyle w:val="FirstParagraph"/>
      </w:pPr>
      <w:r>
        <w:t xml:space="preserve">El TDAH genera la hipótesis y el movimiento hacia lo desconocido. El autismo estructura, valida y optimiza esa hipótesis. No compiten, se complementan. El TDAH introduce variabilidad en el sistema; el autismo la convierte en estructura estable.</w:t>
      </w:r>
    </w:p>
    <w:bookmarkEnd w:id="64"/>
    <w:bookmarkEnd w:id="65"/>
    <w:bookmarkStart w:id="73" w:name="X6093bb67db8f5ad9f323159ff33f1e1e4ea0970"/>
    <w:p>
      <w:pPr>
        <w:pStyle w:val="Heading1"/>
      </w:pPr>
      <w:r>
        <w:rPr>
          <w:bCs/>
          <w:b/>
        </w:rPr>
        <w:t xml:space="preserve">11. Estimulación ambiental, impulsividad y evidencia empírica</w:t>
      </w:r>
    </w:p>
    <w:bookmarkStart w:id="66" w:name="base-neurobiológica-de-la-estimulación"/>
    <w:p>
      <w:pPr>
        <w:pStyle w:val="Heading2"/>
      </w:pPr>
      <w:r>
        <w:rPr>
          <w:bCs/>
          <w:b/>
        </w:rPr>
        <w:t xml:space="preserve">11.1. Base neurobiológica de la estimulación</w:t>
      </w:r>
    </w:p>
    <w:p>
      <w:pPr>
        <w:pStyle w:val="FirstParagraph"/>
      </w:pPr>
      <w:r>
        <w:t xml:space="preserve">El TDAH se asocia a alteraciones en el sistema dopaminérgico, implicado en motivación, atención y recompensa. Los fármacos estimulantes aumentan la disponibilidad de dopamina, lo que incrementa la saliencia y el interés de tareas previamente no motivantes (Volkow et al., 2009). Diversos modelos sugieren que las personas con TDAH requieren mayor nivel de estimulación para alcanzar un rendimiento óptimo.</w:t>
      </w:r>
    </w:p>
    <w:p>
      <w:pPr>
        <w:pStyle w:val="BodyText"/>
      </w:pPr>
      <w:r>
        <w:rPr>
          <w:bCs/>
          <w:b/>
        </w:rPr>
        <w:t xml:space="preserve">El cerebro con TDAH no busca distracción, busca el nivel de estimulación necesario para funcionar correctamente.</w:t>
      </w:r>
    </w:p>
    <w:p>
      <w:pPr>
        <w:pStyle w:val="BodyText"/>
      </w:pPr>
      <w:r>
        <w:rPr>
          <w:iCs/>
          <w:i/>
        </w:rPr>
        <w:t xml:space="preserve">→ Véase Sección 4.1 para las bases dopaminérgicas.</w:t>
      </w:r>
    </w:p>
    <w:bookmarkEnd w:id="66"/>
    <w:bookmarkStart w:id="67" w:name="innovación-conectiva"/>
    <w:p>
      <w:pPr>
        <w:pStyle w:val="Heading2"/>
      </w:pPr>
      <w:r>
        <w:rPr>
          <w:bCs/>
          <w:b/>
        </w:rPr>
        <w:t xml:space="preserve">11.2. Innovación conectiva</w:t>
      </w:r>
    </w:p>
    <w:p>
      <w:pPr>
        <w:pStyle w:val="FirstParagraph"/>
      </w:pPr>
      <w:r>
        <w:t xml:space="preserve">El perfil TDAH puede estar asociado a innovación por expansión: conectar ideas lejanas y generar hipótesis nuevas mediante pensamiento no lineal y asociación remota. Esto complementa la innovación por profundidad de los perfiles especialistas. La dinámica conjunta sería: innovación = generación (TDAH) + estructuración (autismo).</w:t>
      </w:r>
    </w:p>
    <w:bookmarkEnd w:id="67"/>
    <w:bookmarkStart w:id="71" w:name="X7e5d43312f82fa05b283e133d19baad7b358e50"/>
    <w:p>
      <w:pPr>
        <w:pStyle w:val="Heading2"/>
      </w:pPr>
      <w:r>
        <w:rPr>
          <w:bCs/>
          <w:b/>
        </w:rPr>
        <w:t xml:space="preserve">11.3. Evidencia histórica: perfiles científicos y neurodivergencia</w:t>
      </w:r>
    </w:p>
    <w:p>
      <w:pPr>
        <w:pStyle w:val="FirstParagraph"/>
      </w:pPr>
      <w:r>
        <w:t xml:space="preserve">Investigaciones recientes en neuropsicología y biografía histórica apoyan la distinción entre pensamiento divergente-multidisciplinar (asociado al TDAH) y pensamiento sistemático-profundo (asociado al autismo), diferenciando dos estilos de producción científica e inventiva.</w:t>
      </w:r>
    </w:p>
    <w:bookmarkStart w:id="68" w:name="X36c34e67d90a27146551c409787a0a5328ad74f"/>
    <w:p>
      <w:pPr>
        <w:pStyle w:val="Heading3"/>
      </w:pPr>
      <w:r>
        <w:rPr>
          <w:bCs/>
          <w:b/>
        </w:rPr>
        <w:t xml:space="preserve">11.3.1. TDAH y polimatía: el inventor multidisciplinar</w:t>
      </w:r>
    </w:p>
    <w:p>
      <w:pPr>
        <w:pStyle w:val="FirstParagraph"/>
      </w:pPr>
      <w:r>
        <w:t xml:space="preserve">Un estudio de 2019 del King’s College de Londres (Catani y Mazzarello, 2019) sugiere que Leonardo da Vinci presenta un perfil compatible con TDAH que explicaría su capacidad de saltar de la anatomía a la ingeniería, la pintura y la hidráulica, así como su patrón de obras inacabadas. Nikola Tesla ha sido asociado con rasgos similares por su prototipado mental rápido y su interés simultáneo en múltiples campos eléctricos y mecánicos.</w:t>
      </w:r>
    </w:p>
    <w:p>
      <w:pPr>
        <w:pStyle w:val="BodyText"/>
      </w:pPr>
      <w:r>
        <w:t xml:space="preserve">Estudios publicados en</w:t>
      </w:r>
      <w:r>
        <w:t xml:space="preserve"> </w:t>
      </w:r>
      <w:r>
        <w:rPr>
          <w:iCs/>
          <w:i/>
        </w:rPr>
        <w:t xml:space="preserve">ScienceDaily</w:t>
      </w:r>
      <w:r>
        <w:t xml:space="preserve"> </w:t>
      </w:r>
      <w:r>
        <w:t xml:space="preserve">indican que el</w:t>
      </w:r>
      <w:r>
        <w:t xml:space="preserve"> </w:t>
      </w:r>
      <w:r>
        <w:t xml:space="preserve">“</w:t>
      </w:r>
      <w:r>
        <w:t xml:space="preserve">vagabundeo mental deliberado</w:t>
      </w:r>
      <w:r>
        <w:t xml:space="preserve">”</w:t>
      </w:r>
      <w:r>
        <w:t xml:space="preserve"> </w:t>
      </w:r>
      <w:r>
        <w:t xml:space="preserve">característico del TDAH permite saltos interdisciplinarios que las mentes con procesamiento lineal no logran. Este patrón de conexión lateral entre dominios distantes es coherente con el procesamiento politrópico horizontal descrito en el modelo.</w:t>
      </w:r>
    </w:p>
    <w:p>
      <w:pPr>
        <w:pStyle w:val="BodyText"/>
      </w:pPr>
      <w:r>
        <w:rPr>
          <w:iCs/>
          <w:i/>
        </w:rPr>
        <w:t xml:space="preserve">→ Véase Sección 6.1 (TDAH conectivo): el mismo mecanismo de</w:t>
      </w:r>
      <w:r>
        <w:rPr>
          <w:bCs/>
          <w:b/>
          <w:iCs/>
          <w:i/>
        </w:rPr>
        <w:t xml:space="preserve"> </w:t>
      </w:r>
      <w:r>
        <w:rPr>
          <w:iCs/>
          <w:i/>
        </w:rPr>
        <w:t xml:space="preserve">“</w:t>
      </w:r>
      <w:r>
        <w:rPr>
          <w:bCs/>
          <w:b/>
          <w:iCs/>
          <w:i/>
        </w:rPr>
        <w:t xml:space="preserve">atención simultánea conectiva</w:t>
      </w:r>
      <w:r>
        <w:rPr>
          <w:iCs/>
          <w:i/>
        </w:rPr>
        <w:t xml:space="preserve">”</w:t>
      </w:r>
      <w:r>
        <w:rPr>
          <w:bCs/>
          <w:b/>
          <w:iCs/>
          <w:i/>
        </w:rPr>
        <w:t xml:space="preserve"> </w:t>
      </w:r>
      <w:r>
        <w:rPr>
          <w:iCs/>
          <w:i/>
        </w:rPr>
        <w:t xml:space="preserve">aplicado a la producción científica.</w:t>
      </w:r>
    </w:p>
    <w:bookmarkEnd w:id="68"/>
    <w:bookmarkStart w:id="69" w:name="X68125cc1c4be3f295ca69da629a7067e41ad86c"/>
    <w:p>
      <w:pPr>
        <w:pStyle w:val="Heading3"/>
      </w:pPr>
      <w:r>
        <w:rPr>
          <w:bCs/>
          <w:b/>
        </w:rPr>
        <w:t xml:space="preserve">11.3.2. Autismo y sistematización: el científico de profundidad</w:t>
      </w:r>
    </w:p>
    <w:p>
      <w:pPr>
        <w:pStyle w:val="FirstParagraph"/>
      </w:pPr>
      <w:r>
        <w:t xml:space="preserve">Simon Baron-Cohen, desde la Universidad de Cambridge, ha descrito a Albert Einstein como un</w:t>
      </w:r>
      <w:r>
        <w:t xml:space="preserve"> </w:t>
      </w:r>
      <w:r>
        <w:t xml:space="preserve">“</w:t>
      </w:r>
      <w:r>
        <w:t xml:space="preserve">sistematizador extremo</w:t>
      </w:r>
      <w:r>
        <w:t xml:space="preserve">”</w:t>
      </w:r>
      <w:r>
        <w:t xml:space="preserve"> </w:t>
      </w:r>
      <w:r>
        <w:t xml:space="preserve">cuya capacidad para aislarse y profundizar durante años en la física teórica es un rasgo clásico del espectro autista (Baron-Cohen, 2003). Paul Dirac, padre de la mecánica cuántica, ha sido descrito póstumamente con un perfil de autismo profundo por su enfoque unidisciplinar absoluto y su comunicación minimalista. Isaac Newton ha sido igualmente analizado bajo esta lente.</w:t>
      </w:r>
    </w:p>
    <w:p>
      <w:pPr>
        <w:pStyle w:val="BodyText"/>
      </w:pPr>
      <w:r>
        <w:t xml:space="preserve">Investigaciones del Autism Research Centre de Cambridge confirman que los rasgos autistas son significativamente más frecuentes en familias de físicos, ingenieros y matemáticos que en la población general (Baron-Cohen et al., 1997). Este patrón es coherente con el procesamiento monotrópico vertical descrito en el modelo: hiperfoco sostenido en un único sistema abstracto durante décadas.</w:t>
      </w:r>
    </w:p>
    <w:p>
      <w:pPr>
        <w:pStyle w:val="BodyText"/>
      </w:pPr>
      <w:r>
        <w:rPr>
          <w:iCs/>
          <w:i/>
        </w:rPr>
        <w:t xml:space="preserve">→ Véase Sección 6.2 (Autismo sistémico): el mismo mecanismo de</w:t>
      </w:r>
      <w:r>
        <w:rPr>
          <w:bCs/>
          <w:b/>
          <w:iCs/>
          <w:i/>
        </w:rPr>
        <w:t xml:space="preserve"> </w:t>
      </w:r>
      <w:r>
        <w:rPr>
          <w:iCs/>
          <w:i/>
        </w:rPr>
        <w:t xml:space="preserve">“</w:t>
      </w:r>
      <w:r>
        <w:rPr>
          <w:bCs/>
          <w:b/>
          <w:iCs/>
          <w:i/>
        </w:rPr>
        <w:t xml:space="preserve">atención monotrópica sistémica</w:t>
      </w:r>
      <w:r>
        <w:rPr>
          <w:iCs/>
          <w:i/>
        </w:rPr>
        <w:t xml:space="preserve">”</w:t>
      </w:r>
      <w:r>
        <w:rPr>
          <w:bCs/>
          <w:b/>
          <w:iCs/>
          <w:i/>
        </w:rPr>
        <w:t xml:space="preserve"> </w:t>
      </w:r>
      <w:r>
        <w:rPr>
          <w:iCs/>
          <w:i/>
        </w:rPr>
        <w:t xml:space="preserve">aplicado a la física teórica.</w:t>
      </w:r>
    </w:p>
    <w:bookmarkEnd w:id="69"/>
    <w:bookmarkStart w:id="70" w:name="Xcf2677af6233ab014a310bc3409717625fe14ff"/>
    <w:p>
      <w:pPr>
        <w:pStyle w:val="Heading3"/>
      </w:pPr>
      <w:r>
        <w:rPr>
          <w:bCs/>
          <w:b/>
        </w:rPr>
        <w:t xml:space="preserve">11.3.3. Síntesis: dos estilos de producción científica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Perfil</w:t>
            </w:r>
          </w:p>
        </w:tc>
        <w:tc>
          <w:tcPr/>
          <w:p>
            <w:pPr>
              <w:pStyle w:val="Compact"/>
              <w:jc w:val="left"/>
            </w:pPr>
            <w:r>
              <w:rPr>
                <w:bCs/>
                <w:b/>
              </w:rPr>
              <w:t xml:space="preserve">Estilo científico</w:t>
            </w:r>
          </w:p>
        </w:tc>
        <w:tc>
          <w:tcPr/>
          <w:p>
            <w:pPr>
              <w:pStyle w:val="Compact"/>
              <w:jc w:val="left"/>
            </w:pPr>
            <w:r>
              <w:rPr>
                <w:bCs/>
                <w:b/>
              </w:rPr>
              <w:t xml:space="preserve">Mecanismo</w:t>
            </w:r>
          </w:p>
        </w:tc>
        <w:tc>
          <w:tcPr/>
          <w:p>
            <w:pPr>
              <w:pStyle w:val="Compact"/>
              <w:jc w:val="left"/>
            </w:pPr>
            <w:r>
              <w:rPr>
                <w:bCs/>
                <w:b/>
              </w:rPr>
              <w:t xml:space="preserve">Figuras históricas</w:t>
            </w:r>
          </w:p>
        </w:tc>
      </w:tr>
      <w:tr>
        <w:tc>
          <w:tcPr/>
          <w:p>
            <w:pPr>
              <w:pStyle w:val="Compact"/>
              <w:jc w:val="left"/>
            </w:pPr>
            <w:r>
              <w:rPr>
                <w:bCs/>
                <w:b/>
              </w:rPr>
              <w:t xml:space="preserve">TDAH (politrópico)</w:t>
            </w:r>
          </w:p>
        </w:tc>
        <w:tc>
          <w:tcPr/>
          <w:p>
            <w:pPr>
              <w:pStyle w:val="Compact"/>
              <w:jc w:val="left"/>
            </w:pPr>
            <w:r>
              <w:t xml:space="preserve">Multidisciplinar: conecta ideas de campos distantes</w:t>
            </w:r>
          </w:p>
        </w:tc>
        <w:tc>
          <w:tcPr/>
          <w:p>
            <w:pPr>
              <w:pStyle w:val="Compact"/>
              <w:jc w:val="left"/>
            </w:pPr>
            <w:r>
              <w:t xml:space="preserve">Vagabundeo mental deliberado, asociación remota</w:t>
            </w:r>
          </w:p>
        </w:tc>
        <w:tc>
          <w:tcPr/>
          <w:p>
            <w:pPr>
              <w:pStyle w:val="Compact"/>
              <w:jc w:val="left"/>
            </w:pPr>
            <w:r>
              <w:t xml:space="preserve">Da Vinci, Tesla</w:t>
            </w:r>
          </w:p>
        </w:tc>
      </w:tr>
      <w:tr>
        <w:tc>
          <w:tcPr/>
          <w:p>
            <w:pPr>
              <w:pStyle w:val="Compact"/>
              <w:jc w:val="left"/>
            </w:pPr>
            <w:r>
              <w:rPr>
                <w:bCs/>
                <w:b/>
              </w:rPr>
              <w:t xml:space="preserve">Autismo (monotrópico)</w:t>
            </w:r>
          </w:p>
        </w:tc>
        <w:tc>
          <w:tcPr/>
          <w:p>
            <w:pPr>
              <w:pStyle w:val="Compact"/>
              <w:jc w:val="left"/>
            </w:pPr>
            <w:r>
              <w:t xml:space="preserve">Unidisciplinar: profundidad extrema en un sistema</w:t>
            </w:r>
          </w:p>
        </w:tc>
        <w:tc>
          <w:tcPr/>
          <w:p>
            <w:pPr>
              <w:pStyle w:val="Compact"/>
              <w:jc w:val="left"/>
            </w:pPr>
            <w:r>
              <w:t xml:space="preserve">Hiperfoco sostenido, sistematización</w:t>
            </w:r>
          </w:p>
        </w:tc>
        <w:tc>
          <w:tcPr/>
          <w:p>
            <w:pPr>
              <w:pStyle w:val="Compact"/>
              <w:jc w:val="left"/>
            </w:pPr>
            <w:r>
              <w:t xml:space="preserve">Einstein, Dirac, Newton</w:t>
            </w:r>
          </w:p>
        </w:tc>
      </w:tr>
    </w:tbl>
    <w:p>
      <w:pPr>
        <w:pStyle w:val="BodyText"/>
      </w:pPr>
      <w:r>
        <w:rPr>
          <w:iCs/>
          <w:i/>
        </w:rPr>
        <w:t xml:space="preserve">Tabla 4. Correspondencia entre perfiles neurocognitivos y estilos de producción científica histórica.</w:t>
      </w:r>
    </w:p>
    <w:p>
      <w:pPr>
        <w:pStyle w:val="BodyText"/>
      </w:pPr>
      <w:r>
        <w:rPr>
          <w:bCs/>
          <w:b/>
        </w:rPr>
        <w:t xml:space="preserve">Nota:</w:t>
      </w:r>
      <w:r>
        <w:t xml:space="preserve">** **Estos análisis son retrospectivos y especulativos; ninguna de estas figuras fue diagnosticada en vida. Se presentan como ilustración del modelo, no como evidencia confirmatoria.</w:t>
      </w:r>
    </w:p>
    <w:bookmarkEnd w:id="70"/>
    <w:bookmarkEnd w:id="71"/>
    <w:bookmarkStart w:id="72" w:name="impulsividad-como-adaptación-funcional"/>
    <w:p>
      <w:pPr>
        <w:pStyle w:val="Heading2"/>
      </w:pPr>
      <w:r>
        <w:rPr>
          <w:bCs/>
          <w:b/>
        </w:rPr>
        <w:t xml:space="preserve">11.4. Impulsividad como adaptación funcional</w:t>
      </w:r>
    </w:p>
    <w:p>
      <w:pPr>
        <w:pStyle w:val="FirstParagraph"/>
      </w:pPr>
      <w:r>
        <w:t xml:space="preserve">La impulsividad asociada al TDAH puede reinterpretarse como baja latencia entre estímulo y acción. En entornos de riesgo, incertidumbre y cambio rápido, esta característica reduce el tiempo de respuesta y aumenta la capacidad de adaptación. Las características que hoy se interpretan como impulsividad pueden entenderse como adaptaciones funcionales a entornos de alta incertidumbre, cuya expresión depende del contexto.</w:t>
      </w:r>
    </w:p>
    <w:bookmarkEnd w:id="72"/>
    <w:bookmarkEnd w:id="73"/>
    <w:bookmarkStart w:id="77" w:name="Xe7879f505680db5059ecdf870a985b8f7daa670"/>
    <w:p>
      <w:pPr>
        <w:pStyle w:val="Heading1"/>
      </w:pPr>
      <w:r>
        <w:rPr>
          <w:bCs/>
          <w:b/>
        </w:rPr>
        <w:t xml:space="preserve">12. Entorno familiar y trayectorias conductuales</w:t>
      </w:r>
    </w:p>
    <w:bookmarkStart w:id="74" w:name="influencia-del-ambiente-familiar"/>
    <w:p>
      <w:pPr>
        <w:pStyle w:val="Heading2"/>
      </w:pPr>
      <w:r>
        <w:rPr>
          <w:bCs/>
          <w:b/>
        </w:rPr>
        <w:t xml:space="preserve">12.1. Influencia del ambiente familiar</w:t>
      </w:r>
    </w:p>
    <w:p>
      <w:pPr>
        <w:pStyle w:val="FirstParagraph"/>
      </w:pPr>
      <w:r>
        <w:t xml:space="preserve">El apego, la cohesión y el conflicto familiar influyen significativamente en la trayectoria conductual. Estudios muestran que bajo apego y alto conflicto se asocian con mayor conducta delictiva (Mirón et al., 1988). Las variables más relevantes identificadas son el apego entre padres e hijos, el conflicto familiar y la calidad de las relaciones afectivas, con mayor capacidad explicativa que los factores normativos o estructurales.</w:t>
      </w:r>
    </w:p>
    <w:p>
      <w:pPr>
        <w:pStyle w:val="BodyText"/>
      </w:pPr>
      <w:r>
        <w:rPr>
          <w:bCs/>
          <w:b/>
        </w:rPr>
        <w:t xml:space="preserve">No se transmite la conducta directamente, sino patrones de regulación emocional y entorno.</w:t>
      </w:r>
    </w:p>
    <w:bookmarkEnd w:id="74"/>
    <w:bookmarkStart w:id="75" w:name="interacción-gen-entorno-en-tdah"/>
    <w:p>
      <w:pPr>
        <w:pStyle w:val="Heading2"/>
      </w:pPr>
      <w:r>
        <w:rPr>
          <w:bCs/>
          <w:b/>
        </w:rPr>
        <w:t xml:space="preserve">12.2. Interacción gen-entorno en TDAH</w:t>
      </w:r>
    </w:p>
    <w:p>
      <w:pPr>
        <w:pStyle w:val="FirstParagraph"/>
      </w:pPr>
      <w:r>
        <w:t xml:space="preserve">El TDAH presenta alta heredabilidad (aproximadamente 70-80%). Sin embargo, el desarrollo y manifestación del trastorno no dependen solo de la biología, sino de su interacción con el entorno. Cuando un perfil con alta necesidad de estimulación crece en entornos caóticos pero no estructurados, emocionalmente desregulados y sin canalización funcional, puede desarrollar estrategias de regulación basadas en el riesgo o la impulsividad.</w:t>
      </w:r>
    </w:p>
    <w:p>
      <w:pPr>
        <w:pStyle w:val="BodyText"/>
      </w:pPr>
      <w:r>
        <w:rPr>
          <w:iCs/>
          <w:i/>
        </w:rPr>
        <w:t xml:space="preserve">→ Véase Sección 11.1 para la relación entre estimulación y rendimiento.</w:t>
      </w:r>
    </w:p>
    <w:bookmarkEnd w:id="75"/>
    <w:bookmarkStart w:id="76" w:name="formulación-integradora"/>
    <w:p>
      <w:pPr>
        <w:pStyle w:val="Heading2"/>
      </w:pPr>
      <w:r>
        <w:rPr>
          <w:bCs/>
          <w:b/>
        </w:rPr>
        <w:t xml:space="preserve">12.3. Formulación integradora</w:t>
      </w:r>
    </w:p>
    <w:p>
      <w:pPr>
        <w:pStyle w:val="FirstParagraph"/>
      </w:pPr>
      <w:r>
        <w:rPr>
          <w:iCs/>
          <w:i/>
        </w:rPr>
        <w:t xml:space="preserve">“</w:t>
      </w:r>
      <w:r>
        <w:rPr>
          <w:iCs/>
          <w:i/>
        </w:rPr>
        <w:t xml:space="preserve">****La conducta delictiva no se hereda como rasgo, sino que emerge de la interacción entre predisposición individual y patrones de regulación adquiridos en el entorno familiar.****</w:t>
      </w:r>
      <w:r>
        <w:rPr>
          <w:iCs/>
          <w:i/>
        </w:rPr>
        <w:t xml:space="preserve">”</w:t>
      </w:r>
    </w:p>
    <w:p>
      <w:pPr>
        <w:pStyle w:val="BodyText"/>
      </w:pPr>
      <w:r>
        <w:t xml:space="preserve">No es el entorno caótico en sí lo que explica la conducta, sino la ausencia de estructura que permita canalizar un sistema cognitivo altamente dependiente de la estimulación.</w:t>
      </w:r>
    </w:p>
    <w:bookmarkEnd w:id="76"/>
    <w:bookmarkEnd w:id="77"/>
    <w:bookmarkStart w:id="80" w:name="tdah-y-entornos-penitenciarios"/>
    <w:p>
      <w:pPr>
        <w:pStyle w:val="Heading1"/>
      </w:pPr>
      <w:r>
        <w:rPr>
          <w:bCs/>
          <w:b/>
        </w:rPr>
        <w:t xml:space="preserve">13. TDAH y entornos penitenciarios</w:t>
      </w:r>
    </w:p>
    <w:bookmarkStart w:id="78" w:name="datos-empíricos"/>
    <w:p>
      <w:pPr>
        <w:pStyle w:val="Heading2"/>
      </w:pPr>
      <w:r>
        <w:rPr>
          <w:bCs/>
          <w:b/>
        </w:rPr>
        <w:t xml:space="preserve">13.1. Datos empíricos</w:t>
      </w:r>
    </w:p>
    <w:p>
      <w:pPr>
        <w:pStyle w:val="FirstParagraph"/>
      </w:pPr>
      <w:r>
        <w:t xml:space="preserve">La prevalencia de TDAH en población penitenciaria es significativamente superior a la población general. Un metaanálisis sitúa esta prevalencia en torno al 25-30% de los internos, frente a un 5-7% en población general (Young et al., 2015). Esto supone una frecuencia hasta cinco veces mayor en prisión.</w:t>
      </w:r>
    </w:p>
    <w:bookmarkEnd w:id="78"/>
    <w:bookmarkStart w:id="79" w:name="interpretación-desde-el-modelo"/>
    <w:p>
      <w:pPr>
        <w:pStyle w:val="Heading2"/>
      </w:pPr>
      <w:r>
        <w:rPr>
          <w:bCs/>
          <w:b/>
        </w:rPr>
        <w:t xml:space="preserve">13.2. Interpretación desde el modelo</w:t>
      </w:r>
    </w:p>
    <w:p>
      <w:pPr>
        <w:pStyle w:val="FirstParagraph"/>
      </w:pPr>
      <w:r>
        <w:t xml:space="preserve">Este dato no implica causalidad directa, sino un desajuste entre perfil cognitivo y entorno social. Cuando no existe canalización adecuada, entorno compatible ni objetivos dinámicos, el sistema orientado al riesgo puede buscar estimulación mediante conductas desadaptativas.</w:t>
      </w:r>
    </w:p>
    <w:p>
      <w:pPr>
        <w:pStyle w:val="BodyText"/>
      </w:pPr>
      <w:r>
        <w:rPr>
          <w:bCs/>
          <w:b/>
        </w:rPr>
        <w:t xml:space="preserve">El mismo perfil que en contexto adecuado puede explorar, liderar en crisis e innovar, en contexto inadecuado puede asumir riesgos disfuncionales, entrar en conflicto con las normas y generar conductas impulsivas sin objetivo funcional.</w:t>
      </w:r>
    </w:p>
    <w:p>
      <w:pPr>
        <w:pStyle w:val="BodyText"/>
      </w:pPr>
      <w:r>
        <w:rPr>
          <w:iCs/>
          <w:i/>
        </w:rPr>
        <w:t xml:space="preserve">→ Véase Sección 12 (Entorno familiar) para los factores ambientales que modulan esta trayectoria.</w:t>
      </w:r>
    </w:p>
    <w:p>
      <w:pPr>
        <w:pStyle w:val="BodyText"/>
      </w:pPr>
      <w:r>
        <w:rPr>
          <w:iCs/>
          <w:i/>
        </w:rPr>
        <w:t xml:space="preserve">→ Véase Sección 10 (Reconversión funcional) para la interpretación antropológica del desajuste.</w:t>
      </w:r>
    </w:p>
    <w:bookmarkEnd w:id="79"/>
    <w:bookmarkEnd w:id="80"/>
    <w:bookmarkStart w:id="81" w:name="el-desajuste-moderno"/>
    <w:p>
      <w:pPr>
        <w:pStyle w:val="Heading1"/>
      </w:pPr>
      <w:r>
        <w:rPr>
          <w:bCs/>
          <w:b/>
        </w:rPr>
        <w:t xml:space="preserve">14. El desajuste moderno</w:t>
      </w:r>
    </w:p>
    <w:p>
      <w:pPr>
        <w:pStyle w:val="FirstParagraph"/>
      </w:pPr>
      <w:r>
        <w:t xml:space="preserve">La sociedad moderna premia la estabilidad, la repetición y el control inhibitorio. La oficina es la versión contemporánea del campo de cultivo: un entorno estático que requiere ejecución eficiente de tareas simples durante periodos prolongados. Esto genera un desajuste sistemático con perfiles orientados a la novedad y la acción.</w:t>
      </w:r>
    </w:p>
    <w:p>
      <w:pPr>
        <w:pStyle w:val="BodyText"/>
      </w:pPr>
      <w:r>
        <w:t xml:space="preserve">La</w:t>
      </w:r>
      <w:r>
        <w:t xml:space="preserve"> </w:t>
      </w:r>
      <w:r>
        <w:t xml:space="preserve">“</w:t>
      </w:r>
      <w:r>
        <w:t xml:space="preserve">disfunción</w:t>
      </w:r>
      <w:r>
        <w:t xml:space="preserve">”</w:t>
      </w:r>
      <w:r>
        <w:t xml:space="preserve"> </w:t>
      </w:r>
      <w:r>
        <w:t xml:space="preserve">aparece cuando el entorno no coincide con el sistema cognitivo: un cerebro TDAH en un entorno estático entra en infraestimulación; un cerebro autista en un entorno caótico entra en saturación.</w:t>
      </w:r>
    </w:p>
    <w:p>
      <w:pPr>
        <w:pStyle w:val="BodyText"/>
      </w:pPr>
      <w:r>
        <w:rPr>
          <w:bCs/>
          <w:b/>
        </w:rPr>
        <w:t xml:space="preserve">La disfunción ejecutiva que se observa en consulta es el resultado de forzar a un cazador-coordinador (TDAH) o a un ingeniero de sistemas (Autista) a realizar tareas de ejecución eficiente normativa propias del centro.</w:t>
      </w:r>
    </w:p>
    <w:bookmarkEnd w:id="81"/>
    <w:bookmarkStart w:id="84" w:name="Xcd11dd4a70a4e23359db4d14d3bfdaea5554236"/>
    <w:p>
      <w:pPr>
        <w:pStyle w:val="Heading1"/>
      </w:pPr>
      <w:r>
        <w:rPr>
          <w:bCs/>
          <w:b/>
        </w:rPr>
        <w:t xml:space="preserve">14b. Extensión clínica: neurodegeneración y TDAH como espectro de vulnerabilidad</w:t>
      </w:r>
    </w:p>
    <w:p>
      <w:pPr>
        <w:pStyle w:val="FirstParagraph"/>
      </w:pPr>
      <w:r>
        <w:rPr>
          <w:iCs/>
          <w:i/>
        </w:rPr>
        <w:t xml:space="preserve">Nota: Esta sección presenta observaciones del autor y evidencia empírica preliminar. Las correlaciones señaladas no implican causalidad directa y requieren investigación específica.</w:t>
      </w:r>
    </w:p>
    <w:bookmarkStart w:id="82" w:name="X5a5bbd7248803bcd63594e4d2b378a349b6fdf5"/>
    <w:p>
      <w:pPr>
        <w:pStyle w:val="Heading2"/>
      </w:pPr>
      <w:r>
        <w:rPr>
          <w:bCs/>
          <w:b/>
        </w:rPr>
        <w:t xml:space="preserve">14b.1. Alzheimer y TDAH: el triple de riesgo</w:t>
      </w:r>
    </w:p>
    <w:p>
      <w:pPr>
        <w:pStyle w:val="FirstParagraph"/>
      </w:pPr>
      <w:r>
        <w:t xml:space="preserve">Investigaciones recientes indican que las personas con TDAH tienen aproximadamente el triple de probabilidad de desarrollar enfermedad de Alzheimer en comparación con la población general. Desde el modelo, esta correlación tiene una lógica interna coherente: si el TDAH se caracteriza por un sistema atencional que no filtra ni jerarquiza eficazmente los estímulos, el deterioro neurodegenerativo no crea un problema nuevo, sino que</w:t>
      </w:r>
      <w:r>
        <w:t xml:space="preserve"> </w:t>
      </w:r>
      <w:r>
        <w:rPr>
          <w:bCs/>
          <w:b/>
        </w:rPr>
        <w:t xml:space="preserve">amplifica exponencialmente un problema de base que ya existía</w:t>
      </w:r>
      <w:r>
        <w:t xml:space="preserve">.</w:t>
      </w:r>
    </w:p>
    <w:p>
      <w:pPr>
        <w:pStyle w:val="BodyText"/>
      </w:pPr>
      <w:r>
        <w:t xml:space="preserve">Los despistes, la pérdida de objetos, la dificultad para mantener rutinas y la desorientación temporal son síntomas compartidos entre el TDAH y las fases iniciales del Alzheimer. La diferencia es de grado, no de tipo. Es como si el Alzheimer fuera una versión degenerativa de lo que para un TDAH ya era una lucha diaria: un sistema de filtrado atencional que siempre funcionó al límite y que, con el deterioro neurológico, colapsa definitivamente.</w:t>
      </w:r>
    </w:p>
    <w:p>
      <w:pPr>
        <w:pStyle w:val="BodyText"/>
      </w:pPr>
      <w:r>
        <w:rPr>
          <w:bCs/>
          <w:b/>
        </w:rPr>
        <w:t xml:space="preserve">Hipótesis del modelo:</w:t>
      </w:r>
      <w:r>
        <w:t xml:space="preserve"> </w:t>
      </w:r>
      <w:r>
        <w:t xml:space="preserve">El sistema dopaminérgico infraestimulado del TDAH podría constituir un factor de vulnerabilidad neurológica a largo plazo. Un cerebro que ha necesitado toda la vida compensar un déficit de filtrado atencional tiene menos reserva cognitiva específica para resistir el deterioro degenerativo en esa misma función.</w:t>
      </w:r>
    </w:p>
    <w:bookmarkEnd w:id="82"/>
    <w:bookmarkStart w:id="83" w:name="X9593afca6cb41ff020400f5f8345ae78adac752"/>
    <w:p>
      <w:pPr>
        <w:pStyle w:val="Heading2"/>
      </w:pPr>
      <w:r>
        <w:rPr>
          <w:bCs/>
          <w:b/>
        </w:rPr>
        <w:t xml:space="preserve">14b.2. Síndrome de Diógenes: acumulación como disfunción ejecutiva extrema</w:t>
      </w:r>
    </w:p>
    <w:p>
      <w:pPr>
        <w:pStyle w:val="FirstParagraph"/>
      </w:pPr>
      <w:r>
        <w:t xml:space="preserve">El síndrome de Diógenes — caracterizado por acumulación compulsiva de objetos, dejadez extrema del entorno y aislamiento social — presenta paralelismos inquietantes con la disfunción ejecutiva del TDAH llevada a su expresión más severa:</w:t>
      </w:r>
    </w:p>
    <w:p>
      <w:pPr>
        <w:numPr>
          <w:ilvl w:val="0"/>
          <w:numId w:val="1012"/>
        </w:numPr>
      </w:pPr>
      <w:r>
        <w:rPr>
          <w:bCs/>
          <w:b/>
        </w:rPr>
        <w:t xml:space="preserve">Apego excesivo a los objetos:</w:t>
      </w:r>
      <w:r>
        <w:t xml:space="preserve"> </w:t>
      </w:r>
      <w:r>
        <w:t xml:space="preserve">El TDAH genera vínculos emocionales con objetos porque cada uno está asociado a un estímulo, un recuerdo o una intención no completada. Tirar algo equivale a perder la conexión con esa idea inconclusa. A escala patológica, esto se convierte en acumulación.</w:t>
      </w:r>
    </w:p>
    <w:p>
      <w:pPr>
        <w:numPr>
          <w:ilvl w:val="0"/>
          <w:numId w:val="1012"/>
        </w:numPr>
      </w:pPr>
      <w:r>
        <w:rPr>
          <w:bCs/>
          <w:b/>
        </w:rPr>
        <w:t xml:space="preserve">Parálisis ante tareas grandes:</w:t>
      </w:r>
      <w:r>
        <w:t xml:space="preserve"> </w:t>
      </w:r>
      <w:r>
        <w:t xml:space="preserve">La dejadez del Diógenes no es pereza, es la expresión extrema de un mecanismo que todo TDAH conoce: cuando la tarea se percibe como inabarcable, el cerebro prefiere mirar a otro lado. Limpiar una habitación desordenada es una tarea sin recompensa inmediata, con múltiples pasos y sin un punto de inicio claro. Para un sistema ejecutivo ya comprometido, la respuesta adaptativa es la evitación.</w:t>
      </w:r>
    </w:p>
    <w:p>
      <w:pPr>
        <w:numPr>
          <w:ilvl w:val="0"/>
          <w:numId w:val="1012"/>
        </w:numPr>
      </w:pPr>
      <w:r>
        <w:rPr>
          <w:bCs/>
          <w:b/>
        </w:rPr>
        <w:t xml:space="preserve">Procrastinación estructural:</w:t>
      </w:r>
      <w:r>
        <w:t xml:space="preserve"> </w:t>
      </w:r>
      <w:r>
        <w:t xml:space="preserve">El TDAH procrastina lo que percibe como inútil o desproporcionado. A escala degenerativa, esta procrastinación se convierte en abandono total del entorno porque el sistema que debería activar la acción correctiva está permanentemente en modo de evitación.</w:t>
      </w:r>
    </w:p>
    <w:p>
      <w:pPr>
        <w:pStyle w:val="FirstParagraph"/>
      </w:pPr>
      <w:r>
        <w:rPr>
          <w:bCs/>
          <w:b/>
        </w:rPr>
        <w:t xml:space="preserve">Desde el modelo:</w:t>
      </w:r>
      <w:r>
        <w:t xml:space="preserve"> </w:t>
      </w:r>
      <w:r>
        <w:t xml:space="preserve">Tanto el Alzheimer como el Diógenes pueden leerse como puntos extremos en el continuo de vulnerabilidad que el TDAH establece como línea base. No son</w:t>
      </w:r>
      <w:r>
        <w:t xml:space="preserve"> </w:t>
      </w:r>
      <w:r>
        <w:t xml:space="preserve">“</w:t>
      </w:r>
      <w:r>
        <w:t xml:space="preserve">enfermedades distintas que casualmente se parecen al TDAH,</w:t>
      </w:r>
      <w:r>
        <w:t xml:space="preserve">”</w:t>
      </w:r>
      <w:r>
        <w:t xml:space="preserve"> </w:t>
      </w:r>
      <w:r>
        <w:t xml:space="preserve">sino posibles deterioros de un sistema atencional y ejecutivo que siempre operó en el límite de su capacidad.</w:t>
      </w:r>
    </w:p>
    <w:p>
      <w:pPr>
        <w:pStyle w:val="BodyText"/>
      </w:pPr>
      <w:r>
        <w:rPr>
          <w:iCs/>
          <w:i/>
        </w:rPr>
        <w:t xml:space="preserve">→ Véase Sección 5 (Redefinición de la inatención): la saturación como mecanismo base que, en deterioro, se convierte en colapso.</w:t>
      </w:r>
    </w:p>
    <w:p>
      <w:pPr>
        <w:pStyle w:val="BodyText"/>
      </w:pPr>
      <w:r>
        <w:rPr>
          <w:iCs/>
          <w:i/>
        </w:rPr>
        <w:t xml:space="preserve">→ Véase Sección 4.3 (Disfunción ejecutiva por saturación): el mismo fallo de output amplificado por neurodegeneración.</w:t>
      </w:r>
    </w:p>
    <w:bookmarkEnd w:id="83"/>
    <w:bookmarkEnd w:id="84"/>
    <w:bookmarkStart w:id="92" w:name="X95ed897ad4e03e22d7e9bba8168ed98e8fd7ea7"/>
    <w:p>
      <w:pPr>
        <w:pStyle w:val="Heading1"/>
      </w:pPr>
      <w:r>
        <w:rPr>
          <w:bCs/>
          <w:b/>
        </w:rPr>
        <w:t xml:space="preserve">15. Extensión sociopolítica: neurodivergencia y orientación ideológica</w:t>
      </w:r>
    </w:p>
    <w:p>
      <w:pPr>
        <w:pStyle w:val="FirstParagraph"/>
      </w:pPr>
      <w:r>
        <w:t xml:space="preserve">Si el modelo de la Cruz de Conectividad describe cómo cada perfil neurocognitivo procesa la información y se relaciona con el entorno, resulta coherente explorar cómo estas diferencias de procesamiento se manifiestan también en la esfera política e ideológica. Diversos estudios europeos sugieren que la orientación política no es independiente de la arquitectura atencional.</w:t>
      </w:r>
    </w:p>
    <w:bookmarkStart w:id="85" w:name="tdah-y-orientación-al-cambio"/>
    <w:p>
      <w:pPr>
        <w:pStyle w:val="Heading2"/>
      </w:pPr>
      <w:r>
        <w:rPr>
          <w:bCs/>
          <w:b/>
        </w:rPr>
        <w:t xml:space="preserve">15.1. TDAH y orientación al cambio</w:t>
      </w:r>
    </w:p>
    <w:p>
      <w:pPr>
        <w:pStyle w:val="FirstParagraph"/>
      </w:pPr>
      <w:r>
        <w:t xml:space="preserve">Investigaciones publicadas en PLOS ONE, con muestras que incluyen población europea, muestran que las personas con TDAH presentan mayor probabilidad de participar activamente en política que la población general. Su estilo tiende a ser menos tolerante con el statu quo y más proclive a formas de acción directa.</w:t>
      </w:r>
    </w:p>
    <w:p>
      <w:pPr>
        <w:pStyle w:val="BodyText"/>
      </w:pPr>
      <w:r>
        <w:t xml:space="preserve">El rasgo de búsqueda de novedad, característico del procesamiento politrópico, se correlaciona con la apertura a ideologías que proponen estructuras sociales radicalmente distintas. Existe además una fuerte sensibilidad hacia la injusticia percibida, lo que frecuentemente empuja a estos perfiles hacia movimientos de izquierda, posturas antiestablishment o ecologismo profundo.</w:t>
      </w:r>
    </w:p>
    <w:p>
      <w:pPr>
        <w:pStyle w:val="BodyText"/>
      </w:pPr>
      <w:r>
        <w:rPr>
          <w:bCs/>
          <w:b/>
        </w:rPr>
        <w:t xml:space="preserve">Desde el modelo:</w:t>
      </w:r>
      <w:r>
        <w:t xml:space="preserve">** **el cerebro TDAH busca el límite, la frontera, lo que aún no se ha probado. Políticamente, esto se traduce en una tendencia natural hacia lo revolucionario, lo reformista radical o lo novedoso para el conjunto de la sociedad.</w:t>
      </w:r>
    </w:p>
    <w:p>
      <w:pPr>
        <w:pStyle w:val="BodyText"/>
      </w:pPr>
      <w:r>
        <w:rPr>
          <w:iCs/>
          <w:i/>
        </w:rPr>
        <w:t xml:space="preserve">→ Véase Sección 10 (Reconversión funcional): del cazador al soldado, del soldado al activista. El mismo patrón de</w:t>
      </w:r>
      <w:r>
        <w:rPr>
          <w:bCs/>
          <w:b/>
          <w:iCs/>
          <w:i/>
        </w:rPr>
        <w:t xml:space="preserve"> </w:t>
      </w:r>
      <w:r>
        <w:rPr>
          <w:iCs/>
          <w:i/>
        </w:rPr>
        <w:t xml:space="preserve">“</w:t>
      </w:r>
      <w:r>
        <w:rPr>
          <w:bCs/>
          <w:b/>
          <w:iCs/>
          <w:i/>
        </w:rPr>
        <w:t xml:space="preserve">conquistar nuevos límites</w:t>
      </w:r>
      <w:r>
        <w:rPr>
          <w:iCs/>
          <w:i/>
        </w:rPr>
        <w:t xml:space="preserve">”</w:t>
      </w:r>
      <w:r>
        <w:rPr>
          <w:bCs/>
          <w:b/>
          <w:iCs/>
          <w:i/>
        </w:rPr>
        <w:t xml:space="preserve"> </w:t>
      </w:r>
      <w:r>
        <w:rPr>
          <w:iCs/>
          <w:i/>
        </w:rPr>
        <w:t xml:space="preserve">aplicado a la esfera ideológica.</w:t>
      </w:r>
    </w:p>
    <w:bookmarkEnd w:id="85"/>
    <w:bookmarkStart w:id="86" w:name="autismo-y-orientación-al-sistema"/>
    <w:p>
      <w:pPr>
        <w:pStyle w:val="Heading2"/>
      </w:pPr>
      <w:r>
        <w:rPr>
          <w:bCs/>
          <w:b/>
        </w:rPr>
        <w:t xml:space="preserve">15.2. Autismo y orientación al sistema</w:t>
      </w:r>
    </w:p>
    <w:p>
      <w:pPr>
        <w:pStyle w:val="FirstParagraph"/>
      </w:pPr>
      <w:r>
        <w:t xml:space="preserve">Estudios de la Universidad de Cambridge y análisis publicados en PubMed Central muestran que las personas autistas puntúan alto en valores de justicia y equidad, pero bajo en valores de lealtad grupal o autoridad jerárquica. Esto no los sitúa necesariamente en la derecha conservadora tradicional, sino en una posición de defensa rigurosa de sistemas que funcionan de forma lógica y predecible.</w:t>
      </w:r>
    </w:p>
    <w:p>
      <w:pPr>
        <w:pStyle w:val="BodyText"/>
      </w:pPr>
      <w:r>
        <w:t xml:space="preserve">Mientras que el TDAH busca romper para crear algo nuevo, el perfil autista prefiere optimizar y perfeccionar lo que es lógicamente sólido. Si un sistema (como el Estado de Bienestar europeo) tiene reglas que garantizan estabilidad y justicia, el individuo autista tenderá a defender su cumplimiento riguroso y su profundización técnica, no su destrucción.</w:t>
      </w:r>
    </w:p>
    <w:p>
      <w:pPr>
        <w:pStyle w:val="BodyText"/>
      </w:pPr>
      <w:r>
        <w:rPr>
          <w:bCs/>
          <w:b/>
        </w:rPr>
        <w:t xml:space="preserve">Desde el modelo:</w:t>
      </w:r>
      <w:r>
        <w:t xml:space="preserve">** **el cerebro autista profundiza en lo que ya funciona. Políticamente, esto se traduce en una orientación reformista-técnica, sistémica, orientada a perfeccionar estructuras existentes más que a sustituirlas.</w:t>
      </w:r>
    </w:p>
    <w:p>
      <w:pPr>
        <w:pStyle w:val="BodyText"/>
      </w:pPr>
      <w:r>
        <w:rPr>
          <w:iCs/>
          <w:i/>
        </w:rPr>
        <w:t xml:space="preserve">→ Véase Sección 9.2 (Eje autista): el mismo patrón del recolector técnico que garantiza la calidad del recurso, aplicado a instituciones sociales.</w:t>
      </w:r>
    </w:p>
    <w:bookmarkEnd w:id="86"/>
    <w:bookmarkStart w:id="87" w:name="Xdbe0883c3fe8e14c3a823393c0caeacf77d12bd"/>
    <w:p>
      <w:pPr>
        <w:pStyle w:val="Heading2"/>
      </w:pPr>
      <w:r>
        <w:rPr>
          <w:bCs/>
          <w:b/>
        </w:rPr>
        <w:t xml:space="preserve">15.3. El centro neurotípico y la política normativa</w:t>
      </w:r>
    </w:p>
    <w:p>
      <w:pPr>
        <w:pStyle w:val="FirstParagraph"/>
      </w:pPr>
      <w:r>
        <w:t xml:space="preserve">El perfil neurotípico, orientado a la ejecución eficiente y la cohesión grupal, tendería a situarse en posiciones políticas moderadas o de consenso, priorizando la estabilidad social sobre la innovación radical o la optimización técnica extrema. Es el votante mediano, el que sostiene el sistema vigente sin cuestionarlo ni profundizar excesivamente en sus fundamentos.</w:t>
      </w:r>
    </w:p>
    <w:bookmarkEnd w:id="87"/>
    <w:bookmarkStart w:id="88" w:name="síntesis-la-cruz-aplicada-a-la-política"/>
    <w:p>
      <w:pPr>
        <w:pStyle w:val="Heading2"/>
      </w:pPr>
      <w:r>
        <w:rPr>
          <w:bCs/>
          <w:b/>
        </w:rPr>
        <w:t xml:space="preserve">15.4. Síntesis: la Cruz aplicada a la política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Perfil</w:t>
            </w:r>
          </w:p>
        </w:tc>
        <w:tc>
          <w:tcPr/>
          <w:p>
            <w:pPr>
              <w:pStyle w:val="Compact"/>
              <w:jc w:val="left"/>
            </w:pPr>
            <w:r>
              <w:rPr>
                <w:bCs/>
                <w:b/>
              </w:rPr>
              <w:t xml:space="preserve">Orientación política</w:t>
            </w:r>
          </w:p>
        </w:tc>
        <w:tc>
          <w:tcPr/>
          <w:p>
            <w:pPr>
              <w:pStyle w:val="Compact"/>
              <w:jc w:val="left"/>
            </w:pPr>
            <w:r>
              <w:rPr>
                <w:bCs/>
                <w:b/>
              </w:rPr>
              <w:t xml:space="preserve">Prioridad</w:t>
            </w:r>
          </w:p>
        </w:tc>
        <w:tc>
          <w:tcPr/>
          <w:p>
            <w:pPr>
              <w:pStyle w:val="Compact"/>
              <w:jc w:val="left"/>
            </w:pPr>
            <w:r>
              <w:rPr>
                <w:bCs/>
                <w:b/>
              </w:rPr>
              <w:t xml:space="preserve">Estilo</w:t>
            </w:r>
          </w:p>
        </w:tc>
      </w:tr>
      <w:tr>
        <w:tc>
          <w:tcPr/>
          <w:p>
            <w:pPr>
              <w:pStyle w:val="Compact"/>
              <w:jc w:val="left"/>
            </w:pPr>
            <w:r>
              <w:rPr>
                <w:bCs/>
                <w:b/>
              </w:rPr>
              <w:t xml:space="preserve">TDAH</w:t>
            </w:r>
          </w:p>
        </w:tc>
        <w:tc>
          <w:tcPr/>
          <w:p>
            <w:pPr>
              <w:pStyle w:val="Compact"/>
              <w:jc w:val="left"/>
            </w:pPr>
            <w:r>
              <w:t xml:space="preserve">Cambio, izquierda, anti-establishment</w:t>
            </w:r>
          </w:p>
        </w:tc>
        <w:tc>
          <w:tcPr/>
          <w:p>
            <w:pPr>
              <w:pStyle w:val="Compact"/>
              <w:jc w:val="left"/>
            </w:pPr>
            <w:r>
              <w:t xml:space="preserve">Romper la injusticia, crear sistemas nuevos</w:t>
            </w:r>
          </w:p>
        </w:tc>
        <w:tc>
          <w:tcPr/>
          <w:p>
            <w:pPr>
              <w:pStyle w:val="Compact"/>
              <w:jc w:val="left"/>
            </w:pPr>
            <w:r>
              <w:t xml:space="preserve">Revolucionario, reactivo, emocional</w:t>
            </w:r>
          </w:p>
        </w:tc>
      </w:tr>
      <w:tr>
        <w:tc>
          <w:tcPr/>
          <w:p>
            <w:pPr>
              <w:pStyle w:val="Compact"/>
              <w:jc w:val="left"/>
            </w:pPr>
            <w:r>
              <w:rPr>
                <w:bCs/>
                <w:b/>
              </w:rPr>
              <w:t xml:space="preserve">Autismo</w:t>
            </w:r>
          </w:p>
        </w:tc>
        <w:tc>
          <w:tcPr/>
          <w:p>
            <w:pPr>
              <w:pStyle w:val="Compact"/>
              <w:jc w:val="left"/>
            </w:pPr>
            <w:r>
              <w:t xml:space="preserve">Sistema, reformismo técnico</w:t>
            </w:r>
          </w:p>
        </w:tc>
        <w:tc>
          <w:tcPr/>
          <w:p>
            <w:pPr>
              <w:pStyle w:val="Compact"/>
              <w:jc w:val="left"/>
            </w:pPr>
            <w:r>
              <w:t xml:space="preserve">Perfeccionar lo que funciona lógicamente</w:t>
            </w:r>
          </w:p>
        </w:tc>
        <w:tc>
          <w:tcPr/>
          <w:p>
            <w:pPr>
              <w:pStyle w:val="Compact"/>
              <w:jc w:val="left"/>
            </w:pPr>
            <w:r>
              <w:t xml:space="preserve">Sistémico, basado en reglas y principios</w:t>
            </w:r>
          </w:p>
        </w:tc>
      </w:tr>
      <w:tr>
        <w:tc>
          <w:tcPr/>
          <w:p>
            <w:pPr>
              <w:pStyle w:val="Compact"/>
              <w:jc w:val="left"/>
            </w:pPr>
            <w:r>
              <w:rPr>
                <w:bCs/>
                <w:b/>
              </w:rPr>
              <w:t xml:space="preserve">Neurotípico</w:t>
            </w:r>
          </w:p>
        </w:tc>
        <w:tc>
          <w:tcPr/>
          <w:p>
            <w:pPr>
              <w:pStyle w:val="Compact"/>
              <w:jc w:val="left"/>
            </w:pPr>
            <w:r>
              <w:t xml:space="preserve">Centro, consenso, moderación</w:t>
            </w:r>
          </w:p>
        </w:tc>
        <w:tc>
          <w:tcPr/>
          <w:p>
            <w:pPr>
              <w:pStyle w:val="Compact"/>
              <w:jc w:val="left"/>
            </w:pPr>
            <w:r>
              <w:t xml:space="preserve">Mantener la estabilidad social</w:t>
            </w:r>
          </w:p>
        </w:tc>
        <w:tc>
          <w:tcPr/>
          <w:p>
            <w:pPr>
              <w:pStyle w:val="Compact"/>
              <w:jc w:val="left"/>
            </w:pPr>
            <w:r>
              <w:t xml:space="preserve">Pragmático, normativo</w:t>
            </w:r>
          </w:p>
        </w:tc>
      </w:tr>
    </w:tbl>
    <w:p>
      <w:pPr>
        <w:pStyle w:val="BodyText"/>
      </w:pPr>
      <w:r>
        <w:rPr>
          <w:iCs/>
          <w:i/>
        </w:rPr>
        <w:t xml:space="preserve">Tabla 5. Correspondencia hipotética entre perfiles neurocognitivos y orientación política según el modelo de la Cruz.</w:t>
      </w:r>
    </w:p>
    <w:bookmarkEnd w:id="88"/>
    <w:bookmarkStart w:id="89" w:name="matiz-crítico-contexto-y-vulnerabilidad"/>
    <w:p>
      <w:pPr>
        <w:pStyle w:val="Heading2"/>
      </w:pPr>
      <w:r>
        <w:rPr>
          <w:bCs/>
          <w:b/>
        </w:rPr>
        <w:t xml:space="preserve">15.5. Matiz crítico: contexto y vulnerabilidad</w:t>
      </w:r>
    </w:p>
    <w:p>
      <w:pPr>
        <w:pStyle w:val="FirstParagraph"/>
      </w:pPr>
      <w:r>
        <w:t xml:space="preserve">Es importante señalar que estas asociaciones son tendencias estadísticas, no determinismos. Además, se ha observado que personas autistas en situación de aislamiento social pueden ser vulnerables al reclutamiento por grupos de extrema derecha, no por afinidad ideológica natural, sino porque estos grupos ofrecen estructura clara, verdades absolutas y sentido de pertenencia a individuos excluidos.</w:t>
      </w:r>
    </w:p>
    <w:p>
      <w:pPr>
        <w:pStyle w:val="BodyText"/>
      </w:pPr>
      <w:r>
        <w:t xml:space="preserve">Del mismo modo, la alta reactividad emocional del TDAH puede llevar a posiciones políticas volátiles o a formas de participación más basadas en la urgencia emocional que en el análisis sistemático.</w:t>
      </w:r>
    </w:p>
    <w:p>
      <w:pPr>
        <w:pStyle w:val="BodyText"/>
      </w:pPr>
      <w:r>
        <w:rPr>
          <w:bCs/>
          <w:b/>
        </w:rPr>
        <w:t xml:space="preserve">La orientación política no se</w:t>
      </w:r>
      <w:r>
        <w:t xml:space="preserve">** ****</w:t>
      </w:r>
      <w:r>
        <w:t xml:space="preserve">“</w:t>
      </w:r>
      <w:r>
        <w:t xml:space="preserve">****hereda****</w:t>
      </w:r>
      <w:r>
        <w:t xml:space="preserve">”</w:t>
      </w:r>
      <w:r>
        <w:t xml:space="preserve">**** ****del perfil cognitivo, pero el tipo de procesamiento condiciona cómo se percibe el mundo y, por tanto, qué propuestas ideológicas resultan más resonantes para cada arquitectura atencional.**</w:t>
      </w:r>
    </w:p>
    <w:p>
      <w:pPr>
        <w:pStyle w:val="BodyText"/>
      </w:pPr>
      <w:r>
        <w:rPr>
          <w:iCs/>
          <w:i/>
        </w:rPr>
        <w:t xml:space="preserve">→ Véase Sección 12 (Entorno familiar): los factores contextuales modulan la trayectoria ideológica igual que la conductual.</w:t>
      </w:r>
    </w:p>
    <w:bookmarkEnd w:id="89"/>
    <w:bookmarkStart w:id="90" w:name="Xeafe76282e997e7732e99b03988c62ae10ce95d"/>
    <w:p>
      <w:pPr>
        <w:pStyle w:val="Heading2"/>
      </w:pPr>
      <w:r>
        <w:rPr>
          <w:bCs/>
          <w:b/>
        </w:rPr>
        <w:t xml:space="preserve">15.6. El caso Thunberg: autismo como cumplimiento riguroso del sistema</w:t>
      </w:r>
    </w:p>
    <w:p>
      <w:pPr>
        <w:pStyle w:val="FirstParagraph"/>
      </w:pPr>
      <w:r>
        <w:t xml:space="preserve">El caso de Greta Thunberg ilustra con precisión la predicción del modelo sobre la orientación política autista. Thunberg no propone una invención nueva ni una revolución ideológica: exige que los gobiernos cumplan las reglas que ellos mismos establecieron (el Acuerdo de París). Es un enfoque de profundización y estabilidad técnica, no de ruptura. Desde el modelo, esto es exactamente lo que predice el procesamiento monotrópico aplicado a la esfera política: si el sistema tiene una lógica interna coherente, el autista exige que se ejecute con rigor, no que se sustituya.</w:t>
      </w:r>
    </w:p>
    <w:bookmarkEnd w:id="90"/>
    <w:bookmarkStart w:id="91" w:name="X8e6e37caca124d4508ed8fa4c2155a0601ee904"/>
    <w:p>
      <w:pPr>
        <w:pStyle w:val="Heading2"/>
      </w:pPr>
      <w:r>
        <w:rPr>
          <w:bCs/>
          <w:b/>
        </w:rPr>
        <w:t xml:space="preserve">15.7. Liberalismo y neurodivergencia: por qué no el colectivismo</w:t>
      </w:r>
    </w:p>
    <w:p>
      <w:pPr>
        <w:pStyle w:val="FirstParagraph"/>
      </w:pPr>
      <w:r>
        <w:t xml:space="preserve">Un patrón recurrente en los estudios europeos es que los neurodivergentes tienden al liberalismo progresista más que al socialismo colectivista. El modelo ofrece una explicación: para que alguien se alinee con una ideología que exige fuerte cohesión grupal, necesita un historial de pertenencia grupal positiva. Muchas personas neurodivergentes han sido excluidas de los grupos toda su vida. Esa exclusión genera desconfianza hacia los colectivos grandes y preferencia por marcos que defiendan el derecho a ser diferente frente a la masa.</w:t>
      </w:r>
    </w:p>
    <w:p>
      <w:pPr>
        <w:pStyle w:val="BodyText"/>
      </w:pPr>
      <w:r>
        <w:rPr>
          <w:bCs/>
          <w:b/>
        </w:rPr>
        <w:t xml:space="preserve">Desde el modelo:</w:t>
      </w:r>
      <w:r>
        <w:t xml:space="preserve"> </w:t>
      </w:r>
      <w:r>
        <w:t xml:space="preserve">el neurodivergente no rechaza la justicia social, sino que desconfía del vehículo colectivista porque el colectivo ha sido históricamente el espacio de su exclusión. Prefiere marcos que protejan al individuo diferente dentro del sistema, no marcos que exijan homogeneidad grupal para funcionar.</w:t>
      </w:r>
    </w:p>
    <w:bookmarkEnd w:id="91"/>
    <w:bookmarkEnd w:id="92"/>
    <w:bookmarkStart w:id="102" w:name="X2f71a055d57a749f38c572c0e840567837db51b"/>
    <w:p>
      <w:pPr>
        <w:pStyle w:val="Heading1"/>
      </w:pPr>
      <w:r>
        <w:rPr>
          <w:bCs/>
          <w:b/>
        </w:rPr>
        <w:t xml:space="preserve">16. Extensión filosófica: masking político, control financiero y soberanía energética</w:t>
      </w:r>
    </w:p>
    <w:p>
      <w:pPr>
        <w:pStyle w:val="FirstParagraph"/>
      </w:pPr>
      <w:r>
        <w:rPr>
          <w:iCs/>
          <w:i/>
        </w:rPr>
        <w:t xml:space="preserve">Nota: Esta sección tiene un carácter especulativo y filosófico. No pretende constituir evidencia científica, sino explorar las implicaciones del modelo cuando se extrapola a estructuras de poder, economía y control social. Se presenta como marco de reflexión, no como afirmación empírica.</w:t>
      </w:r>
    </w:p>
    <w:bookmarkStart w:id="93" w:name="Xc2f6757211fd18295f77f70ceb326d9aa49a3c4"/>
    <w:p>
      <w:pPr>
        <w:pStyle w:val="Heading2"/>
      </w:pPr>
      <w:r>
        <w:rPr>
          <w:bCs/>
          <w:b/>
        </w:rPr>
        <w:t xml:space="preserve">16.1. La revolución depende del contexto, no de la ideología</w:t>
      </w:r>
    </w:p>
    <w:p>
      <w:pPr>
        <w:pStyle w:val="FirstParagraph"/>
      </w:pPr>
      <w:r>
        <w:t xml:space="preserve">Si la arquitectura atencional no determina la ideología sino cómo se reacciona al entorno, entonces la orientación política del neurodivergente depende del contexto donde viva. En países donde el establishment es de izquierdas (como Argentina durante décadas), el perfil TDAH —orientado a la frontera y la ruptura— puede encontrar su</w:t>
      </w:r>
      <w:r>
        <w:t xml:space="preserve"> </w:t>
      </w:r>
      <w:r>
        <w:t xml:space="preserve">“</w:t>
      </w:r>
      <w:r>
        <w:t xml:space="preserve">bosque</w:t>
      </w:r>
      <w:r>
        <w:t xml:space="preserve">”</w:t>
      </w:r>
      <w:r>
        <w:t xml:space="preserve"> </w:t>
      </w:r>
      <w:r>
        <w:t xml:space="preserve">en la derecha, porque ahí está lo desconocido. La revolución no tiene color ideológico fijo: va hacia donde esté el límite.</w:t>
      </w:r>
    </w:p>
    <w:p>
      <w:pPr>
        <w:pStyle w:val="BodyText"/>
      </w:pPr>
      <w:r>
        <w:rPr>
          <w:bCs/>
          <w:b/>
        </w:rPr>
        <w:t xml:space="preserve">Hipótesis de la</w:t>
      </w:r>
      <w:r>
        <w:t xml:space="preserve">** ****</w:t>
      </w:r>
      <w:r>
        <w:t xml:space="preserve">“</w:t>
      </w:r>
      <w:r>
        <w:t xml:space="preserve">****revolución hacia el pasado****</w:t>
      </w:r>
      <w:r>
        <w:t xml:space="preserve">”</w:t>
      </w:r>
      <w:r>
        <w:t xml:space="preserve">****:**** **En entornos de caos crónico, el desorden deja de ser novedad para el cerebro TDAH. La</w:t>
      </w:r>
      <w:r>
        <w:t xml:space="preserve"> </w:t>
      </w:r>
      <w:r>
        <w:t xml:space="preserve">“</w:t>
      </w:r>
      <w:r>
        <w:t xml:space="preserve">frontera</w:t>
      </w:r>
      <w:r>
        <w:t xml:space="preserve">”</w:t>
      </w:r>
      <w:r>
        <w:t xml:space="preserve"> </w:t>
      </w:r>
      <w:r>
        <w:t xml:space="preserve">pasa a ser el orden radical, y el pasado se convierte en utopía. El TDAH político no busca conservar, busca conquistar un orden que no tiene.</w:t>
      </w:r>
    </w:p>
    <w:p>
      <w:pPr>
        <w:pStyle w:val="BodyText"/>
      </w:pPr>
      <w:r>
        <w:rPr>
          <w:iCs/>
          <w:i/>
        </w:rPr>
        <w:t xml:space="preserve">→ Véase Sección 10.3 (Reconversión funcional): el mismo patrón del cazador que migra hacia donde esté el nuevo límite.</w:t>
      </w:r>
    </w:p>
    <w:p>
      <w:pPr>
        <w:pStyle w:val="BodyText"/>
      </w:pPr>
      <w:r>
        <w:rPr>
          <w:iCs/>
          <w:i/>
        </w:rPr>
        <w:t xml:space="preserve">→ Véase Sección 15.1 (TDAH y orientación al cambio): la búsqueda de novedad aplicada a la política.</w:t>
      </w:r>
    </w:p>
    <w:bookmarkEnd w:id="93"/>
    <w:bookmarkStart w:id="94" w:name="el-masking-como-infraestructura-política"/>
    <w:p>
      <w:pPr>
        <w:pStyle w:val="Heading2"/>
      </w:pPr>
      <w:r>
        <w:rPr>
          <w:bCs/>
          <w:b/>
        </w:rPr>
        <w:t xml:space="preserve">16.2. El masking como infraestructura política</w:t>
      </w:r>
    </w:p>
    <w:p>
      <w:pPr>
        <w:pStyle w:val="FirstParagraph"/>
      </w:pPr>
      <w:r>
        <w:t xml:space="preserve">En neuropsicología clínica, el masking es un mecanismo de supervivencia que el neurodivergente desarrolla desde la infancia para evitar el rechazo y encajar en entornos neurotípicos. Este mecanismo tiene un coste elevado: fatiga cognitiva, desconexión con la identidad propia y agotamiento emocional.</w:t>
      </w:r>
    </w:p>
    <w:p>
      <w:pPr>
        <w:pStyle w:val="BodyText"/>
      </w:pPr>
      <w:r>
        <w:t xml:space="preserve">Extrapolado a la política, el masking se convierte en la tecnología central del ejercicio del poder. El político profesional —sea neurodivergente o no— necesita proyectar una estética de normalidad, control y cercanía para que el electorado neurotípico (que busca estabilidad y cohesión) lo valide como líder.</w:t>
      </w:r>
    </w:p>
    <w:p>
      <w:pPr>
        <w:pStyle w:val="BodyText"/>
      </w:pPr>
      <w:r>
        <w:t xml:space="preserve">El resultado es una selección natural del cargo: para acceder al poder, se requiere un nivel de masking tan extremo que, cuando se llega arriba, la persona ya no es ella misma. Las promesas incumplidas no serían siempre fruto del engaño deliberado, sino del coste estructural de un sistema que exige camuflaje para ser elegido y ataduras para gobernar.</w:t>
      </w:r>
    </w:p>
    <w:p>
      <w:pPr>
        <w:pStyle w:val="BodyText"/>
      </w:pPr>
      <w:r>
        <w:rPr>
          <w:iCs/>
          <w:i/>
        </w:rPr>
        <w:t xml:space="preserve">→ Véase Sección 7 (Procesamiento sensorial): el masking como sobrecarga añadida al sistema ya saturado.</w:t>
      </w:r>
    </w:p>
    <w:bookmarkEnd w:id="94"/>
    <w:bookmarkStart w:id="95" w:name="el-neurotípico-como-péndulo-electoral"/>
    <w:p>
      <w:pPr>
        <w:pStyle w:val="Heading2"/>
      </w:pPr>
      <w:r>
        <w:rPr>
          <w:bCs/>
          <w:b/>
        </w:rPr>
        <w:t xml:space="preserve">16.3. El neurotípico como péndulo electoral</w:t>
      </w:r>
    </w:p>
    <w:p>
      <w:pPr>
        <w:pStyle w:val="FirstParagraph"/>
      </w:pPr>
      <w:r>
        <w:t xml:space="preserve">En este marco especulativo, el perfil neurotípico —orientado a la ejecución eficiente y la cohesión grupal— constituye la mayoría del electorado y funciona como un péndulo cíclico entre opciones. No se mueve por convicción ideológica profunda, sino por la estética de la normalidad: valida al político que</w:t>
      </w:r>
      <w:r>
        <w:t xml:space="preserve"> </w:t>
      </w:r>
      <w:r>
        <w:t xml:space="preserve">“</w:t>
      </w:r>
      <w:r>
        <w:t xml:space="preserve">parezca</w:t>
      </w:r>
      <w:r>
        <w:t xml:space="preserve">”</w:t>
      </w:r>
      <w:r>
        <w:t xml:space="preserve"> </w:t>
      </w:r>
      <w:r>
        <w:t xml:space="preserve">que tiene el control, independientemente de su programa real.</w:t>
      </w:r>
    </w:p>
    <w:p>
      <w:pPr>
        <w:pStyle w:val="BodyText"/>
      </w:pPr>
      <w:r>
        <w:t xml:space="preserve">Votan al perfil TDAH (cambio) cuando el sistema se ha vuelto demasiado frío o agotado. Votan al perfil autista (estabilidad técnica) cuando el ruido del cambio es insoportable. En ambos casos, lo que buscan es que la realidad no les sature demasiado.</w:t>
      </w:r>
    </w:p>
    <w:p>
      <w:pPr>
        <w:pStyle w:val="BodyText"/>
      </w:pPr>
      <w:r>
        <w:rPr>
          <w:iCs/>
          <w:i/>
        </w:rPr>
        <w:t xml:space="preserve">→ Véase Sección 9.3 (Centro neurotípico): la función de mantenimiento y cohesión social.</w:t>
      </w:r>
    </w:p>
    <w:bookmarkEnd w:id="95"/>
    <w:bookmarkStart w:id="96" w:name="X03d5b46cef8ba4c11bc7e5b354d79a54eb2cfec"/>
    <w:p>
      <w:pPr>
        <w:pStyle w:val="Heading2"/>
      </w:pPr>
      <w:r>
        <w:rPr>
          <w:bCs/>
          <w:b/>
        </w:rPr>
        <w:t xml:space="preserve">16.4. El sistema financiero como monotropismo ficticio</w:t>
      </w:r>
    </w:p>
    <w:p>
      <w:pPr>
        <w:pStyle w:val="FirstParagraph"/>
      </w:pPr>
      <w:r>
        <w:t xml:space="preserve">Si aplicamos la lógica del modelo al sistema económico global, emerge una paradoja: el dinero funciona como un sistema de atención monotrópica técnica a escala planetaria. Es un sistema de precisión matemática asombrosa (hipotecas, derivados, deuda) que solo existe en su propia lógica interna, desconectado de la realidad biológica.</w:t>
      </w:r>
    </w:p>
    <w:p>
      <w:pPr>
        <w:pStyle w:val="BodyText"/>
      </w:pPr>
      <w:r>
        <w:t xml:space="preserve">El dinero fue originalmente un constructo humano para facilitar el intercambio rápido de recursos. Sin embargo, quienes entendieron su mecánica construyeron un sistema de control sobre él. Hoy vivimos en una época en la que el dinero físico prácticamente no existe: todo es ficticio, transacciones digitales, balances bancarios con dinero inventado. Le damos más valor que nunca a algo que es imposible fabricar materialmente en su totalidad.</w:t>
      </w:r>
    </w:p>
    <w:p>
      <w:pPr>
        <w:pStyle w:val="BodyText"/>
      </w:pPr>
      <w:r>
        <w:rPr>
          <w:bCs/>
          <w:b/>
        </w:rPr>
        <w:t xml:space="preserve">Mientras tanto, lo que sí es real y vital —la tierra, la energía, el tiempo de vida— se degrada o se vende como un lujo.</w:t>
      </w:r>
      <w:r>
        <w:t xml:space="preserve">** **Es el triunfo del monotropismo técnico deshumanizado: un sistema que solo procesa números y ha olvidado que su función original era servir a la vida.</w:t>
      </w:r>
    </w:p>
    <w:p>
      <w:pPr>
        <w:pStyle w:val="BodyText"/>
      </w:pPr>
      <w:r>
        <w:rPr>
          <w:iCs/>
          <w:i/>
        </w:rPr>
        <w:t xml:space="preserve">→ Véase Sección 6.2 (Autismo técnico/especialista): el mismo mecanismo de hiperfoco en un sistema abstracto, aplicado a las finanzas globales.</w:t>
      </w:r>
    </w:p>
    <w:p>
      <w:pPr>
        <w:pStyle w:val="BodyText"/>
      </w:pPr>
      <w:r>
        <w:rPr>
          <w:iCs/>
          <w:i/>
        </w:rPr>
        <w:t xml:space="preserve">→ Véase Sección 14 (Desajuste moderno): la sociedad como granja que obliga a cerebros de cazador a contar ovejas.</w:t>
      </w:r>
    </w:p>
    <w:bookmarkEnd w:id="96"/>
    <w:bookmarkStart w:id="97" w:name="Xa910e3fb9ef6a8c0650254e80f071d59aee3071"/>
    <w:p>
      <w:pPr>
        <w:pStyle w:val="Heading2"/>
      </w:pPr>
      <w:r>
        <w:rPr>
          <w:bCs/>
          <w:b/>
        </w:rPr>
        <w:t xml:space="preserve">16.4b. El tiempo como constructo cognitivamente dependiente</w:t>
      </w:r>
    </w:p>
    <w:p>
      <w:pPr>
        <w:pStyle w:val="FirstParagraph"/>
      </w:pPr>
      <w:r>
        <w:t xml:space="preserve">Si el dinero es un constructo ficticio que hemos elevado a categoría de realidad, el tiempo merece la misma revisión. El tiempo, tal como lo experimentamos, no es una magnitud física absoluta con principio y fin: es una herramienta cognitiva diseñada para organizar la experiencia en secuencias manejables.</w:t>
      </w:r>
    </w:p>
    <w:p>
      <w:pPr>
        <w:pStyle w:val="BodyText"/>
      </w:pPr>
      <w:r>
        <w:t xml:space="preserve">Esto tiene implicaciones directas para la neurodivergencia:</w:t>
      </w:r>
      <w:r>
        <w:t xml:space="preserve"> </w:t>
      </w:r>
      <w:r>
        <w:rPr>
          <w:bCs/>
          <w:b/>
        </w:rPr>
        <w:t xml:space="preserve">la</w:t>
      </w:r>
      <w:r>
        <w:t xml:space="preserve">** ****</w:t>
      </w:r>
      <w:r>
        <w:t xml:space="preserve">“</w:t>
      </w:r>
      <w:r>
        <w:t xml:space="preserve">****mala gestión del tiempo****</w:t>
      </w:r>
      <w:r>
        <w:t xml:space="preserve">”</w:t>
      </w:r>
      <w:r>
        <w:t xml:space="preserve">**** ****atribuida al TDAH no es un déficit frente a una realidad objetiva, sino una forma diferente de relacionarse con algo que ya es subjetivo.** Si el tiempo es un constructo, no hay una manera</w:t>
      </w:r>
      <w:r>
        <w:t xml:space="preserve"> </w:t>
      </w:r>
      <w:r>
        <w:t xml:space="preserve">“</w:t>
      </w:r>
      <w:r>
        <w:t xml:space="preserve">correcta</w:t>
      </w:r>
      <w:r>
        <w:t xml:space="preserve">”</w:t>
      </w:r>
      <w:r>
        <w:t xml:space="preserve"> </w:t>
      </w:r>
      <w:r>
        <w:t xml:space="preserve">de percibirlo. El cerebro TDAH vive en un presente expandido donde la urgencia no se activa hasta que el estímulo es inmediato. El cerebro autista puede vivir en un sistema temporal propio donde las transiciones son dolorosas porque interrumpen una estructura interna que no responde al reloj externo.</w:t>
      </w:r>
    </w:p>
    <w:p>
      <w:pPr>
        <w:pStyle w:val="BodyText"/>
      </w:pPr>
      <w:r>
        <w:t xml:space="preserve">La sociedad moderna ha elevado el tiempo lineal — medido en horas, jornadas y plazos — a la categoría de realidad incuestionable, igual que hizo con el dinero. Quien no se adapta al reloj es</w:t>
      </w:r>
      <w:r>
        <w:t xml:space="preserve"> </w:t>
      </w:r>
      <w:r>
        <w:t xml:space="preserve">“</w:t>
      </w:r>
      <w:r>
        <w:t xml:space="preserve">improductivo</w:t>
      </w:r>
      <w:r>
        <w:t xml:space="preserve">”</w:t>
      </w:r>
      <w:r>
        <w:t xml:space="preserve">, igual que quien no se adapta al sistema financiero es</w:t>
      </w:r>
      <w:r>
        <w:t xml:space="preserve"> </w:t>
      </w:r>
      <w:r>
        <w:t xml:space="preserve">“</w:t>
      </w:r>
      <w:r>
        <w:t xml:space="preserve">pobre.</w:t>
      </w:r>
      <w:r>
        <w:t xml:space="preserve">”</w:t>
      </w:r>
      <w:r>
        <w:t xml:space="preserve"> </w:t>
      </w:r>
      <w:r>
        <w:t xml:space="preserve">Ambas etiquetas son juicios de valor disfrazados de diagnósticos objetivos.</w:t>
      </w:r>
    </w:p>
    <w:p>
      <w:pPr>
        <w:pStyle w:val="BodyText"/>
      </w:pPr>
      <w:r>
        <w:rPr>
          <w:bCs/>
          <w:b/>
        </w:rPr>
        <w:t xml:space="preserve">Si aceptamos que el tiempo es un constructo, entonces la</w:t>
      </w:r>
      <w:r>
        <w:t xml:space="preserve">** ****</w:t>
      </w:r>
      <w:r>
        <w:t xml:space="preserve">“</w:t>
      </w:r>
      <w:r>
        <w:t xml:space="preserve">****pereza****</w:t>
      </w:r>
      <w:r>
        <w:t xml:space="preserve">”</w:t>
      </w:r>
      <w:r>
        <w:t xml:space="preserve">**** ****del TDAH es una etiqueta que el constructo temporal impone sobre un cerebro que opera con otro sistema de priorización.** La pereza no existe como categoría neurológica: existe como juicio social sobre la discrepancia entre el reloj externo y el motor motivacional interno.</w:t>
      </w:r>
    </w:p>
    <w:p>
      <w:pPr>
        <w:pStyle w:val="BodyText"/>
      </w:pPr>
      <w:r>
        <w:rPr>
          <w:iCs/>
          <w:i/>
        </w:rPr>
        <w:t xml:space="preserve">→ Véase Sección 14 (Desajuste moderno): el tiempo lineal como versión contemporánea de la estabulación.</w:t>
      </w:r>
    </w:p>
    <w:p>
      <w:pPr>
        <w:pStyle w:val="BodyText"/>
      </w:pPr>
      <w:r>
        <w:rPr>
          <w:iCs/>
          <w:i/>
        </w:rPr>
        <w:t xml:space="preserve">→ Véase Sección 16.4 (Sistema financiero): otro constructo elevado a categoría de realidad incuestionable.</w:t>
      </w:r>
    </w:p>
    <w:bookmarkEnd w:id="97"/>
    <w:bookmarkStart w:id="98" w:name="X8b26feaaabc44515f487405be16fdeb4a35bb44"/>
    <w:p>
      <w:pPr>
        <w:pStyle w:val="Heading2"/>
      </w:pPr>
      <w:r>
        <w:rPr>
          <w:bCs/>
          <w:b/>
        </w:rPr>
        <w:t xml:space="preserve">16.5. La estabulación financiera: nacer, vivir y morir en el sistema</w:t>
      </w:r>
    </w:p>
    <w:p>
      <w:pPr>
        <w:pStyle w:val="FirstParagraph"/>
      </w:pPr>
      <w:r>
        <w:t xml:space="preserve">El modelo describe la transición al sedentarismo como la primera gran estabulación del cerebro humano. La reflexión filosófica aquí propuesta sugiere que el sistema financiero actual constituye una segunda estabulación, más profunda: se nace con una deuda implícita y se muere dejando una estela de transacciones. Quien intenta salirse no recibe del sistema y se queda sin recursos, teniendo que volver cuando los necesita.</w:t>
      </w:r>
    </w:p>
    <w:p>
      <w:pPr>
        <w:pStyle w:val="BodyText"/>
      </w:pPr>
      <w:r>
        <w:t xml:space="preserve">La tierra es un recurso natural libre, pero todo tiene ya un precio monetario que, en última instancia, no existe materialmente. Hay millones de hectáreas vacías por cultivar, tecnología suficiente para que una casa se autoabastezca con energía solar, pero el sistema pone trabas porque la autonomía real de la población amenaza la estructura de control.</w:t>
      </w:r>
    </w:p>
    <w:p>
      <w:pPr>
        <w:pStyle w:val="BodyText"/>
      </w:pPr>
      <w:r>
        <w:rPr>
          <w:bCs/>
          <w:b/>
        </w:rPr>
        <w:t xml:space="preserve">La dependencia es el modelo de negocio.</w:t>
      </w:r>
      <w:r>
        <w:t xml:space="preserve">** **Una persona con energía gratuita y tierra cultivable es alguien que no necesita trabajar 40 horas para mantener las luces encendidas. Esa independencia es la máxima amenaza para quienes ostentan el poder actual.</w:t>
      </w:r>
    </w:p>
    <w:p>
      <w:pPr>
        <w:pStyle w:val="BodyText"/>
      </w:pPr>
      <w:r>
        <w:rPr>
          <w:iCs/>
          <w:i/>
        </w:rPr>
        <w:t xml:space="preserve">→ Véase Sección 10.1 (El choque de la civilización): la estabulación como cerco que se ha ido cerrando durante milenios.</w:t>
      </w:r>
    </w:p>
    <w:bookmarkEnd w:id="98"/>
    <w:bookmarkStart w:id="99" w:name="X2da572327f600d78bbc1c45dbacbe93c74a63d2"/>
    <w:p>
      <w:pPr>
        <w:pStyle w:val="Heading2"/>
      </w:pPr>
      <w:r>
        <w:rPr>
          <w:bCs/>
          <w:b/>
        </w:rPr>
        <w:t xml:space="preserve">16.6. Soberanía energética y control de la frontera</w:t>
      </w:r>
    </w:p>
    <w:p>
      <w:pPr>
        <w:pStyle w:val="FirstParagraph"/>
      </w:pPr>
      <w:r>
        <w:t xml:space="preserve">Desde la óptica del modelo, el control de la energía es la versión moderna del control del territorio de caza. Nikola Tesla —un perfil compatible con TDAH conectivo según los análisis retrospectivos— soñaba con la transmisión de energía inalámbrica y gratuita. Su inversor, J.P. Morgan, lo detuvo porque, como se le atribuye:</w:t>
      </w:r>
      <w:r>
        <w:t xml:space="preserve"> </w:t>
      </w:r>
      <w:r>
        <w:t xml:space="preserve">“</w:t>
      </w:r>
      <w:r>
        <w:t xml:space="preserve">No se le puede poner un contador.</w:t>
      </w:r>
      <w:r>
        <w:t xml:space="preserve">”</w:t>
      </w:r>
    </w:p>
    <w:p>
      <w:pPr>
        <w:pStyle w:val="BodyText"/>
      </w:pPr>
      <w:r>
        <w:t xml:space="preserve">El problema nunca ha sido la disponibilidad de energía. La Tierra se mueve, el sol irradia, el agua fluye, los seres humanos generan calor al caminar. Todo es energía transformable. Ya existen tecnologías de recolección energética (energy harvesting) que aprovechan el movimiento humano, las vibraciones o la diferencia térmica. El límite no es la termodinámica, es el peaje: quien controla la infraestructura de distribución decide quién recibe energía y a qué precio.</w:t>
      </w:r>
    </w:p>
    <w:p>
      <w:pPr>
        <w:pStyle w:val="BodyText"/>
      </w:pPr>
      <w:r>
        <w:rPr>
          <w:bCs/>
          <w:b/>
        </w:rPr>
        <w:t xml:space="preserve">La energía descentralizada e infinita rompería el modelo de escasez artificial</w:t>
      </w:r>
      <w:r>
        <w:t xml:space="preserve">** **sobre el que se sustenta el sistema financiero. Una población que no tiene que pagar por la luz o el calor es una población mucho más difícil de controlar. Por eso el discurso oficial se enfoca en la</w:t>
      </w:r>
      <w:r>
        <w:t xml:space="preserve"> </w:t>
      </w:r>
      <w:r>
        <w:t xml:space="preserve">“</w:t>
      </w:r>
      <w:r>
        <w:t xml:space="preserve">crisis energética</w:t>
      </w:r>
      <w:r>
        <w:t xml:space="preserve">”</w:t>
      </w:r>
      <w:r>
        <w:t xml:space="preserve"> </w:t>
      </w:r>
      <w:r>
        <w:t xml:space="preserve">y no en la</w:t>
      </w:r>
      <w:r>
        <w:t xml:space="preserve"> </w:t>
      </w:r>
      <w:r>
        <w:t xml:space="preserve">“</w:t>
      </w:r>
      <w:r>
        <w:t xml:space="preserve">liberación energética.</w:t>
      </w:r>
      <w:r>
        <w:t xml:space="preserve">”</w:t>
      </w:r>
    </w:p>
    <w:p>
      <w:pPr>
        <w:pStyle w:val="BodyText"/>
      </w:pPr>
      <w:r>
        <w:rPr>
          <w:iCs/>
          <w:i/>
        </w:rPr>
        <w:t xml:space="preserve">→ Véase Sección 11.3.1 (TDAH y polimatía): Tesla como ejemplo del inventor politrópico cuyas ideas fueron bloqueadas por el sistema de control.</w:t>
      </w:r>
    </w:p>
    <w:p>
      <w:pPr>
        <w:pStyle w:val="BodyText"/>
      </w:pPr>
      <w:r>
        <w:rPr>
          <w:iCs/>
          <w:i/>
        </w:rPr>
        <w:t xml:space="preserve">→ Véase Sección 9.1 (Eje TDAH): el cazador al que le han quitado el bosque y le han dado un saldo bancario a cambio.</w:t>
      </w:r>
    </w:p>
    <w:bookmarkEnd w:id="99"/>
    <w:bookmarkStart w:id="100" w:name="síntesis-filosófica"/>
    <w:p>
      <w:pPr>
        <w:pStyle w:val="Heading2"/>
      </w:pPr>
      <w:r>
        <w:rPr>
          <w:bCs/>
          <w:b/>
        </w:rPr>
        <w:t xml:space="preserve">16.7. Síntesis filosófica</w:t>
      </w:r>
    </w:p>
    <w:p>
      <w:pPr>
        <w:pStyle w:val="FirstParagraph"/>
      </w:pPr>
      <w:r>
        <w:t xml:space="preserve">Si el modelo antropológico-clínico describe cómo distintas arquitecturas cognitivas fueron necesarias para la supervivencia colectiva, esta extensión filosófica sugiere que el sistema actual ha invertido esa lógica: en lugar de que el entorno se adapte a la diversidad cognitiva, se obliga a toda la diversidad a adaptarse a un único entorno abstracto —el sistema financiero— que no tiene biología, empatía ni necesidad de recursos reales.</w:t>
      </w:r>
    </w:p>
    <w:p>
      <w:pPr>
        <w:pStyle w:val="BodyText"/>
      </w:pPr>
      <w:r>
        <w:t xml:space="preserve">La política profesional funcionaría como la capa de masking que mantiene a la población dentro del establo: proyecta una estética de cambio o de estabilidad según el ciclo electoral, mientras la estructura real de poder —el flujo financiero— permanece intacta.</w:t>
      </w:r>
    </w:p>
    <w:p>
      <w:pPr>
        <w:pStyle w:val="BodyText"/>
      </w:pPr>
      <w:r>
        <w:rPr>
          <w:bCs/>
          <w:b/>
        </w:rPr>
        <w:t xml:space="preserve">En última instancia, la neurodiversidad humana —nuestra capacidad de crear, romper, profundizar y sentir— estaría siendo comprimida por una máquina de procesar dinero que no distingue entre un cazador, un ingeniero de sistemas y un gestor de aldea. Para ese sistema, todos somos contadores de ovejas.</w:t>
      </w:r>
    </w:p>
    <w:bookmarkEnd w:id="100"/>
    <w:bookmarkStart w:id="101" w:name="Xf85d3c768cc91dc9fdfc0cd4b487ccdb809166a"/>
    <w:p>
      <w:pPr>
        <w:pStyle w:val="Heading2"/>
      </w:pPr>
      <w:r>
        <w:rPr>
          <w:bCs/>
          <w:b/>
        </w:rPr>
        <w:t xml:space="preserve">16.8. Los constructos sociales como herramientas de estabulación cognitiva</w:t>
      </w:r>
    </w:p>
    <w:p>
      <w:pPr>
        <w:pStyle w:val="FirstParagraph"/>
      </w:pPr>
      <w:r>
        <w:t xml:space="preserve">El tiempo, el dinero, la inteligencia, la vagancia: todos son constructos humanos diseñados para ordenar la experiencia. El tiempo no es una magnitud física absoluta con límites definidos, sino una herramienta para organizar la memoria y las expectativas en el instante presente. Del mismo modo, conceptos como</w:t>
      </w:r>
      <w:r>
        <w:t xml:space="preserve"> </w:t>
      </w:r>
      <w:r>
        <w:t xml:space="preserve">“</w:t>
      </w:r>
      <w:r>
        <w:t xml:space="preserve">vago</w:t>
      </w:r>
      <w:r>
        <w:t xml:space="preserve">”</w:t>
      </w:r>
      <w:r>
        <w:t xml:space="preserve">,</w:t>
      </w:r>
      <w:r>
        <w:t xml:space="preserve"> </w:t>
      </w:r>
      <w:r>
        <w:t xml:space="preserve">“</w:t>
      </w:r>
      <w:r>
        <w:t xml:space="preserve">inteligente</w:t>
      </w:r>
      <w:r>
        <w:t xml:space="preserve">”</w:t>
      </w:r>
      <w:r>
        <w:t xml:space="preserve"> </w:t>
      </w:r>
      <w:r>
        <w:t xml:space="preserve">o</w:t>
      </w:r>
      <w:r>
        <w:t xml:space="preserve"> </w:t>
      </w:r>
      <w:r>
        <w:t xml:space="preserve">“</w:t>
      </w:r>
      <w:r>
        <w:t xml:space="preserve">normal</w:t>
      </w:r>
      <w:r>
        <w:t xml:space="preserve">”</w:t>
      </w:r>
      <w:r>
        <w:t xml:space="preserve"> </w:t>
      </w:r>
      <w:r>
        <w:t xml:space="preserve">no describen realidades biológicas, sino parámetros de una norma social construida sobre el perfil neurotípico.</w:t>
      </w:r>
    </w:p>
    <w:p>
      <w:pPr>
        <w:pStyle w:val="BodyText"/>
      </w:pPr>
      <w:r>
        <w:t xml:space="preserve">Cuando a un niño con TDAH se le dice</w:t>
      </w:r>
      <w:r>
        <w:t xml:space="preserve"> </w:t>
      </w:r>
      <w:r>
        <w:t xml:space="preserve">“</w:t>
      </w:r>
      <w:r>
        <w:rPr>
          <w:bCs/>
          <w:b/>
        </w:rPr>
        <w:t xml:space="preserve">eres vago, pero tienes mucho talento</w:t>
      </w:r>
      <w:r>
        <w:t xml:space="preserve">”</w:t>
      </w:r>
      <w:r>
        <w:t xml:space="preserve">, se está aplicando un constructo moral (</w:t>
      </w:r>
      <w:r>
        <w:t xml:space="preserve">“</w:t>
      </w:r>
      <w:r>
        <w:t xml:space="preserve">vagancia</w:t>
      </w:r>
      <w:r>
        <w:t xml:space="preserve">”</w:t>
      </w:r>
      <w:r>
        <w:t xml:space="preserve">) a lo que en realidad es una arquitectura cognitiva que no encaja en el formato de evaluación del entorno. No es que no quiera hacer la tarea; es que su sistema dopaminérgico necesita un nivel de estimulación que esa tarea no proporciona. Llamarle</w:t>
      </w:r>
      <w:r>
        <w:t xml:space="preserve"> </w:t>
      </w:r>
      <w:r>
        <w:t xml:space="preserve">“</w:t>
      </w:r>
      <w:r>
        <w:t xml:space="preserve">vago</w:t>
      </w:r>
      <w:r>
        <w:t xml:space="preserve">”</w:t>
      </w:r>
      <w:r>
        <w:t xml:space="preserve"> </w:t>
      </w:r>
      <w:r>
        <w:t xml:space="preserve">es como decirle a un cazador que es</w:t>
      </w:r>
      <w:r>
        <w:t xml:space="preserve"> </w:t>
      </w:r>
      <w:r>
        <w:t xml:space="preserve">“</w:t>
      </w:r>
      <w:r>
        <w:t xml:space="preserve">perezoso</w:t>
      </w:r>
      <w:r>
        <w:t xml:space="preserve">”</w:t>
      </w:r>
      <w:r>
        <w:t xml:space="preserve"> </w:t>
      </w:r>
      <w:r>
        <w:t xml:space="preserve">porque no quiere plantar nabos.</w:t>
      </w:r>
    </w:p>
    <w:p>
      <w:pPr>
        <w:pStyle w:val="BodyText"/>
      </w:pPr>
      <w:r>
        <w:rPr>
          <w:iCs/>
          <w:i/>
        </w:rPr>
        <w:t xml:space="preserve">→ Véase Sección 4.1 (Sistemas dopaminérgicos): la motivación no es voluntad, es umbral de activación.</w:t>
      </w:r>
    </w:p>
    <w:p>
      <w:pPr>
        <w:pStyle w:val="BodyText"/>
      </w:pPr>
      <w:r>
        <w:rPr>
          <w:iCs/>
          <w:i/>
        </w:rPr>
        <w:t xml:space="preserve">→ Véase Sección 5 (Redefinición de la inatención): no es déficit, es saturación.</w:t>
      </w:r>
    </w:p>
    <w:p>
      <w:pPr>
        <w:pStyle w:val="BodyText"/>
      </w:pPr>
      <w:r>
        <w:rPr>
          <w:bCs/>
          <w:b/>
        </w:rPr>
        <w:t xml:space="preserve">La trampa del</w:t>
      </w:r>
      <w:r>
        <w:t xml:space="preserve">** ****</w:t>
      </w:r>
      <w:r>
        <w:t xml:space="preserve">“</w:t>
      </w:r>
      <w:r>
        <w:t xml:space="preserve">****vago con talento****</w:t>
      </w:r>
      <w:r>
        <w:t xml:space="preserve">”</w:t>
      </w:r>
      <w:r>
        <w:t xml:space="preserve">**** ****tiene dos caras:**</w:t>
      </w:r>
    </w:p>
    <w:p>
      <w:pPr>
        <w:numPr>
          <w:ilvl w:val="0"/>
          <w:numId w:val="1013"/>
        </w:numPr>
      </w:pPr>
      <w:r>
        <w:rPr>
          <w:bCs/>
          <w:b/>
        </w:rPr>
        <w:t xml:space="preserve">El inadaptado visible:</w:t>
      </w:r>
      <w:r>
        <w:t xml:space="preserve">** **el niño que no rinde, que suspende, que</w:t>
      </w:r>
      <w:r>
        <w:t xml:space="preserve"> </w:t>
      </w:r>
      <w:r>
        <w:t xml:space="preserve">“</w:t>
      </w:r>
      <w:r>
        <w:t xml:space="preserve">podría pero no quiere</w:t>
      </w:r>
      <w:r>
        <w:t xml:space="preserve">”</w:t>
      </w:r>
      <w:r>
        <w:t xml:space="preserve">. El sistema lo etiqueta como fracaso moral cuando en realidad es un desajuste entre su procesamiento y el formato que se le impone. Es un cazador obligado a sentarse en un pupitre durante seis horas.</w:t>
      </w:r>
    </w:p>
    <w:p>
      <w:pPr>
        <w:numPr>
          <w:ilvl w:val="0"/>
          <w:numId w:val="1013"/>
        </w:numPr>
      </w:pPr>
      <w:r>
        <w:rPr>
          <w:bCs/>
          <w:b/>
        </w:rPr>
        <w:t xml:space="preserve">El extremadamente adaptado (masking):</w:t>
      </w:r>
      <w:r>
        <w:t xml:space="preserve">** **el niño que sí aprueba, que</w:t>
      </w:r>
      <w:r>
        <w:t xml:space="preserve"> </w:t>
      </w:r>
      <w:r>
        <w:t xml:space="preserve">“</w:t>
      </w:r>
      <w:r>
        <w:t xml:space="preserve">parece normal</w:t>
      </w:r>
      <w:r>
        <w:t xml:space="preserve">”</w:t>
      </w:r>
      <w:r>
        <w:t xml:space="preserve">, que compensa su arquitectura interna con un esfuerzo de camuflaje agotador. Pasa desapercibido para el sistema educativo, pero acumula una fatiga cognitiva que explota en la edad adulta como ansiedad, depresión o burnout. El sistema lo celebra como éxito cuando en realidad está roto por dentro.</w:t>
      </w:r>
    </w:p>
    <w:p>
      <w:pPr>
        <w:pStyle w:val="FirstParagraph"/>
      </w:pPr>
      <w:r>
        <w:rPr>
          <w:iCs/>
          <w:i/>
        </w:rPr>
        <w:t xml:space="preserve">→ Véase Sección 16.2 (Masking político): el mismo mecanismo de supervivencia, aplicado desde la infancia.</w:t>
      </w:r>
    </w:p>
    <w:p>
      <w:pPr>
        <w:pStyle w:val="BodyText"/>
      </w:pPr>
      <w:r>
        <w:rPr>
          <w:iCs/>
          <w:i/>
        </w:rPr>
        <w:t xml:space="preserve">→ Véase Sección 8.3 (Crítica a los tests de inteligencia): los tests miden adaptación a un formato, no capacidad real.</w:t>
      </w:r>
    </w:p>
    <w:p>
      <w:pPr>
        <w:pStyle w:val="BodyText"/>
      </w:pPr>
      <w:r>
        <w:t xml:space="preserve">Lo mismo ocurre con otros constructos que el modelo cuestiona:</w:t>
      </w:r>
    </w:p>
    <w:p>
      <w:pPr>
        <w:numPr>
          <w:ilvl w:val="0"/>
          <w:numId w:val="1014"/>
        </w:numPr>
      </w:pPr>
      <w:r>
        <w:rPr>
          <w:bCs/>
          <w:b/>
        </w:rPr>
        <w:t xml:space="preserve">La inteligencia</w:t>
      </w:r>
      <w:r>
        <w:t xml:space="preserve">** **no es una cantidad (más o menos), sino una dirección de procesamiento. Los tests de CI son constructos que miden la capacidad de rendir en un formato monotrópico específico.</w:t>
      </w:r>
    </w:p>
    <w:p>
      <w:pPr>
        <w:numPr>
          <w:ilvl w:val="0"/>
          <w:numId w:val="1014"/>
        </w:numPr>
      </w:pPr>
      <w:r>
        <w:rPr>
          <w:bCs/>
          <w:b/>
        </w:rPr>
        <w:t xml:space="preserve">La normalidad</w:t>
      </w:r>
      <w:r>
        <w:t xml:space="preserve">** **no es un estado biológico, sino la descripción estadística de la mayoría. El neurotípico no es</w:t>
      </w:r>
      <w:r>
        <w:t xml:space="preserve"> </w:t>
      </w:r>
      <w:r>
        <w:t xml:space="preserve">“</w:t>
      </w:r>
      <w:r>
        <w:t xml:space="preserve">mejor</w:t>
      </w:r>
      <w:r>
        <w:t xml:space="preserve">”</w:t>
      </w:r>
      <w:r>
        <w:t xml:space="preserve">, es más frecuente.</w:t>
      </w:r>
    </w:p>
    <w:p>
      <w:pPr>
        <w:numPr>
          <w:ilvl w:val="0"/>
          <w:numId w:val="1014"/>
        </w:numPr>
      </w:pPr>
      <w:r>
        <w:rPr>
          <w:bCs/>
          <w:b/>
        </w:rPr>
        <w:t xml:space="preserve">El éxito</w:t>
      </w:r>
      <w:r>
        <w:t xml:space="preserve">** **se mide en parámetros diseñados para un tipo de procesamiento central: estabilidad laboral, ingresos regulares, rutina predecible. Un cazador que genera una empresa desde cero y la abandona cuando deja de ser estimulante es, para el sistema, un</w:t>
      </w:r>
      <w:r>
        <w:t xml:space="preserve"> </w:t>
      </w:r>
      <w:r>
        <w:t xml:space="preserve">“</w:t>
      </w:r>
      <w:r>
        <w:t xml:space="preserve">fracasado</w:t>
      </w:r>
      <w:r>
        <w:t xml:space="preserve">”</w:t>
      </w:r>
      <w:r>
        <w:t xml:space="preserve">. Para el modelo, es un TDAH cumpliendo su función.</w:t>
      </w:r>
    </w:p>
    <w:p>
      <w:pPr>
        <w:numPr>
          <w:ilvl w:val="0"/>
          <w:numId w:val="1014"/>
        </w:numPr>
      </w:pPr>
      <w:r>
        <w:rPr>
          <w:bCs/>
          <w:b/>
        </w:rPr>
        <w:t xml:space="preserve">El tiempo</w:t>
      </w:r>
      <w:r>
        <w:t xml:space="preserve">** **es un constructo para organizar la experiencia lineal de la realidad. Como señalaba Aristóteles, no tiene principio ni fin; la búsqueda de uno es un intento lógico de ordenar lo incomprensible. El cerebro TDAH, que vive en un</w:t>
      </w:r>
      <w:r>
        <w:t xml:space="preserve"> </w:t>
      </w:r>
      <w:r>
        <w:t xml:space="preserve">“</w:t>
      </w:r>
      <w:r>
        <w:t xml:space="preserve">presente expandido</w:t>
      </w:r>
      <w:r>
        <w:t xml:space="preserve">”</w:t>
      </w:r>
      <w:r>
        <w:t xml:space="preserve"> </w:t>
      </w:r>
      <w:r>
        <w:t xml:space="preserve">donde todo es ahora, choca frontalmente con un sistema social construido sobre plazos, horarios y planificación lineal.</w:t>
      </w:r>
    </w:p>
    <w:p>
      <w:pPr>
        <w:pStyle w:val="FirstParagraph"/>
      </w:pPr>
      <w:r>
        <w:rPr>
          <w:bCs/>
          <w:b/>
        </w:rPr>
        <w:t xml:space="preserve">En definitiva, los constructos sociales funcionan como la infraestructura invisible de la estabulación.</w:t>
      </w:r>
      <w:r>
        <w:t xml:space="preserve">** **No hace falta un muro físico para encerrar a alguien; basta con convencerle de que es vago, de que el tiempo se le escapa, de que no es lo bastante inteligente, de que su manera de procesar el mundo es un trastorno. Cuando interiorizas que tu cerebro está</w:t>
      </w:r>
      <w:r>
        <w:t xml:space="preserve"> </w:t>
      </w:r>
      <w:r>
        <w:t xml:space="preserve">“</w:t>
      </w:r>
      <w:r>
        <w:t xml:space="preserve">roto</w:t>
      </w:r>
      <w:r>
        <w:t xml:space="preserve">”</w:t>
      </w:r>
      <w:r>
        <w:t xml:space="preserve">, dejas de intentar salir del corral.</w:t>
      </w:r>
    </w:p>
    <w:p>
      <w:pPr>
        <w:pStyle w:val="BodyText"/>
      </w:pPr>
      <w:r>
        <w:rPr>
          <w:iCs/>
          <w:i/>
        </w:rPr>
        <w:t xml:space="preserve">→ Véase Sección 16.5 (Estabulación financiera): los constructos económicos como extensión de los constructos cognitivos.</w:t>
      </w:r>
    </w:p>
    <w:p>
      <w:pPr>
        <w:pStyle w:val="BodyText"/>
      </w:pPr>
      <w:r>
        <w:rPr>
          <w:iCs/>
          <w:i/>
        </w:rPr>
        <w:t xml:space="preserve">→ Véase Sección 14 (Desajuste moderno): la disfunción como desajuste, no como defecto.</w:t>
      </w:r>
    </w:p>
    <w:bookmarkEnd w:id="101"/>
    <w:bookmarkEnd w:id="102"/>
    <w:bookmarkStart w:id="103" w:name="síntesis-y-conclusiones"/>
    <w:p>
      <w:pPr>
        <w:pStyle w:val="Heading1"/>
      </w:pPr>
      <w:r>
        <w:rPr>
          <w:bCs/>
          <w:b/>
        </w:rPr>
        <w:t xml:space="preserve">17. Síntesis y conclusiones</w:t>
      </w:r>
    </w:p>
    <w:p>
      <w:pPr>
        <w:pStyle w:val="FirstParagraph"/>
      </w:pPr>
      <w:r>
        <w:t xml:space="preserve">El modelo propuesto permite una lectura integradora de la neurodivergencia:</w:t>
      </w:r>
    </w:p>
    <w:p>
      <w:pPr>
        <w:numPr>
          <w:ilvl w:val="0"/>
          <w:numId w:val="1015"/>
        </w:numPr>
      </w:pPr>
      <w:r>
        <w:rPr>
          <w:bCs/>
          <w:b/>
        </w:rPr>
        <w:t xml:space="preserve">La inatención no es un déficit,</w:t>
      </w:r>
      <w:r>
        <w:t xml:space="preserve">** **sino el resultado de un sistema atencional saturado según su propia dirección de procesamiento.</w:t>
      </w:r>
    </w:p>
    <w:p>
      <w:pPr>
        <w:numPr>
          <w:ilvl w:val="0"/>
          <w:numId w:val="1015"/>
        </w:numPr>
      </w:pPr>
      <w:r>
        <w:rPr>
          <w:bCs/>
          <w:b/>
        </w:rPr>
        <w:t xml:space="preserve">TDAH y autismo no son opuestos,</w:t>
      </w:r>
      <w:r>
        <w:t xml:space="preserve">** **sino extremos de un sistema común: uno optimizado para conectar, otro para profundizar.</w:t>
      </w:r>
    </w:p>
    <w:p>
      <w:pPr>
        <w:numPr>
          <w:ilvl w:val="0"/>
          <w:numId w:val="1015"/>
        </w:numPr>
      </w:pPr>
      <w:r>
        <w:rPr>
          <w:bCs/>
          <w:b/>
        </w:rPr>
        <w:t xml:space="preserve">La disfunción ejecutiva es compartida,</w:t>
      </w:r>
      <w:r>
        <w:t xml:space="preserve">** **y se produce por saturación, no por déficit de capacidad.</w:t>
      </w:r>
    </w:p>
    <w:p>
      <w:pPr>
        <w:numPr>
          <w:ilvl w:val="0"/>
          <w:numId w:val="1015"/>
        </w:numPr>
      </w:pPr>
      <w:r>
        <w:rPr>
          <w:bCs/>
          <w:b/>
        </w:rPr>
        <w:t xml:space="preserve">El hiperfoco no es un síntoma único,</w:t>
      </w:r>
      <w:r>
        <w:t xml:space="preserve">** **sino un vector: frágil y dependiente de estímulo en el TDAH, rígido y natural en el autismo. En el perfil AuDHD, ambos motores coexisten y se contradicen.</w:t>
      </w:r>
    </w:p>
    <w:p>
      <w:pPr>
        <w:numPr>
          <w:ilvl w:val="0"/>
          <w:numId w:val="1015"/>
        </w:numPr>
      </w:pPr>
      <w:r>
        <w:rPr>
          <w:bCs/>
          <w:b/>
        </w:rPr>
        <w:t xml:space="preserve">Las Altas Capacidades no implican jerarquía,</w:t>
      </w:r>
      <w:r>
        <w:t xml:space="preserve">** **sino una forma distinta de escalar el procesamiento dentro de cada eje.</w:t>
      </w:r>
    </w:p>
    <w:p>
      <w:pPr>
        <w:numPr>
          <w:ilvl w:val="0"/>
          <w:numId w:val="1015"/>
        </w:numPr>
      </w:pPr>
      <w:r>
        <w:rPr>
          <w:bCs/>
          <w:b/>
        </w:rPr>
        <w:t xml:space="preserve">Desde una perspectiva antropológica,</w:t>
      </w:r>
      <w:r>
        <w:t xml:space="preserve">** **la neurodivergencia representa especializaciones funcionales que fueron necesarias para la supervivencia colectiva.</w:t>
      </w:r>
    </w:p>
    <w:p>
      <w:pPr>
        <w:numPr>
          <w:ilvl w:val="0"/>
          <w:numId w:val="1015"/>
        </w:numPr>
      </w:pPr>
      <w:r>
        <w:rPr>
          <w:bCs/>
          <w:b/>
        </w:rPr>
        <w:t xml:space="preserve">El desajuste moderno</w:t>
      </w:r>
      <w:r>
        <w:t xml:space="preserve">** **explica por qué estos perfiles presentan dificultades en entornos diseñados para un tipo de procesamiento central y normativo.</w:t>
      </w:r>
    </w:p>
    <w:p>
      <w:pPr>
        <w:numPr>
          <w:ilvl w:val="0"/>
          <w:numId w:val="1015"/>
        </w:numPr>
      </w:pPr>
      <w:r>
        <w:rPr>
          <w:bCs/>
          <w:b/>
        </w:rPr>
        <w:t xml:space="preserve">En la esfera política,</w:t>
      </w:r>
      <w:r>
        <w:t xml:space="preserve">** **el tipo de procesamiento condiciona qué propuestas ideológicas resultan resonantes: cambio y frontera para el TDAH, sistema y profundización para el autismo, consenso y estabilidad para el neurotípico.</w:t>
      </w:r>
    </w:p>
    <w:p>
      <w:pPr>
        <w:numPr>
          <w:ilvl w:val="0"/>
          <w:numId w:val="1015"/>
        </w:numPr>
      </w:pPr>
      <w:r>
        <w:rPr>
          <w:bCs/>
          <w:b/>
        </w:rPr>
        <w:t xml:space="preserve">A nivel filosófico-especulativo,</w:t>
      </w:r>
      <w:r>
        <w:t xml:space="preserve">** **el sistema financiero y el control energético pueden entenderse como una segunda estabulación que comprime toda la diversidad cognitiva en un único entorno abstracto desconectado de la realidad biológica.</w:t>
      </w:r>
    </w:p>
    <w:p>
      <w:pPr>
        <w:numPr>
          <w:ilvl w:val="0"/>
          <w:numId w:val="1015"/>
        </w:numPr>
      </w:pPr>
      <w:r>
        <w:rPr>
          <w:bCs/>
          <w:b/>
        </w:rPr>
        <w:t xml:space="preserve">Los constructos sociales</w:t>
      </w:r>
      <w:r>
        <w:t xml:space="preserve">** **(vagancia, inteligencia, normalidad, tiempo) funcionan como la infraestructura invisible de esa estabulación: convencen al neurodivergente de que su cerebro está roto, cuando en realidad es el formato el que no encaja.</w:t>
      </w:r>
    </w:p>
    <w:p>
      <w:pPr>
        <w:pStyle w:val="FirstParagraph"/>
      </w:pPr>
      <w:r>
        <w:rPr>
          <w:bCs/>
          <w:b/>
        </w:rPr>
        <w:t xml:space="preserve">Implicación clínica:</w:t>
      </w:r>
      <w:r>
        <w:t xml:space="preserve">** **El objetivo terapéutico no debería centrarse exclusivamente en</w:t>
      </w:r>
      <w:r>
        <w:t xml:space="preserve"> </w:t>
      </w:r>
      <w:r>
        <w:t xml:space="preserve">“</w:t>
      </w:r>
      <w:r>
        <w:t xml:space="preserve">normalizar</w:t>
      </w:r>
      <w:r>
        <w:t xml:space="preserve">”</w:t>
      </w:r>
      <w:r>
        <w:t xml:space="preserve"> </w:t>
      </w:r>
      <w:r>
        <w:t xml:space="preserve">la atención, sino en regular la carga de procesamiento, adaptar el entorno al canal dominante y reducir la saturación.</w:t>
      </w:r>
    </w:p>
    <w:p>
      <w:pPr>
        <w:pStyle w:val="BodyText"/>
      </w:pPr>
      <w:r>
        <w:rPr>
          <w:iCs/>
          <w:i/>
          <w:bCs/>
          <w:b/>
        </w:rPr>
        <w:t xml:space="preserve">“</w:t>
      </w:r>
      <w:r>
        <w:rPr>
          <w:iCs/>
          <w:i/>
          <w:bCs/>
          <w:b/>
        </w:rPr>
        <w:t xml:space="preserve">************Lo que hoy se diagnostica como disfunción fue, durante miles de años, una especialización necesaria para la supervivencia colectiva.************</w:t>
      </w:r>
      <w:r>
        <w:rPr>
          <w:iCs/>
          <w:i/>
          <w:bCs/>
          <w:b/>
        </w:rPr>
        <w:t xml:space="preserve">”</w:t>
      </w:r>
    </w:p>
    <w:bookmarkEnd w:id="103"/>
    <w:bookmarkStart w:id="104" w:name="limitaciones-del-modelo"/>
    <w:p>
      <w:pPr>
        <w:pStyle w:val="Heading1"/>
      </w:pPr>
      <w:r>
        <w:rPr>
          <w:bCs/>
          <w:b/>
        </w:rPr>
        <w:t xml:space="preserve">18. Limitaciones del modelo</w:t>
      </w:r>
    </w:p>
    <w:p>
      <w:pPr>
        <w:pStyle w:val="FirstParagraph"/>
      </w:pPr>
      <w:r>
        <w:t xml:space="preserve">Este documento constituye una autoetnografía clínica con propuesta teórica. Como tal, presenta limitaciones inherentes al enfoque:</w:t>
      </w:r>
    </w:p>
    <w:p>
      <w:pPr>
        <w:pStyle w:val="BodyText"/>
      </w:pPr>
      <w:r>
        <w:rPr>
          <w:bCs/>
          <w:b/>
        </w:rPr>
        <w:t xml:space="preserve">Limitaciones metodológicas del N=1 autoetnográfico:</w:t>
      </w:r>
    </w:p>
    <w:p>
      <w:pPr>
        <w:numPr>
          <w:ilvl w:val="0"/>
          <w:numId w:val="1016"/>
        </w:numPr>
      </w:pPr>
      <w:r>
        <w:t xml:space="preserve">La perspectiva en primera persona aporta acceso fenomenológico único, pero no permite generalización directa a la población neurodivergente.</w:t>
      </w:r>
    </w:p>
    <w:p>
      <w:pPr>
        <w:numPr>
          <w:ilvl w:val="0"/>
          <w:numId w:val="1016"/>
        </w:numPr>
      </w:pPr>
      <w:r>
        <w:t xml:space="preserve">El investigador y el sujeto son la misma persona, lo que introduce un sesgo de confirmación estructural difícil de controlar.</w:t>
      </w:r>
    </w:p>
    <w:p>
      <w:pPr>
        <w:numPr>
          <w:ilvl w:val="0"/>
          <w:numId w:val="1016"/>
        </w:numPr>
      </w:pPr>
      <w:r>
        <w:t xml:space="preserve">La autoobservación previa al diagnóstico no fue sistemática ni documentada, lo que limita su fiabilidad como dato.</w:t>
      </w:r>
    </w:p>
    <w:p>
      <w:pPr>
        <w:pStyle w:val="FirstParagraph"/>
      </w:pPr>
      <w:r>
        <w:rPr>
          <w:bCs/>
          <w:b/>
        </w:rPr>
        <w:t xml:space="preserve">Limitaciones teóricas del modelo:</w:t>
      </w:r>
    </w:p>
    <w:p>
      <w:pPr>
        <w:numPr>
          <w:ilvl w:val="0"/>
          <w:numId w:val="1017"/>
        </w:numPr>
      </w:pPr>
      <w:r>
        <w:t xml:space="preserve">El modelo no ha sido sometido a contrastación empírica específica.</w:t>
      </w:r>
    </w:p>
    <w:p>
      <w:pPr>
        <w:numPr>
          <w:ilvl w:val="0"/>
          <w:numId w:val="1017"/>
        </w:numPr>
      </w:pPr>
      <w:r>
        <w:t xml:space="preserve">Las analogías antropológicas son interpretativas y no pueden verificarse directamente.</w:t>
      </w:r>
    </w:p>
    <w:p>
      <w:pPr>
        <w:numPr>
          <w:ilvl w:val="0"/>
          <w:numId w:val="1017"/>
        </w:numPr>
      </w:pPr>
      <w:r>
        <w:t xml:space="preserve">La distinción conectivo/especialista requiere operativización precisa para ser evaluable.</w:t>
      </w:r>
    </w:p>
    <w:p>
      <w:pPr>
        <w:numPr>
          <w:ilvl w:val="0"/>
          <w:numId w:val="1017"/>
        </w:numPr>
      </w:pPr>
      <w:r>
        <w:t xml:space="preserve">La hipótesis de reconversión funcional del TDAH es coherente con datos disponibles pero no confirmatoria.</w:t>
      </w:r>
    </w:p>
    <w:p>
      <w:pPr>
        <w:numPr>
          <w:ilvl w:val="0"/>
          <w:numId w:val="1017"/>
        </w:numPr>
      </w:pPr>
      <w:r>
        <w:t xml:space="preserve">La sección filosófica (16) es explícitamente especulativa y no debe interpretarse como evidencia científica.</w:t>
      </w:r>
    </w:p>
    <w:p>
      <w:pPr>
        <w:pStyle w:val="FirstParagraph"/>
      </w:pPr>
      <w:r>
        <w:rPr>
          <w:bCs/>
          <w:b/>
        </w:rPr>
        <w:t xml:space="preserve">Posicionamiento:</w:t>
      </w:r>
    </w:p>
    <w:p>
      <w:pPr>
        <w:pStyle w:val="BodyText"/>
      </w:pPr>
      <w:r>
        <w:t xml:space="preserve">Muchos de los planteamientos aquí desarrollados forman parte de debates existentes en la comunidad científica — la redefinición de categorías diagnósticas, las críticas a etiquetas clínicas y la perspectiva evolucionista de la neurodivergencia no son propuestas originales de este documento. Lo que este trabajo aporta es una síntesis integradora articulada desde la experiencia vivida, que puede complementar la investigación existente sin pretender sustituirla.</w:t>
      </w:r>
    </w:p>
    <w:p>
      <w:pPr>
        <w:pStyle w:val="BodyText"/>
      </w:pPr>
      <w:r>
        <w:t xml:space="preserve">Se presenta como generador de hipótesis y base para discusión clínica, no como sustitución del diagnóstico establecido ni de la investigación empírica.</w:t>
      </w:r>
    </w:p>
    <w:bookmarkEnd w:id="104"/>
    <w:bookmarkStart w:id="105" w:name="referencias"/>
    <w:p>
      <w:pPr>
        <w:pStyle w:val="Heading1"/>
      </w:pPr>
      <w:r>
        <w:rPr>
          <w:bCs/>
          <w:b/>
        </w:rPr>
        <w:t xml:space="preserve">Referencias</w:t>
      </w:r>
    </w:p>
    <w:p>
      <w:pPr>
        <w:pStyle w:val="FirstParagraph"/>
      </w:pPr>
      <w:r>
        <w:t xml:space="preserve">Antshel, K. M. y Barkley, R. A. (2020). Attention deficit hyperactivity disorder. En A. Tasman et al. (Eds.),</w:t>
      </w:r>
      <w:r>
        <w:t xml:space="preserve"> </w:t>
      </w:r>
      <w:r>
        <w:rPr>
          <w:iCs/>
          <w:i/>
        </w:rPr>
        <w:t xml:space="preserve">Tasman’s Psychiatry</w:t>
      </w:r>
      <w:r>
        <w:t xml:space="preserve"> </w:t>
      </w:r>
      <w:r>
        <w:t xml:space="preserve">(5.ª ed.). Springer.</w:t>
      </w:r>
    </w:p>
    <w:p>
      <w:pPr>
        <w:pStyle w:val="BodyText"/>
      </w:pPr>
      <w:r>
        <w:t xml:space="preserve">Baron-Cohen, S., Wheelwright, S., Stott, C., Bolton, P. y Goodyer, I. (1997). Is there a link between engineering and autism?</w:t>
      </w:r>
      <w:r>
        <w:t xml:space="preserve"> </w:t>
      </w:r>
      <w:r>
        <w:rPr>
          <w:iCs/>
          <w:i/>
        </w:rPr>
        <w:t xml:space="preserve">Autism, 1</w:t>
      </w:r>
      <w:r>
        <w:t xml:space="preserve">(1), 101–109. https://doi.org/10.1177/1362361397011010</w:t>
      </w:r>
    </w:p>
    <w:p>
      <w:pPr>
        <w:pStyle w:val="BodyText"/>
      </w:pPr>
      <w:r>
        <w:t xml:space="preserve">Baron-Cohen, S. (2003).</w:t>
      </w:r>
      <w:r>
        <w:t xml:space="preserve"> </w:t>
      </w:r>
      <w:r>
        <w:rPr>
          <w:iCs/>
          <w:i/>
        </w:rPr>
        <w:t xml:space="preserve">The essential difference: Men, women and the extreme male brain</w:t>
      </w:r>
      <w:r>
        <w:t xml:space="preserve">. Allen Lane / Penguin Books.</w:t>
      </w:r>
    </w:p>
    <w:p>
      <w:pPr>
        <w:pStyle w:val="BodyText"/>
      </w:pPr>
      <w:r>
        <w:t xml:space="preserve">Catani, M. y Mazzarello, P. (2019). Leonardo da Vinci: A genius driven to distraction.</w:t>
      </w:r>
      <w:r>
        <w:t xml:space="preserve"> </w:t>
      </w:r>
      <w:r>
        <w:rPr>
          <w:iCs/>
          <w:i/>
        </w:rPr>
        <w:t xml:space="preserve">Brain, 142</w:t>
      </w:r>
      <w:r>
        <w:t xml:space="preserve">(6), 1842–1846. https://doi.org/10.1093/brain/awz131</w:t>
      </w:r>
    </w:p>
    <w:p>
      <w:pPr>
        <w:pStyle w:val="BodyText"/>
      </w:pPr>
      <w:r>
        <w:t xml:space="preserve">Courchesne, E., Mouton, P. R., Calhoun, M. E., Semendeferi, K., Ahrens-Barbeau, C., Hallet, M. J., Barnes, C. C. y Pierce, K. (2011). Neuron number and size in prefrontal cortex of children with autism.</w:t>
      </w:r>
      <w:r>
        <w:t xml:space="preserve"> </w:t>
      </w:r>
      <w:r>
        <w:rPr>
          <w:iCs/>
          <w:i/>
        </w:rPr>
        <w:t xml:space="preserve">JAMA, 306</w:t>
      </w:r>
      <w:r>
        <w:t xml:space="preserve">(18), 2001–2010. https://doi.org/10.1001/jama.2011.1638</w:t>
      </w:r>
    </w:p>
    <w:p>
      <w:pPr>
        <w:pStyle w:val="BodyText"/>
      </w:pPr>
      <w:r>
        <w:t xml:space="preserve">Ellis, C., Adams, T. E. y Bochner, A. P. (2011). Autoethnography: An overview.</w:t>
      </w:r>
      <w:r>
        <w:t xml:space="preserve"> </w:t>
      </w:r>
      <w:r>
        <w:rPr>
          <w:iCs/>
          <w:i/>
        </w:rPr>
        <w:t xml:space="preserve">Historical Social Research, 36</w:t>
      </w:r>
      <w:r>
        <w:t xml:space="preserve">(4), 273–290.</w:t>
      </w:r>
    </w:p>
    <w:p>
      <w:pPr>
        <w:pStyle w:val="BodyText"/>
      </w:pPr>
      <w:r>
        <w:t xml:space="preserve">Hartmann, T. (1993).</w:t>
      </w:r>
      <w:r>
        <w:t xml:space="preserve"> </w:t>
      </w:r>
      <w:r>
        <w:rPr>
          <w:iCs/>
          <w:i/>
        </w:rPr>
        <w:t xml:space="preserve">Attention deficit disorder: A different perception</w:t>
      </w:r>
      <w:r>
        <w:t xml:space="preserve">. Underwood-Miller.</w:t>
      </w:r>
    </w:p>
    <w:p>
      <w:pPr>
        <w:pStyle w:val="BodyText"/>
      </w:pPr>
      <w:r>
        <w:t xml:space="preserve">Hartmann, T. (2015).</w:t>
      </w:r>
      <w:r>
        <w:t xml:space="preserve"> </w:t>
      </w:r>
      <w:r>
        <w:rPr>
          <w:iCs/>
          <w:i/>
        </w:rPr>
        <w:t xml:space="preserve">ADHD and the Edison gene: A drug-free approach to managing the unique qualities of your child</w:t>
      </w:r>
      <w:r>
        <w:t xml:space="preserve">. Park Street Press.</w:t>
      </w:r>
    </w:p>
    <w:p>
      <w:pPr>
        <w:pStyle w:val="BodyText"/>
      </w:pPr>
      <w:r>
        <w:t xml:space="preserve">Jung, R. E. y Haier, R. J. (2007). The Parieto-Frontal Integration Theory (P-FIT) of intelligence: Converging neuroimaging evidence.</w:t>
      </w:r>
      <w:r>
        <w:t xml:space="preserve"> </w:t>
      </w:r>
      <w:r>
        <w:rPr>
          <w:iCs/>
          <w:i/>
        </w:rPr>
        <w:t xml:space="preserve">Behavioral and Brain Sciences, 30</w:t>
      </w:r>
      <w:r>
        <w:t xml:space="preserve">(2), 135–154. https://doi.org/10.1017/S0140525X07001185</w:t>
      </w:r>
    </w:p>
    <w:p>
      <w:pPr>
        <w:pStyle w:val="BodyText"/>
      </w:pPr>
      <w:r>
        <w:t xml:space="preserve">Kapp, S. K. (Ed.). (2020).</w:t>
      </w:r>
      <w:r>
        <w:t xml:space="preserve"> </w:t>
      </w:r>
      <w:r>
        <w:rPr>
          <w:iCs/>
          <w:i/>
        </w:rPr>
        <w:t xml:space="preserve">Autistic community and the neurodiversity movement: Stories from the frontline</w:t>
      </w:r>
      <w:r>
        <w:t xml:space="preserve">. Palgrave Macmillan.</w:t>
      </w:r>
    </w:p>
    <w:p>
      <w:pPr>
        <w:pStyle w:val="BodyText"/>
      </w:pPr>
      <w:r>
        <w:t xml:space="preserve">Milton, D. E. M. (2012). On the ontological status of autism: The</w:t>
      </w:r>
      <w:r>
        <w:t xml:space="preserve"> </w:t>
      </w:r>
      <w:r>
        <w:t xml:space="preserve">‘</w:t>
      </w:r>
      <w:r>
        <w:t xml:space="preserve">double empathy problem</w:t>
      </w:r>
      <w:r>
        <w:t xml:space="preserve">’</w:t>
      </w:r>
      <w:r>
        <w:t xml:space="preserve">.</w:t>
      </w:r>
      <w:r>
        <w:t xml:space="preserve"> </w:t>
      </w:r>
      <w:r>
        <w:rPr>
          <w:iCs/>
          <w:i/>
        </w:rPr>
        <w:t xml:space="preserve">Disability</w:t>
      </w:r>
      <w:r>
        <w:rPr>
          <w:iCs/>
          <w:i/>
        </w:rPr>
        <w:t xml:space="preserve"> </w:t>
      </w:r>
      <w:r>
        <w:rPr>
          <w:bCs/>
          <w:b/>
          <w:iCs/>
          <w:i/>
        </w:rPr>
        <w:t xml:space="preserve">&amp;</w:t>
      </w:r>
      <w:r>
        <w:rPr>
          <w:iCs/>
          <w:i/>
        </w:rPr>
        <w:t xml:space="preserve"> </w:t>
      </w:r>
      <w:r>
        <w:rPr>
          <w:iCs/>
          <w:i/>
        </w:rPr>
        <w:t xml:space="preserve">Society, 27</w:t>
      </w:r>
      <w:r>
        <w:t xml:space="preserve">(6), 883–887. https://doi.org/10.1080/09687599.2012.710008</w:t>
      </w:r>
    </w:p>
    <w:p>
      <w:pPr>
        <w:pStyle w:val="BodyText"/>
      </w:pPr>
      <w:r>
        <w:t xml:space="preserve">Mirón, L., Otero, J. M. y Luengo, M. A. (1988). Un análisis de la relación entre ambiente familiar y delincuencia juvenil.</w:t>
      </w:r>
      <w:r>
        <w:t xml:space="preserve"> </w:t>
      </w:r>
      <w:r>
        <w:rPr>
          <w:iCs/>
          <w:i/>
        </w:rPr>
        <w:t xml:space="preserve">Revista de Psicología Social, 3</w:t>
      </w:r>
      <w:r>
        <w:t xml:space="preserve">(2), 165–180.</w:t>
      </w:r>
    </w:p>
    <w:p>
      <w:pPr>
        <w:pStyle w:val="BodyText"/>
      </w:pPr>
      <w:r>
        <w:t xml:space="preserve">Murray, D. K., Lesser, M. y Lawson, W. (2005). Attention, monotropism and the diagnostic criteria for autism.</w:t>
      </w:r>
      <w:r>
        <w:t xml:space="preserve"> </w:t>
      </w:r>
      <w:r>
        <w:rPr>
          <w:iCs/>
          <w:i/>
        </w:rPr>
        <w:t xml:space="preserve">Autism, 9</w:t>
      </w:r>
      <w:r>
        <w:t xml:space="preserve">(2), 139–156. https://doi.org/10.1177/1362361305051398</w:t>
      </w:r>
    </w:p>
    <w:p>
      <w:pPr>
        <w:pStyle w:val="BodyText"/>
      </w:pPr>
      <w:r>
        <w:t xml:space="preserve">Shaw, P., Eckstrand, K., Sharp, W., Blumenthal, J., Lerch, J. P., Greenstein, D., Clasen, L., Evans, A., Giedd, J. y Rapoport, J. L. (2007). Attention-deficit/hyperactivity disorder is characterized by a delay in cortical maturation.</w:t>
      </w:r>
      <w:r>
        <w:t xml:space="preserve"> </w:t>
      </w:r>
      <w:r>
        <w:rPr>
          <w:iCs/>
          <w:i/>
        </w:rPr>
        <w:t xml:space="preserve">Proceedings of the National Academy of Sciences, 104</w:t>
      </w:r>
      <w:r>
        <w:t xml:space="preserve">(49), 19649–19654. https://doi.org/10.1073/pnas.0707741104</w:t>
      </w:r>
    </w:p>
    <w:p>
      <w:pPr>
        <w:pStyle w:val="BodyText"/>
      </w:pPr>
      <w:r>
        <w:t xml:space="preserve">Tang, G., Gudsnuk, K., Kuo, S.-H., Cotrina, M. L., Rosoklija, G., Sosunov, A., Sonders, M. S., Kanter, E., Castagna, C., Yamamoto, A., Yue, Z., Arancio, O., Peterson, B. S., Champagne, F., Dwork, A. J., Goldman, J. y Sulzer, D. (2014). Loss of mTOR-dependent macroautophagy causes autistic-like synaptic pruning deficits.</w:t>
      </w:r>
      <w:r>
        <w:t xml:space="preserve"> </w:t>
      </w:r>
      <w:r>
        <w:rPr>
          <w:iCs/>
          <w:i/>
        </w:rPr>
        <w:t xml:space="preserve">Neuron, 83</w:t>
      </w:r>
      <w:r>
        <w:t xml:space="preserve">(5), 1131–1143. https://doi.org/10.1016/j.neuron.2014.07.040</w:t>
      </w:r>
    </w:p>
    <w:p>
      <w:pPr>
        <w:pStyle w:val="BodyText"/>
      </w:pPr>
      <w:r>
        <w:t xml:space="preserve">Volkow, N. D., Wang, G.-J., Kollins, S. H., Wigal, T. L., Newcorn, J. H., Telang, F., Fowler, J. S., Zhu, W., Logan, J., Ma, Y., Pradhan, K., Wong, C. y Swanson, J. M. (2009). Evaluating dopamine reward pathway in ADHD: Clinical implications.</w:t>
      </w:r>
      <w:r>
        <w:t xml:space="preserve"> </w:t>
      </w:r>
      <w:r>
        <w:rPr>
          <w:iCs/>
          <w:i/>
        </w:rPr>
        <w:t xml:space="preserve">JAMA, 302</w:t>
      </w:r>
      <w:r>
        <w:t xml:space="preserve">(10), 1084–1091. https://doi.org/10.1001/jama.2009.1308</w:t>
      </w:r>
    </w:p>
    <w:p>
      <w:pPr>
        <w:pStyle w:val="BodyText"/>
      </w:pPr>
      <w:r>
        <w:t xml:space="preserve">Yergeau, M. (2018).</w:t>
      </w:r>
      <w:r>
        <w:t xml:space="preserve"> </w:t>
      </w:r>
      <w:r>
        <w:rPr>
          <w:iCs/>
          <w:i/>
        </w:rPr>
        <w:t xml:space="preserve">Authoring autism: On rhetoric and neurological queerness</w:t>
      </w:r>
      <w:r>
        <w:t xml:space="preserve">. Duke University Press.</w:t>
      </w:r>
    </w:p>
    <w:p>
      <w:pPr>
        <w:pStyle w:val="BodyText"/>
      </w:pPr>
      <w:r>
        <w:t xml:space="preserve">Young, S., Moss, D., Sedgwick, O., Fridman, M. y Hodgkins, P. (2015). A meta-analysis of the prevalence of attention deficit hyperactivity disorder in incarcerated populations.</w:t>
      </w:r>
      <w:r>
        <w:t xml:space="preserve"> </w:t>
      </w:r>
      <w:r>
        <w:rPr>
          <w:iCs/>
          <w:i/>
        </w:rPr>
        <w:t xml:space="preserve">Psychological Medicine, 45</w:t>
      </w:r>
      <w:r>
        <w:t xml:space="preserve">(2), 247–258. https://doi.org/10.1017/S0033291714000762</w:t>
      </w:r>
    </w:p>
    <w:bookmarkEnd w:id="105"/>
    <w:bookmarkStart w:id="106" w:name="índice-de-referencias-cruzadas-internas"/>
    <w:p>
      <w:pPr>
        <w:pStyle w:val="Heading1"/>
      </w:pPr>
      <w:r>
        <w:rPr>
          <w:bCs/>
          <w:b/>
        </w:rPr>
        <w:t xml:space="preserve">Índice de referencias cruzadas internas</w:t>
      </w:r>
    </w:p>
    <w:p>
      <w:pPr>
        <w:pStyle w:val="FirstParagraph"/>
      </w:pPr>
      <w:r>
        <w:rPr>
          <w:iCs/>
          <w:i/>
        </w:rPr>
        <w:t xml:space="preserve">Este índice resume las conexiones entre secciones del documento para facilitar la lectura no lineal.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Desde sección</w:t>
            </w:r>
          </w:p>
        </w:tc>
        <w:tc>
          <w:tcPr/>
          <w:p>
            <w:pPr>
              <w:pStyle w:val="Compact"/>
              <w:jc w:val="left"/>
            </w:pPr>
            <w:r>
              <w:rPr>
                <w:bCs/>
                <w:b/>
              </w:rPr>
              <w:t xml:space="preserve">Conecta con</w:t>
            </w:r>
          </w:p>
        </w:tc>
        <w:tc>
          <w:tcPr/>
          <w:p>
            <w:pPr>
              <w:pStyle w:val="Compact"/>
              <w:jc w:val="left"/>
            </w:pPr>
            <w:r>
              <w:rPr>
                <w:bCs/>
                <w:b/>
              </w:rPr>
              <w:t xml:space="preserve">Relación</w:t>
            </w:r>
          </w:p>
        </w:tc>
      </w:tr>
      <w:tr>
        <w:tc>
          <w:tcPr/>
          <w:p>
            <w:pPr>
              <w:pStyle w:val="Compact"/>
              <w:jc w:val="left"/>
            </w:pPr>
            <w:r>
              <w:t xml:space="preserve">1. Introducción</w:t>
            </w:r>
          </w:p>
        </w:tc>
        <w:tc>
          <w:tcPr/>
          <w:p>
            <w:pPr>
              <w:pStyle w:val="Compact"/>
              <w:jc w:val="left"/>
            </w:pPr>
            <w:r>
              <w:t xml:space="preserve">3. Cruz de Conectividad</w:t>
            </w:r>
          </w:p>
        </w:tc>
        <w:tc>
          <w:tcPr/>
          <w:p>
            <w:pPr>
              <w:pStyle w:val="Compact"/>
              <w:jc w:val="left"/>
            </w:pPr>
            <w:r>
              <w:t xml:space="preserve">Formalización del modelo</w:t>
            </w:r>
          </w:p>
        </w:tc>
      </w:tr>
      <w:tr>
        <w:tc>
          <w:tcPr/>
          <w:p>
            <w:pPr>
              <w:pStyle w:val="Compact"/>
              <w:jc w:val="left"/>
            </w:pPr>
            <w:r>
              <w:t xml:space="preserve">2. Marco conceptual</w:t>
            </w:r>
          </w:p>
        </w:tc>
        <w:tc>
          <w:tcPr/>
          <w:p>
            <w:pPr>
              <w:pStyle w:val="Compact"/>
              <w:jc w:val="left"/>
            </w:pPr>
            <w:r>
              <w:t xml:space="preserve">8. Redefinición AACC</w:t>
            </w:r>
          </w:p>
        </w:tc>
        <w:tc>
          <w:tcPr/>
          <w:p>
            <w:pPr>
              <w:pStyle w:val="Compact"/>
              <w:jc w:val="left"/>
            </w:pPr>
            <w:r>
              <w:t xml:space="preserve">AACC como variación, no jerarquía</w:t>
            </w:r>
          </w:p>
        </w:tc>
      </w:tr>
      <w:tr>
        <w:tc>
          <w:tcPr/>
          <w:p>
            <w:pPr>
              <w:pStyle w:val="Compact"/>
              <w:jc w:val="left"/>
            </w:pPr>
            <w:r>
              <w:t xml:space="preserve">4. Base clínica</w:t>
            </w:r>
          </w:p>
        </w:tc>
        <w:tc>
          <w:tcPr/>
          <w:p>
            <w:pPr>
              <w:pStyle w:val="Compact"/>
              <w:jc w:val="left"/>
            </w:pPr>
            <w:r>
              <w:t xml:space="preserve">11. Estimulación ambiental</w:t>
            </w:r>
          </w:p>
        </w:tc>
        <w:tc>
          <w:tcPr/>
          <w:p>
            <w:pPr>
              <w:pStyle w:val="Compact"/>
              <w:jc w:val="left"/>
            </w:pPr>
            <w:r>
              <w:t xml:space="preserve">Dopamina → entorno óptimo</w:t>
            </w:r>
          </w:p>
        </w:tc>
      </w:tr>
      <w:tr>
        <w:tc>
          <w:tcPr/>
          <w:p>
            <w:pPr>
              <w:pStyle w:val="Compact"/>
              <w:jc w:val="left"/>
            </w:pPr>
            <w:r>
              <w:t xml:space="preserve">5. Inatención</w:t>
            </w:r>
          </w:p>
        </w:tc>
        <w:tc>
          <w:tcPr/>
          <w:p>
            <w:pPr>
              <w:pStyle w:val="Compact"/>
              <w:jc w:val="left"/>
            </w:pPr>
            <w:r>
              <w:t xml:space="preserve">4.3 Saturación</w:t>
            </w:r>
          </w:p>
        </w:tc>
        <w:tc>
          <w:tcPr/>
          <w:p>
            <w:pPr>
              <w:pStyle w:val="Compact"/>
              <w:jc w:val="left"/>
            </w:pPr>
            <w:r>
              <w:t xml:space="preserve">Mecanismo compartido</w:t>
            </w:r>
          </w:p>
        </w:tc>
      </w:tr>
      <w:tr>
        <w:tc>
          <w:tcPr/>
          <w:p>
            <w:pPr>
              <w:pStyle w:val="Compact"/>
              <w:jc w:val="left"/>
            </w:pPr>
            <w:r>
              <w:t xml:space="preserve">5.1 Hiperfoco</w:t>
            </w:r>
          </w:p>
        </w:tc>
        <w:tc>
          <w:tcPr/>
          <w:p>
            <w:pPr>
              <w:pStyle w:val="Compact"/>
              <w:jc w:val="left"/>
            </w:pPr>
            <w:r>
              <w:t xml:space="preserve">4.1 Dopamina + 5.2 Motivación</w:t>
            </w:r>
          </w:p>
        </w:tc>
        <w:tc>
          <w:tcPr/>
          <w:p>
            <w:pPr>
              <w:pStyle w:val="Compact"/>
              <w:jc w:val="left"/>
            </w:pPr>
            <w:r>
              <w:t xml:space="preserve">Frágil (TDAH) vs. rígido (autismo)</w:t>
            </w:r>
          </w:p>
        </w:tc>
      </w:tr>
      <w:tr>
        <w:tc>
          <w:tcPr/>
          <w:p>
            <w:pPr>
              <w:pStyle w:val="Compact"/>
              <w:jc w:val="left"/>
            </w:pPr>
            <w:r>
              <w:t xml:space="preserve">7.1 AuDHD</w:t>
            </w:r>
          </w:p>
        </w:tc>
        <w:tc>
          <w:tcPr/>
          <w:p>
            <w:pPr>
              <w:pStyle w:val="Compact"/>
              <w:jc w:val="left"/>
            </w:pPr>
            <w:r>
              <w:t xml:space="preserve">5.1 Hiperfoco</w:t>
            </w:r>
          </w:p>
        </w:tc>
        <w:tc>
          <w:tcPr/>
          <w:p>
            <w:pPr>
              <w:pStyle w:val="Compact"/>
              <w:jc w:val="left"/>
            </w:pPr>
            <w:r>
              <w:t xml:space="preserve">Conflicto interno entre ejes</w:t>
            </w:r>
          </w:p>
        </w:tc>
      </w:tr>
      <w:tr>
        <w:tc>
          <w:tcPr/>
          <w:p>
            <w:pPr>
              <w:pStyle w:val="Compact"/>
              <w:jc w:val="left"/>
            </w:pPr>
            <w:r>
              <w:t xml:space="preserve">7.2 Body doubling</w:t>
            </w:r>
          </w:p>
        </w:tc>
        <w:tc>
          <w:tcPr/>
          <w:p>
            <w:pPr>
              <w:pStyle w:val="Compact"/>
              <w:jc w:val="left"/>
            </w:pPr>
            <w:r>
              <w:t xml:space="preserve">9.4 Complementariedad + 5.2</w:t>
            </w:r>
          </w:p>
        </w:tc>
        <w:tc>
          <w:tcPr/>
          <w:p>
            <w:pPr>
              <w:pStyle w:val="Compact"/>
              <w:jc w:val="left"/>
            </w:pPr>
            <w:r>
              <w:t xml:space="preserve">Simbiosis TDAH-autista operativa</w:t>
            </w:r>
          </w:p>
        </w:tc>
      </w:tr>
      <w:tr>
        <w:tc>
          <w:tcPr/>
          <w:p>
            <w:pPr>
              <w:pStyle w:val="Compact"/>
              <w:jc w:val="left"/>
            </w:pPr>
            <w:r>
              <w:t xml:space="preserve">6. Subtipos</w:t>
            </w:r>
          </w:p>
        </w:tc>
        <w:tc>
          <w:tcPr/>
          <w:p>
            <w:pPr>
              <w:pStyle w:val="Compact"/>
              <w:jc w:val="left"/>
            </w:pPr>
            <w:r>
              <w:t xml:space="preserve">9. Hipótesis antropológica</w:t>
            </w:r>
          </w:p>
        </w:tc>
        <w:tc>
          <w:tcPr/>
          <w:p>
            <w:pPr>
              <w:pStyle w:val="Compact"/>
              <w:jc w:val="left"/>
            </w:pPr>
            <w:r>
              <w:t xml:space="preserve">Clínica → rol evolutivo</w:t>
            </w:r>
          </w:p>
        </w:tc>
      </w:tr>
      <w:tr>
        <w:tc>
          <w:tcPr/>
          <w:p>
            <w:pPr>
              <w:pStyle w:val="Compact"/>
              <w:jc w:val="left"/>
            </w:pPr>
            <w:r>
              <w:t xml:space="preserve">9. Antropología</w:t>
            </w:r>
          </w:p>
        </w:tc>
        <w:tc>
          <w:tcPr/>
          <w:p>
            <w:pPr>
              <w:pStyle w:val="Compact"/>
              <w:jc w:val="left"/>
            </w:pPr>
            <w:r>
              <w:t xml:space="preserve">10. Reconversión</w:t>
            </w:r>
          </w:p>
        </w:tc>
        <w:tc>
          <w:tcPr/>
          <w:p>
            <w:pPr>
              <w:pStyle w:val="Compact"/>
              <w:jc w:val="left"/>
            </w:pPr>
            <w:r>
              <w:t xml:space="preserve">Caza → guerra → innovación</w:t>
            </w:r>
          </w:p>
        </w:tc>
      </w:tr>
      <w:tr>
        <w:tc>
          <w:tcPr/>
          <w:p>
            <w:pPr>
              <w:pStyle w:val="Compact"/>
              <w:jc w:val="left"/>
            </w:pPr>
            <w:r>
              <w:t xml:space="preserve">10. Reconversión</w:t>
            </w:r>
          </w:p>
        </w:tc>
        <w:tc>
          <w:tcPr/>
          <w:p>
            <w:pPr>
              <w:pStyle w:val="Compact"/>
              <w:jc w:val="left"/>
            </w:pPr>
            <w:r>
              <w:t xml:space="preserve">11.4 Impulsividad</w:t>
            </w:r>
          </w:p>
        </w:tc>
        <w:tc>
          <w:tcPr/>
          <w:p>
            <w:pPr>
              <w:pStyle w:val="Compact"/>
              <w:jc w:val="left"/>
            </w:pPr>
            <w:r>
              <w:t xml:space="preserve">Función adaptativa del riesgo</w:t>
            </w:r>
          </w:p>
        </w:tc>
      </w:tr>
      <w:tr>
        <w:tc>
          <w:tcPr/>
          <w:p>
            <w:pPr>
              <w:pStyle w:val="Compact"/>
              <w:jc w:val="left"/>
            </w:pPr>
            <w:r>
              <w:t xml:space="preserve">11.3 Figuras históricas</w:t>
            </w:r>
          </w:p>
        </w:tc>
        <w:tc>
          <w:tcPr/>
          <w:p>
            <w:pPr>
              <w:pStyle w:val="Compact"/>
              <w:jc w:val="left"/>
            </w:pPr>
            <w:r>
              <w:t xml:space="preserve">6.1 + 6.2 Subtipos</w:t>
            </w:r>
          </w:p>
        </w:tc>
        <w:tc>
          <w:tcPr/>
          <w:p>
            <w:pPr>
              <w:pStyle w:val="Compact"/>
              <w:jc w:val="left"/>
            </w:pPr>
            <w:r>
              <w:t xml:space="preserve">Politropismo → polimatía; monotropismo → física profunda</w:t>
            </w:r>
          </w:p>
        </w:tc>
      </w:tr>
      <w:tr>
        <w:tc>
          <w:tcPr/>
          <w:p>
            <w:pPr>
              <w:pStyle w:val="Compact"/>
              <w:jc w:val="left"/>
            </w:pPr>
            <w:r>
              <w:t xml:space="preserve">12. Entorno familiar</w:t>
            </w:r>
          </w:p>
        </w:tc>
        <w:tc>
          <w:tcPr/>
          <w:p>
            <w:pPr>
              <w:pStyle w:val="Compact"/>
              <w:jc w:val="left"/>
            </w:pPr>
            <w:r>
              <w:t xml:space="preserve">13. TDAH y prisión</w:t>
            </w:r>
          </w:p>
        </w:tc>
        <w:tc>
          <w:tcPr/>
          <w:p>
            <w:pPr>
              <w:pStyle w:val="Compact"/>
              <w:jc w:val="left"/>
            </w:pPr>
            <w:r>
              <w:t xml:space="preserve">Regulación → trayectoria conductual</w:t>
            </w:r>
          </w:p>
        </w:tc>
      </w:tr>
      <w:tr>
        <w:tc>
          <w:tcPr/>
          <w:p>
            <w:pPr>
              <w:pStyle w:val="Compact"/>
              <w:jc w:val="left"/>
            </w:pPr>
            <w:r>
              <w:t xml:space="preserve">13. Prisión</w:t>
            </w:r>
          </w:p>
        </w:tc>
        <w:tc>
          <w:tcPr/>
          <w:p>
            <w:pPr>
              <w:pStyle w:val="Compact"/>
              <w:jc w:val="left"/>
            </w:pPr>
            <w:r>
              <w:t xml:space="preserve">10. Reconversión + 12. Familia</w:t>
            </w:r>
          </w:p>
        </w:tc>
        <w:tc>
          <w:tcPr/>
          <w:p>
            <w:pPr>
              <w:pStyle w:val="Compact"/>
              <w:jc w:val="left"/>
            </w:pPr>
            <w:r>
              <w:t xml:space="preserve">Desajuste = bio + entorno</w:t>
            </w:r>
          </w:p>
        </w:tc>
      </w:tr>
      <w:tr>
        <w:tc>
          <w:tcPr/>
          <w:p>
            <w:pPr>
              <w:pStyle w:val="Compact"/>
              <w:jc w:val="left"/>
            </w:pPr>
            <w:r>
              <w:t xml:space="preserve">15. Sociopolítica</w:t>
            </w:r>
          </w:p>
        </w:tc>
        <w:tc>
          <w:tcPr/>
          <w:p>
            <w:pPr>
              <w:pStyle w:val="Compact"/>
              <w:jc w:val="left"/>
            </w:pPr>
            <w:r>
              <w:t xml:space="preserve">9. Antropología + 10. Reconversión</w:t>
            </w:r>
          </w:p>
        </w:tc>
        <w:tc>
          <w:tcPr/>
          <w:p>
            <w:pPr>
              <w:pStyle w:val="Compact"/>
              <w:jc w:val="left"/>
            </w:pPr>
            <w:r>
              <w:t xml:space="preserve">Procesamiento → orientación ideológica</w:t>
            </w:r>
          </w:p>
        </w:tc>
      </w:tr>
      <w:tr>
        <w:tc>
          <w:tcPr/>
          <w:p>
            <w:pPr>
              <w:pStyle w:val="Compact"/>
              <w:jc w:val="left"/>
            </w:pPr>
            <w:r>
              <w:t xml:space="preserve">16. Filosofía</w:t>
            </w:r>
          </w:p>
        </w:tc>
        <w:tc>
          <w:tcPr/>
          <w:p>
            <w:pPr>
              <w:pStyle w:val="Compact"/>
              <w:jc w:val="left"/>
            </w:pPr>
            <w:r>
              <w:t xml:space="preserve">10.1 + 14 + 6.2 + 11.3.1</w:t>
            </w:r>
          </w:p>
        </w:tc>
        <w:tc>
          <w:tcPr/>
          <w:p>
            <w:pPr>
              <w:pStyle w:val="Compact"/>
              <w:jc w:val="left"/>
            </w:pPr>
            <w:r>
              <w:t xml:space="preserve">Estabulación financiera, masking político, soberanía energética</w:t>
            </w:r>
          </w:p>
        </w:tc>
      </w:tr>
      <w:tr>
        <w:tc>
          <w:tcPr/>
          <w:p>
            <w:pPr>
              <w:pStyle w:val="Compact"/>
              <w:jc w:val="left"/>
            </w:pPr>
            <w:r>
              <w:t xml:space="preserve">7.2. Body doubling</w:t>
            </w:r>
          </w:p>
        </w:tc>
        <w:tc>
          <w:tcPr/>
          <w:p>
            <w:pPr>
              <w:pStyle w:val="Compact"/>
              <w:jc w:val="left"/>
            </w:pPr>
            <w:r>
              <w:t xml:space="preserve">9.4 + 5.2 + 5.1</w:t>
            </w:r>
          </w:p>
        </w:tc>
        <w:tc>
          <w:tcPr/>
          <w:p>
            <w:pPr>
              <w:pStyle w:val="Compact"/>
              <w:jc w:val="left"/>
            </w:pPr>
            <w:r>
              <w:t xml:space="preserve">Pensamiento arbóreo, gas/mechero, doble empatía en práctica</w:t>
            </w:r>
          </w:p>
        </w:tc>
      </w:tr>
      <w:tr>
        <w:tc>
          <w:tcPr/>
          <w:p>
            <w:pPr>
              <w:pStyle w:val="Compact"/>
              <w:jc w:val="left"/>
            </w:pPr>
            <w:r>
              <w:t xml:space="preserve">7.3. Regulación corporal</w:t>
            </w:r>
          </w:p>
        </w:tc>
        <w:tc>
          <w:tcPr/>
          <w:p>
            <w:pPr>
              <w:pStyle w:val="Compact"/>
              <w:jc w:val="left"/>
            </w:pPr>
            <w:r>
              <w:t xml:space="preserve">4.1 + 7 + 11.1</w:t>
            </w:r>
          </w:p>
        </w:tc>
        <w:tc>
          <w:tcPr/>
          <w:p>
            <w:pPr>
              <w:pStyle w:val="Compact"/>
              <w:jc w:val="left"/>
            </w:pPr>
            <w:r>
              <w:t xml:space="preserve">Deporte, música, gamificación como regulación diferencial</w:t>
            </w:r>
          </w:p>
        </w:tc>
      </w:tr>
      <w:tr>
        <w:tc>
          <w:tcPr/>
          <w:p>
            <w:pPr>
              <w:pStyle w:val="Compact"/>
              <w:jc w:val="left"/>
            </w:pPr>
            <w:r>
              <w:t xml:space="preserve">15.6. Caso Thunberg</w:t>
            </w:r>
          </w:p>
        </w:tc>
        <w:tc>
          <w:tcPr/>
          <w:p>
            <w:pPr>
              <w:pStyle w:val="Compact"/>
              <w:jc w:val="left"/>
            </w:pPr>
            <w:r>
              <w:t xml:space="preserve">9.2 + 15.2</w:t>
            </w:r>
          </w:p>
        </w:tc>
        <w:tc>
          <w:tcPr/>
          <w:p>
            <w:pPr>
              <w:pStyle w:val="Compact"/>
              <w:jc w:val="left"/>
            </w:pPr>
            <w:r>
              <w:t xml:space="preserve">Autismo como cumplimiento riguroso del sistema</w:t>
            </w:r>
          </w:p>
        </w:tc>
      </w:tr>
      <w:tr>
        <w:tc>
          <w:tcPr/>
          <w:p>
            <w:pPr>
              <w:pStyle w:val="Compact"/>
              <w:jc w:val="left"/>
            </w:pPr>
            <w:r>
              <w:t xml:space="preserve">15.7. Liberalismo</w:t>
            </w:r>
          </w:p>
        </w:tc>
        <w:tc>
          <w:tcPr/>
          <w:p>
            <w:pPr>
              <w:pStyle w:val="Compact"/>
              <w:jc w:val="left"/>
            </w:pPr>
            <w:r>
              <w:t xml:space="preserve">12 + 15.5</w:t>
            </w:r>
          </w:p>
        </w:tc>
        <w:tc>
          <w:tcPr/>
          <w:p>
            <w:pPr>
              <w:pStyle w:val="Compact"/>
              <w:jc w:val="left"/>
            </w:pPr>
            <w:r>
              <w:t xml:space="preserve">Exclusión grupal → desconfianza colectivista</w:t>
            </w:r>
          </w:p>
        </w:tc>
      </w:tr>
      <w:tr>
        <w:tc>
          <w:tcPr/>
          <w:p>
            <w:pPr>
              <w:pStyle w:val="Compact"/>
              <w:jc w:val="left"/>
            </w:pPr>
            <w:r>
              <w:t xml:space="preserve">16.4b. Tiempo</w:t>
            </w:r>
          </w:p>
        </w:tc>
        <w:tc>
          <w:tcPr/>
          <w:p>
            <w:pPr>
              <w:pStyle w:val="Compact"/>
              <w:jc w:val="left"/>
            </w:pPr>
            <w:r>
              <w:t xml:space="preserve">14 + 16.4</w:t>
            </w:r>
          </w:p>
        </w:tc>
        <w:tc>
          <w:tcPr/>
          <w:p>
            <w:pPr>
              <w:pStyle w:val="Compact"/>
              <w:jc w:val="left"/>
            </w:pPr>
            <w:r>
              <w:t xml:space="preserve">Constructo temporal como confinamiento cognitivo</w:t>
            </w:r>
          </w:p>
        </w:tc>
      </w:tr>
    </w:tbl>
    <w:p>
      <w:pPr>
        <w:pStyle w:val="BodyText"/>
      </w:pPr>
      <w:r>
        <w:rPr>
          <w:iCs/>
          <w:i/>
        </w:rPr>
        <w:t xml:space="preserve">Tabla 6. Mapa de referencias cruzadas entre secciones del documento.</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2026-04-26T20:27:28Z</dcterms:created>
  <dcterms:modified xsi:type="dcterms:W3CDTF">2026-04-26T20:27:28Z</dcterms:modified>
</cp:coreProperties>
</file>

<file path=docProps/custom.xml><?xml version="1.0" encoding="utf-8"?>
<Properties xmlns="http://schemas.openxmlformats.org/officeDocument/2006/custom-properties" xmlns:vt="http://schemas.openxmlformats.org/officeDocument/2006/docPropsVTypes"/>
</file>