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252A31"/>
          <w:sz w:val="40"/>
        </w:rPr>
        <w:t>PROJECT CHARTER — v2.0 (Validado)</w:t>
      </w:r>
    </w:p>
    <w:p>
      <w:r>
        <w:rPr>
          <w:i/>
          <w:color w:val="15616D"/>
          <w:sz w:val="23"/>
        </w:rPr>
        <w:t>Factory "Amaru I" / PlasHub — Planta Piloto de Recolección, Clasificación y Almacenamiento de Plásticos Post-Proceso · Perú</w:t>
      </w:r>
    </w:p>
    <w:p>
      <w:pPr>
        <w:spacing w:before="120"/>
      </w:pPr>
      <w:r>
        <w:rPr>
          <w:i/>
          <w:color w:val="DF6901"/>
          <w:sz w:val="19"/>
        </w:rPr>
        <w:t>⚠ Versión 2.0 — actualizada con las cifras validadas del Project Profile v2, la presentación de requerimientos del almacén y el documento de proyecto piloto. Reemplaza la v1.0 (02-feb-2026), cuyas cifras (500 t/mes, 2,000–3,000 m², CAPEX USD 5–15K) correspondían a etapas posteriores (Stage 2/3), no a la operación piloto Stage 1.</w:t>
      </w:r>
    </w:p>
    <w:p>
      <w:pPr>
        <w:pStyle w:val="Heading2"/>
      </w:pPr>
      <w:r>
        <w:rPr>
          <w:color w:val="DF6901"/>
        </w:rPr>
        <w:t>Registro de correcciones v1.0 → v2.0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52A31"/>
          </w:tcPr>
          <w:p>
            <w:r/>
            <w:r>
              <w:rPr>
                <w:b/>
                <w:color w:val="FFFFFF"/>
                <w:sz w:val="19"/>
              </w:rPr>
              <w:t>Concepto</w:t>
            </w:r>
          </w:p>
        </w:tc>
        <w:tc>
          <w:tcPr>
            <w:tcW w:type="dxa" w:w="2160"/>
            <w:shd w:fill="252A31"/>
          </w:tcPr>
          <w:p>
            <w:r/>
            <w:r>
              <w:rPr>
                <w:b/>
                <w:color w:val="FFFFFF"/>
                <w:sz w:val="19"/>
              </w:rPr>
              <w:t>v1.0 (desactualizado)</w:t>
            </w:r>
          </w:p>
        </w:tc>
        <w:tc>
          <w:tcPr>
            <w:tcW w:type="dxa" w:w="2160"/>
            <w:shd w:fill="252A31"/>
          </w:tcPr>
          <w:p>
            <w:r/>
            <w:r>
              <w:rPr>
                <w:b/>
                <w:color w:val="FFFFFF"/>
                <w:sz w:val="19"/>
              </w:rPr>
              <w:t>v2.0 (validado)</w:t>
            </w:r>
          </w:p>
        </w:tc>
        <w:tc>
          <w:tcPr>
            <w:tcW w:type="dxa" w:w="2160"/>
            <w:shd w:fill="252A31"/>
          </w:tcPr>
          <w:p>
            <w:r/>
            <w:r>
              <w:rPr>
                <w:b/>
                <w:color w:val="FFFFFF"/>
                <w:sz w:val="19"/>
              </w:rPr>
              <w:t>Fuente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Volumen mensual Stage 1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500 ton/mes almacenadas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80 t/mes (base) · 100 t/mes (optimista) · 61 t/mes break-even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Project Profile v2 — Supuestos &amp; P&amp;L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Volumen semanal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100 ton/sem (20 t × 5 cargas)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~10 t/sem · 1–2 camiones/sem · 8–12 bolsones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Requerimientos Almacén (PPTX)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Bolsón / big bag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800×1200 mm, 600–1000 kg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 m³ (1×1×1 m), ~1 t, apilado máx. 2 alto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PPTX / Profile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Área nave Stage 1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2,000–3,000 m²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~900 m² (útil 500–750; hasta 1,000). 6,000 m² = Stage 3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Profile (renta) / PPTX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CAPEX Stage 1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USD 5–15K (tabla: 5–50K)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USD 20,858 (capital disp. $20–22K; gap −$858)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Project Profile v2 — CAPEX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OPEX mensual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no especificado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USD 8,175/mes (renta $3,186 ≈ 900 m²)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Project Profile v2 — OPEX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Margen objetivo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"≥20%" / "&gt;50%"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Bruto pond. ~49% ($128.7/t); neto ~$3.8/t a 80 t/mes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Profile — Margen por material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Ubicación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Huachipa / Chancay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Lima Norte (SMP / Los Olivos / Puente Piedra)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Profile — Project Background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Equipo de manejo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"montacargas, racks"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Montacarga contrabalanceado 3 t (obligatorio) + báscula 3 t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Profile / PPTX / Roles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15616D"/>
        </w:rPr>
        <w:t>1. Información general del proyecto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  <w:shd w:fill="252A31"/>
          </w:tcPr>
          <w:p>
            <w:r/>
            <w:r>
              <w:rPr>
                <w:b/>
                <w:color w:val="FFFFFF"/>
                <w:sz w:val="19"/>
              </w:rPr>
              <w:t>Ítem</w:t>
            </w:r>
          </w:p>
        </w:tc>
        <w:tc>
          <w:tcPr>
            <w:tcW w:type="dxa" w:w="6192"/>
            <w:shd w:fill="252A31"/>
          </w:tcPr>
          <w:p>
            <w:r/>
            <w:r>
              <w:rPr>
                <w:b/>
                <w:color w:val="FFFFFF"/>
                <w:sz w:val="19"/>
              </w:rPr>
              <w:t>Detalle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Nombre del proyecto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Factory "Amaru I" / PlasHub — Planta Piloto (Stage 1)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Empresa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Neo Amaru Global S.A.C.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Lugar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Perú — Lima Norte (SMP / Los Olivos / Puente Piedra)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Tipo de proyecto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Hub de recepción, clasificación, pesaje, almacenamiento y consolidación (sin transformación)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Etapa actual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Stage 1 — Piloto de consolidación (sin trituración / lavado / peletizado)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Fecha de inicio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Febrero 2026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Duración estimada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Stage 1: operación estable y validación 6–9 meses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CAPEX autorizado (Stage 1)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USD 20,858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Capital disponible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USD 20–22K (Alex ~$15K + Raúl ~$5K, desde ago-2026) · gap −$858 a cerrar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Modelo comercial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Modelo A — PlasHub compra y vende (captura margen completo)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Estructura societaria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Alex 60% (sponsor / proveedor / cliente ancla) · Raúl 40% (PM / operación)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Project Manager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Raúl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Patrocinador ejecutivo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Alex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9"/>
              </w:rPr>
              <w:t>Versión / Fecha</w:t>
            </w:r>
          </w:p>
        </w:tc>
        <w:tc>
          <w:tcPr>
            <w:tcW w:type="dxa" w:w="6192"/>
          </w:tcPr>
          <w:p>
            <w:r/>
            <w:r>
              <w:rPr>
                <w:sz w:val="19"/>
              </w:rPr>
              <w:t>2.0 · (actualiza v1.0 del 02-feb-2026)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15616D"/>
        </w:rPr>
        <w:t>2. Propósito y justificación</w:t>
      </w:r>
    </w:p>
    <w:p>
      <w:pPr>
        <w:pStyle w:val="Heading3"/>
      </w:pPr>
      <w:r>
        <w:rPr>
          <w:color w:val="252A31"/>
        </w:rPr>
        <w:t>2.1 Problema identificado</w:t>
      </w:r>
    </w:p>
    <w:p>
      <w:pPr>
        <w:spacing w:after="80"/>
      </w:pPr>
      <w:r>
        <w:rPr>
          <w:b w:val="0"/>
          <w:i w:val="0"/>
          <w:sz w:val="21"/>
        </w:rPr>
        <w:t>Alex, trader de commodities, debe consolidar volumen de plásticos post-proceso a partir de una red dispersa de proveedores pequeños. Esto genera: disponibilidad fragmentada, pérdida de margen por urgencia, variabilidad de calidad (sin ficha técnica ni trazabilidad) y falta de un eslabón físico propio que controle calidad y logística de consolidación.</w:t>
      </w:r>
    </w:p>
    <w:p>
      <w:pPr>
        <w:pStyle w:val="Heading3"/>
      </w:pPr>
      <w:r>
        <w:rPr>
          <w:color w:val="252A31"/>
        </w:rPr>
        <w:t>2.2 Solución propuesta</w:t>
      </w:r>
    </w:p>
    <w:p>
      <w:pPr>
        <w:spacing w:after="80"/>
      </w:pPr>
      <w:r>
        <w:rPr>
          <w:b w:val="0"/>
          <w:i w:val="0"/>
          <w:sz w:val="21"/>
        </w:rPr>
        <w:t>PlasHub actúa como "pulmón de inventario": RECIBE → CLASIFICA → PESA → ALMACENA → CONSOLIDA ~20 t por material → DESPACHA un contenedor de 40 pies. El proyecto se ejecuta por etapas, dimensionando la inversión a resultados:</w:t>
      </w:r>
    </w:p>
    <w:p>
      <w:pPr>
        <w:pStyle w:val="ListBullet"/>
      </w:pPr>
      <w:r>
        <w:rPr>
          <w:sz w:val="21"/>
        </w:rPr>
        <w:t>Stage 1 — Consolidación pura (este charter): recolección, clasificación, pesaje y almacenamiento segregado. ~80 t/mes, nave ~900 m². Sin maquinaria de transformación.</w:t>
      </w:r>
    </w:p>
    <w:p>
      <w:pPr>
        <w:pStyle w:val="ListBullet"/>
      </w:pPr>
      <w:r>
        <w:rPr>
          <w:sz w:val="21"/>
        </w:rPr>
        <w:t>Stage 2 — Procesamiento básico: compactado / empaque para estandarizar producto y mejorar densidad de carga. Volumen objetivo 400–500+ t/mes.</w:t>
      </w:r>
    </w:p>
    <w:p>
      <w:pPr>
        <w:pStyle w:val="ListBullet"/>
      </w:pPr>
      <w:r>
        <w:rPr>
          <w:sz w:val="21"/>
        </w:rPr>
        <w:t>Stage 3 — Optimización y réplica regional: escala a 5+ países, nave ~6,000 m², procesamiento avanzado.</w:t>
      </w:r>
    </w:p>
    <w:p>
      <w:pPr>
        <w:pStyle w:val="Heading3"/>
      </w:pPr>
      <w:r>
        <w:rPr>
          <w:color w:val="252A31"/>
        </w:rPr>
        <w:t>2.3 Beneficios esperados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52A31"/>
          </w:tcPr>
          <w:p>
            <w:r/>
            <w:r>
              <w:rPr>
                <w:b/>
                <w:color w:val="FFFFFF"/>
                <w:sz w:val="19"/>
              </w:rPr>
              <w:t>Beneficio</w:t>
            </w:r>
          </w:p>
        </w:tc>
        <w:tc>
          <w:tcPr>
            <w:tcW w:type="dxa" w:w="2880"/>
            <w:shd w:fill="252A31"/>
          </w:tcPr>
          <w:p>
            <w:r/>
            <w:r>
              <w:rPr>
                <w:b/>
                <w:color w:val="FFFFFF"/>
                <w:sz w:val="19"/>
              </w:rPr>
              <w:t>Descripción</w:t>
            </w:r>
          </w:p>
        </w:tc>
        <w:tc>
          <w:tcPr>
            <w:tcW w:type="dxa" w:w="2880"/>
            <w:shd w:fill="252A31"/>
          </w:tcPr>
          <w:p>
            <w:r/>
            <w:r>
              <w:rPr>
                <w:b/>
                <w:color w:val="FFFFFF"/>
                <w:sz w:val="19"/>
              </w:rPr>
              <w:t>Responsable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Mejora de margen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Reducir pérdida por urgencia; margen bruto ponderado ~49% ($128.7/t) con calidad controlada.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Raúl (KPIs)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Disponibilidad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Stock consolidado listo; tiempos de respuesta más cortos vs. búsqueda contra reloj.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Raúl + Alex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Calidad consistente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Rechazos &lt; 10% (Stage 1) / &lt; 5% (Stage 2); trazabilidad por lote (libro EC-RS + báscula).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Responsable de Calidad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Escalabilidad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Modelo documentado y replicable en LatAm.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Raúl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Relación socio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Plataforma estable para que Alex concentre energía en ventas.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Alex + Raúl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15616D"/>
        </w:rPr>
        <w:t>3. Objetivos del proyecto</w:t>
      </w:r>
    </w:p>
    <w:p>
      <w:pPr>
        <w:pStyle w:val="Heading3"/>
      </w:pPr>
      <w:r>
        <w:rPr>
          <w:color w:val="252A31"/>
        </w:rPr>
        <w:t>3.1 Objetivo primario</w:t>
      </w:r>
    </w:p>
    <w:p>
      <w:pPr>
        <w:spacing w:after="80"/>
      </w:pPr>
      <w:r>
        <w:rPr>
          <w:b w:val="0"/>
          <w:i w:val="0"/>
          <w:sz w:val="21"/>
        </w:rPr>
        <w:t>Implementar y operar un hub de consolidación de plásticos post-proceso en Lima Norte que garantice disponibilidad de inventario, control de calidad y márgenes mejorados para Alex y sus clientes, demostrando la viabilidad del modelo para réplica regional.</w:t>
      </w:r>
    </w:p>
    <w:p>
      <w:pPr>
        <w:pStyle w:val="Heading3"/>
      </w:pPr>
      <w:r>
        <w:rPr>
          <w:color w:val="252A31"/>
        </w:rPr>
        <w:t>3.2 Objetivos específicos — Stage 1 (Piloto / Almacenaje)</w:t>
      </w:r>
    </w:p>
    <w:p>
      <w:pPr>
        <w:pStyle w:val="ListBullet"/>
      </w:pPr>
      <w:r>
        <w:rPr>
          <w:sz w:val="21"/>
        </w:rPr>
        <w:t>Obtener los permisos requeridos: EC-RS (MINAM/SIGERSOL) — CRÍTICO, 60–90 días, iniciar de inmediato; licencia municipal de funcionamiento; INDECI / ITSE; EIA si la autoridad lo exige.</w:t>
      </w:r>
    </w:p>
    <w:p>
      <w:pPr>
        <w:pStyle w:val="ListBullet"/>
      </w:pPr>
      <w:r>
        <w:rPr>
          <w:sz w:val="21"/>
        </w:rPr>
        <w:t>Asegurar y adecuar una nave ~900 m² (útil 500–750 m²) con patio de maniobra ≥200 m², altura libre ≥5 m, piso industrial ≥5 t/m² y 7 zonas segregadas demarcadas.</w:t>
      </w:r>
    </w:p>
    <w:p>
      <w:pPr>
        <w:pStyle w:val="ListBullet"/>
      </w:pPr>
      <w:r>
        <w:rPr>
          <w:sz w:val="21"/>
        </w:rPr>
        <w:t>Instalar equipos Stage 1: montacarga contrabalanceado eléctrico de 3 t (obligatorio para bolsones de 1 t), báscula de piso 3 t, EPP y sistema simple de registro/inventario.</w:t>
      </w:r>
    </w:p>
    <w:p>
      <w:pPr>
        <w:pStyle w:val="ListBullet"/>
      </w:pPr>
      <w:r>
        <w:rPr>
          <w:sz w:val="21"/>
        </w:rPr>
        <w:t>Lograr operación estable a ~80 t/mes (break-even 61 t/mes; objetivo optimista 100 t/mes), consolidando ~20 t por material por contenedor.</w:t>
      </w:r>
    </w:p>
    <w:p>
      <w:pPr>
        <w:pStyle w:val="ListBullet"/>
      </w:pPr>
      <w:r>
        <w:rPr>
          <w:sz w:val="21"/>
        </w:rPr>
        <w:t>Validar el caso de negocio: margen bruto ponderado ~49%; rechazo por calidad &lt; 10%; cumplimiento de KPIs operativos y de liquidez.</w:t>
      </w:r>
    </w:p>
    <w:p>
      <w:pPr>
        <w:spacing w:after="80"/>
      </w:pPr>
      <w:r>
        <w:rPr>
          <w:b w:val="0"/>
          <w:i/>
          <w:color w:val="6A7280"/>
          <w:sz w:val="19"/>
        </w:rPr>
        <w:t>Stage 2 (Procesamiento básico): instalar compactado/empaque; procesar 400–500+ t/mes con valor añadido; margen de procesamiento a validar. Stage 3 (Réplica): documentar procesos y evaluar apertura en otro país.</w:t>
      </w:r>
    </w:p>
    <w:p>
      <w:pPr>
        <w:pStyle w:val="Heading2"/>
      </w:pPr>
      <w:r>
        <w:rPr>
          <w:color w:val="15616D"/>
        </w:rPr>
        <w:t>4. Alcance del proyecto</w:t>
      </w:r>
    </w:p>
    <w:p>
      <w:pPr>
        <w:pStyle w:val="Heading3"/>
      </w:pPr>
      <w:r>
        <w:rPr>
          <w:color w:val="252A31"/>
        </w:rPr>
        <w:t>4.1 Incluye (Stage 1)</w:t>
      </w:r>
    </w:p>
    <w:p>
      <w:pPr>
        <w:pStyle w:val="ListBullet"/>
      </w:pPr>
      <w:r>
        <w:rPr>
          <w:sz w:val="21"/>
        </w:rPr>
        <w:t>Selección, aseguramiento y adecuación de la nave/layout en Lima Norte.</w:t>
      </w:r>
    </w:p>
    <w:p>
      <w:pPr>
        <w:pStyle w:val="ListBullet"/>
      </w:pPr>
      <w:r>
        <w:rPr>
          <w:sz w:val="21"/>
        </w:rPr>
        <w:t>Gestión y obtención de permisos (EC-RS, municipal, INDECI/ITSE, EIA si aplica).</w:t>
      </w:r>
    </w:p>
    <w:p>
      <w:pPr>
        <w:pStyle w:val="ListBullet"/>
      </w:pPr>
      <w:r>
        <w:rPr>
          <w:sz w:val="21"/>
        </w:rPr>
        <w:t>Adecuaciones básicas: demarcación de 7 zonas, señalética INDECI, luminarias, corredor peatonal.</w:t>
      </w:r>
    </w:p>
    <w:p>
      <w:pPr>
        <w:pStyle w:val="ListBullet"/>
      </w:pPr>
      <w:r>
        <w:rPr>
          <w:sz w:val="21"/>
        </w:rPr>
        <w:t>Adquisición y puesta en marcha de equipos Stage 1 (montacarga 3 t, báscula 3 t, EPP, registro de inventario).</w:t>
      </w:r>
    </w:p>
    <w:p>
      <w:pPr>
        <w:pStyle w:val="ListBullet"/>
      </w:pPr>
      <w:r>
        <w:rPr>
          <w:sz w:val="21"/>
        </w:rPr>
        <w:t>Definición de procesos (recepción, pesaje, clasificación/QC, almacenaje, consolidación, despacho) y KPIs.</w:t>
      </w:r>
    </w:p>
    <w:p>
      <w:pPr>
        <w:pStyle w:val="ListBullet"/>
      </w:pPr>
      <w:r>
        <w:rPr>
          <w:sz w:val="21"/>
        </w:rPr>
        <w:t>Reclutamiento del equipo mínimo (Jefe de Planta/QA/HSE + operador de montacarga).</w:t>
      </w:r>
    </w:p>
    <w:p>
      <w:pPr>
        <w:pStyle w:val="Heading3"/>
      </w:pPr>
      <w:r>
        <w:rPr>
          <w:color w:val="252A31"/>
        </w:rPr>
        <w:t>4.2 Excluye (Stage 1)</w:t>
      </w:r>
    </w:p>
    <w:p>
      <w:pPr>
        <w:pStyle w:val="ListBullet"/>
      </w:pPr>
      <w:r>
        <w:rPr>
          <w:sz w:val="21"/>
        </w:rPr>
        <w:t>Trituración, lavado, peletizado o cualquier transformación (corresponde a Stage 2+).</w:t>
      </w:r>
    </w:p>
    <w:p>
      <w:pPr>
        <w:pStyle w:val="ListBullet"/>
      </w:pPr>
      <w:r>
        <w:rPr>
          <w:sz w:val="21"/>
        </w:rPr>
        <w:t>Actividad comercial / trading de Alex más allá de aportar demanda y materiales.</w:t>
      </w:r>
    </w:p>
    <w:p>
      <w:pPr>
        <w:pStyle w:val="ListBullet"/>
      </w:pPr>
      <w:r>
        <w:rPr>
          <w:sz w:val="21"/>
        </w:rPr>
        <w:t>Distribución final al cliente último (logística de Alex).</w:t>
      </w:r>
    </w:p>
    <w:p>
      <w:pPr>
        <w:pStyle w:val="Heading3"/>
      </w:pPr>
      <w:r>
        <w:rPr>
          <w:color w:val="252A31"/>
        </w:rPr>
        <w:t>4.3 Restricciones y supuestos</w:t>
      </w:r>
    </w:p>
    <w:p>
      <w:pPr>
        <w:spacing w:after="40"/>
      </w:pPr>
      <w:r>
        <w:rPr>
          <w:b/>
          <w:i w:val="0"/>
          <w:sz w:val="21"/>
        </w:rPr>
        <w:t>Restricciones:</w:t>
      </w:r>
    </w:p>
    <w:p>
      <w:pPr>
        <w:pStyle w:val="ListBullet"/>
      </w:pPr>
      <w:r>
        <w:rPr>
          <w:sz w:val="21"/>
        </w:rPr>
        <w:t>CAPEX Stage 1 ~USD 20,858; capital disponible $20–22K (gap −$858 a cerrar antes de firmar la nave).</w:t>
      </w:r>
    </w:p>
    <w:p>
      <w:pPr>
        <w:pStyle w:val="ListBullet"/>
      </w:pPr>
      <w:r>
        <w:rPr>
          <w:sz w:val="21"/>
        </w:rPr>
        <w:t>Permisos en Perú pueden tomar 6–12 meses; EC-RS es ruta crítica (60–90 días).</w:t>
      </w:r>
    </w:p>
    <w:p>
      <w:pPr>
        <w:pStyle w:val="ListBullet"/>
      </w:pPr>
      <w:r>
        <w:rPr>
          <w:sz w:val="21"/>
        </w:rPr>
        <w:t>Dependencia de una nave adecuada en zona industrial/logística compatible con plásticos.</w:t>
      </w:r>
    </w:p>
    <w:p>
      <w:pPr>
        <w:spacing w:after="40"/>
      </w:pPr>
      <w:r>
        <w:rPr>
          <w:b/>
          <w:i w:val="0"/>
          <w:sz w:val="21"/>
        </w:rPr>
        <w:t>Supuestos:</w:t>
      </w:r>
    </w:p>
    <w:p>
      <w:pPr>
        <w:pStyle w:val="ListBullet"/>
      </w:pPr>
      <w:r>
        <w:rPr>
          <w:sz w:val="21"/>
        </w:rPr>
        <w:t>Alex aporta volumen mínimo comprometido (objetivo ~80 t/mes, mín. operativo 50–61 t/mes) — requiere carta/contrato.</w:t>
      </w:r>
    </w:p>
    <w:p>
      <w:pPr>
        <w:pStyle w:val="ListBullet"/>
      </w:pPr>
      <w:r>
        <w:rPr>
          <w:sz w:val="21"/>
        </w:rPr>
        <w:t>Existe mercado local con demanda estable y precios de referencia verificables (Lima 2026).</w:t>
      </w:r>
    </w:p>
    <w:p>
      <w:pPr>
        <w:pStyle w:val="ListBullet"/>
      </w:pPr>
      <w:r>
        <w:rPr>
          <w:sz w:val="21"/>
        </w:rPr>
        <w:t>Régimen tributario RMT (ventas año 1 &gt; límite RER); pacto de socios notarial firmado antes de operar.</w:t>
      </w:r>
    </w:p>
    <w:p>
      <w:pPr>
        <w:pStyle w:val="Heading2"/>
      </w:pPr>
      <w:r>
        <w:rPr>
          <w:color w:val="15616D"/>
        </w:rPr>
        <w:t>5. Resumen económico Stage 1 (validado)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52A31"/>
          </w:tcPr>
          <w:p>
            <w:r/>
            <w:r>
              <w:rPr>
                <w:b/>
                <w:color w:val="FFFFFF"/>
                <w:sz w:val="19"/>
              </w:rPr>
              <w:t>Métrica</w:t>
            </w:r>
          </w:p>
        </w:tc>
        <w:tc>
          <w:tcPr>
            <w:tcW w:type="dxa" w:w="2880"/>
            <w:shd w:fill="252A31"/>
          </w:tcPr>
          <w:p>
            <w:r/>
            <w:r>
              <w:rPr>
                <w:b/>
                <w:color w:val="FFFFFF"/>
                <w:sz w:val="19"/>
              </w:rPr>
              <w:t>Valor</w:t>
            </w:r>
          </w:p>
        </w:tc>
        <w:tc>
          <w:tcPr>
            <w:tcW w:type="dxa" w:w="2880"/>
            <w:shd w:fill="252A31"/>
          </w:tcPr>
          <w:p>
            <w:r/>
            <w:r>
              <w:rPr>
                <w:b/>
                <w:color w:val="FFFFFF"/>
                <w:sz w:val="19"/>
              </w:rPr>
              <w:t>Nota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Volumen objetivo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80 t/mes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base · 100 optimista · 61 break-even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Margen bruto ponderado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$128.7/t (~49%)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compra $132.6/t · venta $261.3/t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OPEX fijo mensual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USD 8,175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renta $3,186 (~900 m²) es el mayor rubro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EBITDA mensual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M1 $2,625 · M2+ ~$305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margen neto delgado a 80 t/mes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CAPEX inicial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USD 20,858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báscula + montacarga + adecuación + depósito + permisos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Payback estimado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8–12 meses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escenario 80 t/mes (15–18 m si &lt;50 t/mes los 1ros 3 meses)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/>
          <w:color w:val="DF6901"/>
          <w:sz w:val="18"/>
        </w:rPr>
        <w:t>Nota: la hoja de Flujo de Caja (3b) del Profile v2 contiene un error de enlace (pagos a proveedores fijados en −$21,200 los 12 meses en lugar de ~−$11,360 desde M2), que muestra insolvencia (−$142,958) pese a un P&amp;L positivo (+$305/mes). Corregir antes de usar el modelo para financiamiento.</w:t>
      </w:r>
    </w:p>
    <w:p>
      <w:pPr>
        <w:pStyle w:val="Heading2"/>
      </w:pPr>
      <w:r>
        <w:rPr>
          <w:color w:val="15616D"/>
        </w:rPr>
        <w:t>6. Gobernanza y responsabilidades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52A31"/>
          </w:tcPr>
          <w:p>
            <w:r/>
            <w:r>
              <w:rPr>
                <w:b/>
                <w:color w:val="FFFFFF"/>
                <w:sz w:val="19"/>
              </w:rPr>
              <w:t>Rol</w:t>
            </w:r>
          </w:p>
        </w:tc>
        <w:tc>
          <w:tcPr>
            <w:tcW w:type="dxa" w:w="2880"/>
            <w:shd w:fill="252A31"/>
          </w:tcPr>
          <w:p>
            <w:r/>
            <w:r>
              <w:rPr>
                <w:b/>
                <w:color w:val="FFFFFF"/>
                <w:sz w:val="19"/>
              </w:rPr>
              <w:t>Responsable</w:t>
            </w:r>
          </w:p>
        </w:tc>
        <w:tc>
          <w:tcPr>
            <w:tcW w:type="dxa" w:w="2880"/>
            <w:shd w:fill="252A31"/>
          </w:tcPr>
          <w:p>
            <w:r/>
            <w:r>
              <w:rPr>
                <w:b/>
                <w:color w:val="FFFFFF"/>
                <w:sz w:val="19"/>
              </w:rPr>
              <w:t>Autoridad / enfoque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Project Sponsor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Alex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Decisiones estratégicas, aprobación CAPEX, cliente ancla, suministro mínimo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Project Manager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Raúl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Ejecución, cronograma, presupuesto, riesgos, asesores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Jefe de Planta / Site Manager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Ing. industrial (SENATI)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Operación diaria; también QA y HSE en Stage 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Warehouse Manager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Operador de montacarga 3 t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Recepción, almacenaje, inventario, trazabilidad de lotes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Asesor Legal / Regulatorio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Abogado local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Permisos, MOU, pacto de socios, compliance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Asesor Ambiental (EC-RS/EIA)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Outsource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Registro EC-RS, reportes ambientales para licencias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sz w:val="19"/>
        </w:rPr>
        <w:t>Reuniones: Steering Committee mensual (Alex + Raúl + asesor legal si aplica); Project Team semanal (primeros meses); revisiones de Seguridad/Calidad quincenales desde el arranque.</w:t>
      </w:r>
    </w:p>
    <w:p>
      <w:pPr>
        <w:pStyle w:val="Heading2"/>
      </w:pPr>
      <w:r>
        <w:rPr>
          <w:color w:val="15616D"/>
        </w:rPr>
        <w:t>7. Factores críticos de éxito</w:t>
      </w:r>
    </w:p>
    <w:p>
      <w:pPr>
        <w:pStyle w:val="ListBullet"/>
      </w:pPr>
      <w:r>
        <w:rPr>
          <w:sz w:val="21"/>
        </w:rPr>
        <w:t>EC-RS iniciado de inmediato — sin registro MINAM no hay operación legal.</w:t>
      </w:r>
    </w:p>
    <w:p>
      <w:pPr>
        <w:pStyle w:val="ListBullet"/>
      </w:pPr>
      <w:r>
        <w:rPr>
          <w:sz w:val="21"/>
        </w:rPr>
        <w:t>Compromiso escrito de volumen de Alex (≥ mín. operativo) — el modelo financiero depende de ello.</w:t>
      </w:r>
    </w:p>
    <w:p>
      <w:pPr>
        <w:pStyle w:val="ListBullet"/>
      </w:pPr>
      <w:r>
        <w:rPr>
          <w:sz w:val="21"/>
        </w:rPr>
        <w:t>Cierre del gap de capital (−$858) y disponibilidad de caja para el ciclo (30–45 días).</w:t>
      </w:r>
    </w:p>
    <w:p>
      <w:pPr>
        <w:pStyle w:val="ListBullet"/>
      </w:pPr>
      <w:r>
        <w:rPr>
          <w:sz w:val="21"/>
        </w:rPr>
        <w:t>Montacarga 3 t asegurado (compra/alquiler) — sin él no se puede descargar ni apilar bolsones de 1 t.</w:t>
      </w:r>
    </w:p>
    <w:p>
      <w:pPr>
        <w:pStyle w:val="ListBullet"/>
      </w:pPr>
      <w:r>
        <w:rPr>
          <w:sz w:val="21"/>
        </w:rPr>
        <w:t>Liderazgo operativo presente (Jefe de Planta) y disciplina de procesos desde el día 1.</w:t>
      </w:r>
    </w:p>
    <w:p>
      <w:pPr>
        <w:pStyle w:val="ListBullet"/>
      </w:pPr>
      <w:r>
        <w:rPr>
          <w:sz w:val="21"/>
        </w:rPr>
        <w:t>Pacto de socios y precio de transferencia documentado (riesgo SUNAT por partes vinculadas).</w:t>
      </w:r>
    </w:p>
    <w:p>
      <w:pPr>
        <w:pStyle w:val="Heading2"/>
      </w:pPr>
      <w:r>
        <w:rPr>
          <w:color w:val="15616D"/>
        </w:rPr>
        <w:t>8. Riesgos principales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52A31"/>
          </w:tcPr>
          <w:p>
            <w:r/>
            <w:r>
              <w:rPr>
                <w:b/>
                <w:color w:val="FFFFFF"/>
                <w:sz w:val="19"/>
              </w:rPr>
              <w:t>Riesgo</w:t>
            </w:r>
          </w:p>
        </w:tc>
        <w:tc>
          <w:tcPr>
            <w:tcW w:type="dxa" w:w="2160"/>
            <w:shd w:fill="252A31"/>
          </w:tcPr>
          <w:p>
            <w:r/>
            <w:r>
              <w:rPr>
                <w:b/>
                <w:color w:val="FFFFFF"/>
                <w:sz w:val="19"/>
              </w:rPr>
              <w:t>Prob.</w:t>
            </w:r>
          </w:p>
        </w:tc>
        <w:tc>
          <w:tcPr>
            <w:tcW w:type="dxa" w:w="2160"/>
            <w:shd w:fill="252A31"/>
          </w:tcPr>
          <w:p>
            <w:r/>
            <w:r>
              <w:rPr>
                <w:b/>
                <w:color w:val="FFFFFF"/>
                <w:sz w:val="19"/>
              </w:rPr>
              <w:t>Impacto</w:t>
            </w:r>
          </w:p>
        </w:tc>
        <w:tc>
          <w:tcPr>
            <w:tcW w:type="dxa" w:w="2160"/>
            <w:shd w:fill="252A31"/>
          </w:tcPr>
          <w:p>
            <w:r/>
            <w:r>
              <w:rPr>
                <w:b/>
                <w:color w:val="FFFFFF"/>
                <w:sz w:val="19"/>
              </w:rPr>
              <w:t>Mitigación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EC-RS no iniciado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Alta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🔴 Crítico (bloquea operación legal)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Contratar consultor ambiental; abrir SIGERSOL; Plan de Manejo de Residuos. 60–90 d.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Gap de capital sin cerrar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Media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Alto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Subarriendo + préstamo entre socios (notaría) + negociar depósito. No firmar nave sin cerrarlo.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Sin compromiso de volumen (Alex)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Media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Alto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Carta/contrato de volumen mínimo (t/mes, 12 meses) antes de operar.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Brecha de equipo (montacarga)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Media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Alto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Presupuestar alquiler ($800–1,500/mes) o unidad usada ($10–20K). Pallet jacks no manejan bolsones de 1 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Retraso de permisos (EIA/ITSE)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Alta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Crítico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Asesor experto, trámites en paralelo, buffer 6–12 meses.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Concentración en cliente único (Alex)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Media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Alto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Explorar 1–2 clientes adicionales; formalizar forecast.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Precio de transferencia (SUNAT)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Media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Alto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Precio de mercado verificable con facturas; documentar en pacto de socios.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Inseguridad / extorsión en zona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Media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Medio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Ubicación cuidadosa, seguridad (CCTV/vigilancia), seguro integral.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15616D"/>
        </w:rPr>
        <w:t>9. Autorización y aprobaciones</w:t>
      </w:r>
    </w:p>
    <w:p>
      <w:pPr>
        <w:spacing w:after="80"/>
      </w:pPr>
      <w:r>
        <w:rPr>
          <w:b w:val="0"/>
          <w:i w:val="0"/>
          <w:sz w:val="21"/>
        </w:rPr>
        <w:t>Este Project Charter v2.0 autoriza la preparación y ejecución del Stage 1 (piloto de consolidación) del proyecto Factory "Amaru I" / PlasHub, con las cifras validadas indicadas.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52A31"/>
          </w:tcPr>
          <w:p>
            <w:r/>
            <w:r>
              <w:rPr>
                <w:b/>
                <w:color w:val="FFFFFF"/>
                <w:sz w:val="19"/>
              </w:rPr>
              <w:t>Rol</w:t>
            </w:r>
          </w:p>
        </w:tc>
        <w:tc>
          <w:tcPr>
            <w:tcW w:type="dxa" w:w="2160"/>
            <w:shd w:fill="252A31"/>
          </w:tcPr>
          <w:p>
            <w:r/>
            <w:r>
              <w:rPr>
                <w:b/>
                <w:color w:val="FFFFFF"/>
                <w:sz w:val="19"/>
              </w:rPr>
              <w:t>Nombre</w:t>
            </w:r>
          </w:p>
        </w:tc>
        <w:tc>
          <w:tcPr>
            <w:tcW w:type="dxa" w:w="2160"/>
            <w:shd w:fill="252A31"/>
          </w:tcPr>
          <w:p>
            <w:r/>
            <w:r>
              <w:rPr>
                <w:b/>
                <w:color w:val="FFFFFF"/>
                <w:sz w:val="19"/>
              </w:rPr>
              <w:t>Firma</w:t>
            </w:r>
          </w:p>
        </w:tc>
        <w:tc>
          <w:tcPr>
            <w:tcW w:type="dxa" w:w="2160"/>
            <w:shd w:fill="252A31"/>
          </w:tcPr>
          <w:p>
            <w:r/>
            <w:r>
              <w:rPr>
                <w:b/>
                <w:color w:val="FFFFFF"/>
                <w:sz w:val="19"/>
              </w:rPr>
              <w:t>Fecha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Project Sponsor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Alex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_____________________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____________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Project Manager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Raúl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_____________________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____________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Testigo / Asesor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_____________________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____________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