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392B"/>
          <w:sz w:val="20"/>
        </w:rPr>
        <w:t>BORRADOR — NO FIRMAR SIN REVISIÓN LEGAL</w:t>
      </w:r>
    </w:p>
    <w:p>
      <w:r>
        <w:rPr>
          <w:b/>
          <w:color w:val="252A31"/>
          <w:sz w:val="32"/>
        </w:rPr>
        <w:t>MEMORÁNDUM DE ENTENDIMIENTO (MOU) Y TÉRMINOS DE SUMINISTRO</w:t>
      </w:r>
    </w:p>
    <w:p>
      <w:r>
        <w:rPr>
          <w:i/>
          <w:color w:val="15616D"/>
          <w:sz w:val="22"/>
        </w:rPr>
        <w:t>Acuerdo de Suministro Mínimo, Comercial y de Gobernanza · PlasHub / Neo Amaru Global S.A.C.</w:t>
      </w:r>
    </w:p>
    <w:p>
      <w:pPr>
        <w:spacing w:after="80"/>
      </w:pPr>
      <w:r>
        <w:rPr>
          <w:b w:val="0"/>
          <w:i/>
          <w:color w:val="6A7280"/>
          <w:sz w:val="18"/>
        </w:rPr>
        <w:t>Borrador de trabajo para revisión de un abogado/notario peruano. No constituye asesoría legal. Los espacios "____" deben completarse al firmar.</w:t>
      </w:r>
    </w:p>
    <w:p>
      <w:pPr>
        <w:pStyle w:val="Heading2"/>
      </w:pPr>
      <w:r>
        <w:rPr>
          <w:color w:val="15616D"/>
        </w:rPr>
        <w:t>1. Partes</w:t>
      </w:r>
    </w:p>
    <w:p>
      <w:pPr>
        <w:spacing w:after="80"/>
      </w:pPr>
      <w:r>
        <w:rPr>
          <w:b w:val="0"/>
          <w:i w:val="0"/>
          <w:sz w:val="21"/>
        </w:rPr>
        <w:t>1.1. ____________________ ("Alex"), identificado con ____, en calidad de socio, proveedor de materiales y cliente ancla.</w:t>
      </w:r>
    </w:p>
    <w:p>
      <w:pPr>
        <w:spacing w:after="80"/>
      </w:pPr>
      <w:r>
        <w:rPr>
          <w:b w:val="0"/>
          <w:i w:val="0"/>
          <w:sz w:val="21"/>
        </w:rPr>
        <w:t>1.2. Neo Amaru Global S.A.C. ("PlasHub"), RUC ____, representada por Raúl ____________________, en calidad de operador del hub de consolidación.</w:t>
      </w:r>
    </w:p>
    <w:p>
      <w:pPr>
        <w:pStyle w:val="Heading2"/>
      </w:pPr>
      <w:r>
        <w:rPr>
          <w:color w:val="15616D"/>
        </w:rPr>
        <w:t>2. Antecedentes</w:t>
      </w:r>
    </w:p>
    <w:p>
      <w:pPr>
        <w:spacing w:after="80"/>
      </w:pPr>
      <w:r>
        <w:rPr>
          <w:b w:val="0"/>
          <w:i w:val="0"/>
          <w:sz w:val="21"/>
        </w:rPr>
        <w:t>PlasHub opera un hub de recepción, clasificación, pesaje, almacenamiento y consolidación de plásticos post-proceso en Lima Norte (Stage 1, sin procesamiento). Alex aporta flujo comercial, red de proveedores y demanda. Este MOU define el compromiso mínimo de volumen, los precios, los estándares de calidad y la estructura societaria necesarios para sustentar la inversión de Stage 1.</w:t>
      </w:r>
    </w:p>
    <w:p>
      <w:pPr>
        <w:pStyle w:val="Heading2"/>
      </w:pPr>
      <w:r>
        <w:rPr>
          <w:color w:val="15616D"/>
        </w:rPr>
        <w:t>3. Objeto</w:t>
      </w:r>
    </w:p>
    <w:p>
      <w:pPr>
        <w:spacing w:after="80"/>
      </w:pPr>
      <w:r>
        <w:rPr>
          <w:b w:val="0"/>
          <w:i w:val="0"/>
          <w:sz w:val="21"/>
        </w:rPr>
        <w:t>Establecer (i) un compromiso de volumen mínimo que haga viable el modelo financiero de Stage 1, (ii) el mecanismo de precios entre las partes, y (iii) la gobernanza y distribución societaria.</w:t>
      </w:r>
    </w:p>
    <w:p>
      <w:pPr>
        <w:pStyle w:val="Heading2"/>
      </w:pPr>
      <w:r>
        <w:rPr>
          <w:color w:val="15616D"/>
        </w:rPr>
        <w:t>4. Compromiso de volumen mínimo</w:t>
      </w:r>
    </w:p>
    <w:p>
      <w:pPr>
        <w:spacing w:after="80"/>
      </w:pPr>
      <w:r>
        <w:rPr>
          <w:b w:val="0"/>
          <w:i w:val="0"/>
          <w:sz w:val="21"/>
        </w:rPr>
        <w:t>4.1. Alex se compromete a canalizar a PlasHub un volumen mínimo de ______ t/mes (referencia: ≥82 t/mes para superar el punto de equilibrio; objetivo 100 t/mes) durante 12 meses, a partir del mes ____.</w:t>
      </w:r>
    </w:p>
    <w:p>
      <w:pPr>
        <w:spacing w:after="80"/>
      </w:pPr>
      <w:r>
        <w:rPr>
          <w:b w:val="0"/>
          <w:i w:val="0"/>
          <w:sz w:val="21"/>
        </w:rPr>
        <w:t>4.2. Si el volumen real cae por debajo de ____ t/mes por dos meses consecutivos, las partes convocarán una reunión de revisión en un plazo de ____ días.</w:t>
      </w:r>
    </w:p>
    <w:p>
      <w:pPr>
        <w:spacing w:after="80"/>
      </w:pPr>
      <w:r>
        <w:rPr>
          <w:b w:val="0"/>
          <w:i w:val="0"/>
          <w:sz w:val="21"/>
        </w:rPr>
        <w:t>4.3. Mix referencial de materiales: PET, HDPE, PP, PE Film (frecuentes) y ABS/PS, Nylon/PA, mix especiales (esporádicos).</w:t>
      </w:r>
    </w:p>
    <w:p>
      <w:pPr>
        <w:pStyle w:val="Heading2"/>
      </w:pPr>
      <w:r>
        <w:rPr>
          <w:color w:val="15616D"/>
        </w:rPr>
        <w:t>5. Precios y margen</w:t>
      </w:r>
    </w:p>
    <w:p>
      <w:pPr>
        <w:spacing w:after="80"/>
      </w:pPr>
      <w:r>
        <w:rPr>
          <w:b w:val="0"/>
          <w:i w:val="0"/>
          <w:sz w:val="21"/>
        </w:rPr>
        <w:t>5.1. PlasHub compra a precio de mercado verificable y vende el lote consolidado al cliente final (Modelo A — PlasHub comercializa y captura el margen).</w:t>
      </w:r>
    </w:p>
    <w:p>
      <w:pPr>
        <w:spacing w:after="80"/>
      </w:pPr>
      <w:r>
        <w:rPr>
          <w:b w:val="0"/>
          <w:i w:val="0"/>
          <w:sz w:val="21"/>
        </w:rPr>
        <w:t>5.2. Precios de referencia (USD/t, ajustables por acta): PET 120/240 · HDPE 140/270 · PP 130/260 · PE Film 100/200 · ABS-PS 200/380 · Nylon/PA 280/520 · Flake 150/300 (compra/venta).</w:t>
      </w:r>
    </w:p>
    <w:p>
      <w:pPr>
        <w:spacing w:after="80"/>
      </w:pPr>
      <w:r>
        <w:rPr>
          <w:b w:val="0"/>
          <w:i w:val="0"/>
          <w:sz w:val="21"/>
        </w:rPr>
        <w:t>5.3. Precio de transferencia: toda transacción entre partes vinculadas se documentará a precio de mercado, con facturas de respaldo, para cumplimiento ante SUNAT. NUNCA se usarán precios artificiales.</w:t>
      </w:r>
    </w:p>
    <w:p>
      <w:pPr>
        <w:pStyle w:val="Heading2"/>
      </w:pPr>
      <w:r>
        <w:rPr>
          <w:color w:val="15616D"/>
        </w:rPr>
        <w:t>6. Calidad, trazabilidad y rechazos</w:t>
      </w:r>
    </w:p>
    <w:p>
      <w:pPr>
        <w:spacing w:after="80"/>
      </w:pPr>
      <w:r>
        <w:rPr>
          <w:b w:val="0"/>
          <w:i w:val="0"/>
          <w:sz w:val="21"/>
        </w:rPr>
        <w:t>6.1. Cada bolsón se pesa y clasifica al ingreso; material contaminado o fuera de especificación se rechaza (objetivo de rechazo &lt;10% en Stage 1, &lt;5% en Stage 2).</w:t>
      </w:r>
    </w:p>
    <w:p>
      <w:pPr>
        <w:spacing w:after="80"/>
      </w:pPr>
      <w:r>
        <w:rPr>
          <w:b w:val="0"/>
          <w:i w:val="0"/>
          <w:sz w:val="21"/>
        </w:rPr>
        <w:t>6.2. PlasHub mantiene trazabilidad por lote (libro EC-RS + báscula) y emite ficha técnica del lote consolidado.</w:t>
      </w:r>
    </w:p>
    <w:p>
      <w:pPr>
        <w:pStyle w:val="Heading2"/>
      </w:pPr>
      <w:r>
        <w:rPr>
          <w:color w:val="15616D"/>
        </w:rPr>
        <w:t>7. Estructura societaria y gobernanza</w:t>
      </w:r>
    </w:p>
    <w:p>
      <w:pPr>
        <w:spacing w:after="80"/>
      </w:pPr>
      <w:r>
        <w:rPr>
          <w:b w:val="0"/>
          <w:i w:val="0"/>
          <w:sz w:val="21"/>
        </w:rPr>
        <w:t>7.1. Participación: Alex 60% / Raúl 40%, a formalizar en el Estatuto SAC ante SUNARP antes de la primera operación.</w:t>
      </w:r>
    </w:p>
    <w:p>
      <w:pPr>
        <w:spacing w:after="80"/>
      </w:pPr>
      <w:r>
        <w:rPr>
          <w:b w:val="0"/>
          <w:i w:val="0"/>
          <w:sz w:val="21"/>
        </w:rPr>
        <w:t>7.2. Salario de Raúl: inicia (S/3,500–4,500/mes) recién tras EBITDA ≥ 0 por dos meses consecutivos.</w:t>
      </w:r>
    </w:p>
    <w:p>
      <w:pPr>
        <w:spacing w:after="80"/>
      </w:pPr>
      <w:r>
        <w:rPr>
          <w:b w:val="0"/>
          <w:i w:val="0"/>
          <w:sz w:val="21"/>
        </w:rPr>
        <w:t>7.3. Dividendos: no se distribuyen hasta recuperar el CAPEX (EBITDA acumulado &gt; CAPEX). Reserva del 30% de utilidades para reinversión.</w:t>
      </w:r>
    </w:p>
    <w:p>
      <w:pPr>
        <w:spacing w:after="80"/>
      </w:pPr>
      <w:r>
        <w:rPr>
          <w:b w:val="0"/>
          <w:i w:val="0"/>
          <w:sz w:val="21"/>
        </w:rPr>
        <w:t>7.4. Aportes de capital: Alex ~$16,000; Raúl ~$5,500 (ago-2026). Cualquier puente entre socios se documentará por separado (préstamo notariado).</w:t>
      </w:r>
    </w:p>
    <w:p>
      <w:pPr>
        <w:spacing w:after="80"/>
      </w:pPr>
      <w:r>
        <w:rPr>
          <w:b w:val="0"/>
          <w:i w:val="0"/>
          <w:sz w:val="21"/>
        </w:rPr>
        <w:t>7.5. Decisiones que requieren acuerdo conjunto: CAPEX &gt; $____, cambios de alcance, endeudamiento, incorporación de nuevos socios/clientes ancla.</w:t>
      </w:r>
    </w:p>
    <w:p>
      <w:pPr>
        <w:pStyle w:val="Heading2"/>
      </w:pPr>
      <w:r>
        <w:rPr>
          <w:color w:val="15616D"/>
        </w:rPr>
        <w:t>8. Plazo, confidencialidad y naturaleza</w:t>
      </w:r>
    </w:p>
    <w:p>
      <w:pPr>
        <w:spacing w:after="80"/>
      </w:pPr>
      <w:r>
        <w:rPr>
          <w:b w:val="0"/>
          <w:i w:val="0"/>
          <w:sz w:val="21"/>
        </w:rPr>
        <w:t>8.1. Vigencia: 12 meses (Stage 1), renovable por acuerdo escrito. Gate 1 al M12 decide la continuidad hacia Stage 2.</w:t>
      </w:r>
    </w:p>
    <w:p>
      <w:pPr>
        <w:spacing w:after="80"/>
      </w:pPr>
      <w:r>
        <w:rPr>
          <w:b w:val="0"/>
          <w:i w:val="0"/>
          <w:sz w:val="21"/>
        </w:rPr>
        <w:t>8.2. Confidencialidad: precios, proveedores y clientes son información reservada de PlasHub.</w:t>
      </w:r>
    </w:p>
    <w:p>
      <w:pPr>
        <w:spacing w:after="80"/>
      </w:pPr>
      <w:r>
        <w:rPr>
          <w:b w:val="0"/>
          <w:i w:val="0"/>
          <w:sz w:val="21"/>
        </w:rPr>
        <w:t>8.3. Naturaleza: las cláusulas 4, 5 y 7 son vinculantes una vez constituida la SAC y firmado el pacto de socios; el resto expresa la intención de las partes y se perfeccionará en los contratos definitivos.</w:t>
      </w:r>
    </w:p>
    <w:p>
      <w:pPr>
        <w:pStyle w:val="Heading2"/>
      </w:pPr>
      <w:r>
        <w:rPr>
          <w:color w:val="15616D"/>
        </w:rPr>
        <w:t>9. Firmas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  <w:shd w:fill="252A31"/>
          </w:tcPr>
          <w:p>
            <w:r/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2016"/>
            <w:shd w:fill="252A31"/>
          </w:tcPr>
          <w:p>
            <w:r/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04"/>
            <w:shd w:fill="252A31"/>
          </w:tcPr>
          <w:p>
            <w:r/>
            <w:r>
              <w:rPr>
                <w:b/>
                <w:color w:val="FFFFFF"/>
                <w:sz w:val="19"/>
              </w:rPr>
              <w:t>Firma</w:t>
            </w:r>
          </w:p>
        </w:tc>
        <w:tc>
          <w:tcPr>
            <w:tcW w:type="dxa" w:w="1440"/>
            <w:shd w:fill="252A31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Socio / Proveedor / Cliente ancla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Alex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_____________________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__________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Operador (PlasHub / Neo Amaru Global S.A.C.)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Raúl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_____________________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__________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Testigo / Asesor legal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_____________________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__________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