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2A31"/>
          <w:sz w:val="40"/>
        </w:rPr>
        <w:t>BUSINESS PLAN — Stage 1 (12 meses)</w:t>
      </w:r>
    </w:p>
    <w:p>
      <w:r>
        <w:rPr>
          <w:i/>
          <w:color w:val="15616D"/>
          <w:sz w:val="23"/>
        </w:rPr>
        <w:t>PlasHub — Hub de Consolidación de Plásticos · Neo Amaru Global S.A.C. · Factory "Amaru I" · Lima Norte, Perú</w:t>
      </w:r>
    </w:p>
    <w:p>
      <w:pPr>
        <w:spacing w:after="80"/>
      </w:pPr>
      <w:r>
        <w:rPr>
          <w:b w:val="0"/>
          <w:i/>
          <w:color w:val="6A7280"/>
          <w:sz w:val="19"/>
        </w:rPr>
        <w:t>Documento para inversores / prestamistas · Cifras en USD (€1≈$1.07) · Modelo: comprar → clasificar → pesar → almacenar → consolidar 20 t → despachar contenedor 40′. Sin procesamiento en Stage 1.</w:t>
      </w:r>
    </w:p>
    <w:p>
      <w:pPr>
        <w:pStyle w:val="Heading2"/>
      </w:pPr>
      <w:r>
        <w:rPr>
          <w:color w:val="15616D"/>
        </w:rPr>
        <w:t>1. Resumen ejecutivo</w:t>
      </w:r>
    </w:p>
    <w:p>
      <w:pPr>
        <w:spacing w:after="80"/>
      </w:pPr>
      <w:r>
        <w:rPr>
          <w:b w:val="0"/>
          <w:i w:val="0"/>
          <w:sz w:val="21"/>
        </w:rPr>
        <w:t>PlasHub convierte una oferta fragmentada y dispersa de plásticos reciclables post-proceso en lotes consolidados, trazables y de grado industrial para exportación. Compra a precios fragmentados, segrega y controla calidad por polímero, acumula ~20 t de un mismo material y despacha un contenedor de 40 pies — reduciendo el tiempo de respuesta del cliente ancla de ~28 a &lt;14 días y capturando el spread entre el precio de compra fragmentado y el de venta consolidado (margen bruto ponderado ~49%, ≈$127/t).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252A31"/>
          </w:tcPr>
          <w:p>
            <w:r/>
            <w:r>
              <w:rPr>
                <w:b/>
                <w:color w:val="FFFFFF"/>
                <w:sz w:val="19"/>
              </w:rPr>
              <w:t>Métrica clave</w:t>
            </w:r>
          </w:p>
        </w:tc>
        <w:tc>
          <w:tcPr>
            <w:tcW w:type="dxa" w:w="5904"/>
            <w:shd w:fill="252A31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Margen bruto ponderado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~49% (≈$127/t) · compra $132/t · venta $259/t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Punto de equilibrio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~82 t/mes (Lean A) · ~144 t/mes (Full B)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Caso Base (100 t/mes, Lean A)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EBITDA ≈ +$2.0K/mes · equilibrio operativo M3 · ROI ~69%/año sobre CAPEX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Capital confirmado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~$22,000 (Alex 60% / Raúl 40%)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Necesidad de capital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Lean ≈ $27K CAPEX+WC; con ciclo de caja, pico de financiamiento ≈ $45–50K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Objetivo Stage 1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Validar el modelo comercial en 12 meses antes de invertir en procesamiento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El pedido: cerrar la brecha de financiamiento de Stage 1 para una validación de 12 meses. El verdadero cuello de botella no es el CAPEX sino el capital de trabajo: el ciclo "pago ahora / cobro después" lleva el saldo de caja a un pozo de ~−$26K hacia el M4 incluso en el caso Base rentable.</w:t>
      </w:r>
    </w:p>
    <w:p>
      <w:pPr>
        <w:pStyle w:val="Heading2"/>
      </w:pPr>
      <w:r>
        <w:rPr>
          <w:color w:val="15616D"/>
        </w:rPr>
        <w:t>2. El negocio y la propuesta de valor</w:t>
      </w:r>
    </w:p>
    <w:p>
      <w:pPr>
        <w:pStyle w:val="ListBullet"/>
      </w:pPr>
      <w:r>
        <w:rPr>
          <w:sz w:val="21"/>
        </w:rPr>
        <w:t>Disponibilidad garantizada y calidad consistente (ficha técnica + trazabilidad de lote).</w:t>
      </w:r>
    </w:p>
    <w:p>
      <w:pPr>
        <w:pStyle w:val="ListBullet"/>
      </w:pPr>
      <w:r>
        <w:rPr>
          <w:sz w:val="21"/>
        </w:rPr>
        <w:t>Tiempo de respuesta 28 → &lt;14 días; lotes repetidos ~2 semanas según stock.</w:t>
      </w:r>
    </w:p>
    <w:p>
      <w:pPr>
        <w:pStyle w:val="ListBullet"/>
      </w:pPr>
      <w:r>
        <w:rPr>
          <w:sz w:val="21"/>
        </w:rPr>
        <w:t>Captura del spread compra-vs-consolidado que Alex hoy pierde por urgencia.</w:t>
      </w:r>
    </w:p>
    <w:p>
      <w:pPr>
        <w:pStyle w:val="ListBullet"/>
      </w:pPr>
      <w:r>
        <w:rPr>
          <w:sz w:val="21"/>
        </w:rPr>
        <w:t>Eslabón físico que "amarra" a Alex como cliente de largo plazo y es replicable en LatAm.</w:t>
      </w:r>
    </w:p>
    <w:p>
      <w:pPr>
        <w:spacing w:after="80"/>
      </w:pPr>
      <w:r>
        <w:rPr>
          <w:b w:val="0"/>
          <w:i/>
          <w:color w:val="6A7280"/>
          <w:sz w:val="19"/>
        </w:rPr>
        <w:t>Tesis por etapas: Stage 1 (este plan) consolidación ~80–100 t/mes, ~900 m²; Stage 2 procesamiento (compactado/lavado/peletizado) que desbloquea el tramo de precio "regrind" $900–1,300/MT, 400–500+ t/mes; Stage 3 réplica regional (~6,000 m²).</w:t>
      </w:r>
    </w:p>
    <w:p>
      <w:pPr>
        <w:pStyle w:val="Heading2"/>
      </w:pPr>
      <w:r>
        <w:rPr>
          <w:color w:val="15616D"/>
        </w:rPr>
        <w:t>3. Materiales y precios de mercado (Perú/LatAm 2025–26)</w:t>
      </w:r>
    </w:p>
    <w:p>
      <w:pPr>
        <w:spacing w:after="80"/>
      </w:pPr>
      <w:r>
        <w:rPr>
          <w:b w:val="0"/>
          <w:i w:val="0"/>
          <w:sz w:val="21"/>
        </w:rPr>
        <w:t>Tramo "feedstock embalado → lote consolidado" — el producto que PlasHub realmente comercializa. Triangulado de: referencia Lima-2026 de la empresa, ancla verificada Polvillo de Flake ($150 compra/$300 venta), y rangos de acopio en Perú. Nota: las cifras "HDPE reciclado $930–1,310/MT" muy citadas son regrind lavado/peletizado — un producto distinto y de mayor valor (la oportunidad de Stage 2), no el feedstock de Stage 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736"/>
            <w:shd w:fill="252A31"/>
          </w:tcPr>
          <w:p>
            <w:r/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1008"/>
            <w:shd w:fill="252A31"/>
          </w:tcPr>
          <w:p>
            <w:r/>
            <w:r>
              <w:rPr>
                <w:b/>
                <w:color w:val="FFFFFF"/>
                <w:sz w:val="18"/>
              </w:rPr>
              <w:t>Frec.</w:t>
            </w:r>
          </w:p>
        </w:tc>
        <w:tc>
          <w:tcPr>
            <w:tcW w:type="dxa" w:w="864"/>
            <w:shd w:fill="252A31"/>
          </w:tcPr>
          <w:p>
            <w:r/>
            <w:r>
              <w:rPr>
                <w:b/>
                <w:color w:val="FFFFFF"/>
                <w:sz w:val="18"/>
              </w:rPr>
              <w:t>Mix %</w:t>
            </w:r>
          </w:p>
        </w:tc>
        <w:tc>
          <w:tcPr>
            <w:tcW w:type="dxa" w:w="1224"/>
            <w:shd w:fill="252A31"/>
          </w:tcPr>
          <w:p>
            <w:r/>
            <w:r>
              <w:rPr>
                <w:b/>
                <w:color w:val="FFFFFF"/>
                <w:sz w:val="18"/>
              </w:rPr>
              <w:t>Compra $/t</w:t>
            </w:r>
          </w:p>
        </w:tc>
        <w:tc>
          <w:tcPr>
            <w:tcW w:type="dxa" w:w="1224"/>
            <w:shd w:fill="252A31"/>
          </w:tcPr>
          <w:p>
            <w:r/>
            <w:r>
              <w:rPr>
                <w:b/>
                <w:color w:val="FFFFFF"/>
                <w:sz w:val="18"/>
              </w:rPr>
              <w:t>Venta $/t</w:t>
            </w:r>
          </w:p>
        </w:tc>
        <w:tc>
          <w:tcPr>
            <w:tcW w:type="dxa" w:w="1224"/>
            <w:shd w:fill="252A31"/>
          </w:tcPr>
          <w:p>
            <w:r/>
            <w:r>
              <w:rPr>
                <w:b/>
                <w:color w:val="FFFFFF"/>
                <w:sz w:val="18"/>
              </w:rPr>
              <w:t>Margen $/t</w:t>
            </w:r>
          </w:p>
        </w:tc>
        <w:tc>
          <w:tcPr>
            <w:tcW w:type="dxa" w:w="1008"/>
            <w:shd w:fill="252A31"/>
          </w:tcPr>
          <w:p>
            <w:r/>
            <w:r>
              <w:rPr>
                <w:b/>
                <w:color w:val="FFFFFF"/>
                <w:sz w:val="18"/>
              </w:rPr>
              <w:t>Margen 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PET post-consumo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Frec.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27%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$120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$240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$120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HDPE industrial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Frec.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26%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$140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$270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$130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8"/>
              </w:rPr>
              <w:t>48%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PP post-industrial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Frec.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21%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$130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$260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$130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PE Film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Frec.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16%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$100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$200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ABS / PS industrial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Espor.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$200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$380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$180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8"/>
              </w:rPr>
              <w:t>47%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Nylon / PA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Espor.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3%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$280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$520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$240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8"/>
              </w:rPr>
              <w:t>46%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Special mix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Espor.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3%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$120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$230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$110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8"/>
              </w:rPr>
              <w:t>48%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Polvillo de Flake (ancla)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Frec.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$150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$300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$150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PROMEDIO PONDERADO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$132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$259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8"/>
              </w:rPr>
              <w:t>$127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sz w:val="18"/>
              </w:rPr>
              <w:t>49%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6A7280"/>
          <w:sz w:val="18"/>
        </w:rPr>
        <w:t>Honestidad: no existen índices públicos de scrap embalado en Perú; compra/venta son cifras de referencia trianguladas — validar con 2–3 cotizaciones reales de proveedores antes de comprometer capital. Acopio Perú: PET S/0.70–2.60/kg; HDPE/PP/LDPE S/0.30–0.80/kg.</w:t>
      </w:r>
    </w:p>
    <w:p>
      <w:pPr>
        <w:pStyle w:val="Heading2"/>
      </w:pPr>
      <w:r>
        <w:rPr>
          <w:color w:val="15616D"/>
        </w:rPr>
        <w:t>4. Modelo financiero — tres escenarios</w:t>
      </w:r>
    </w:p>
    <w:p>
      <w:pPr>
        <w:spacing w:after="80"/>
      </w:pPr>
      <w:r>
        <w:rPr>
          <w:b w:val="0"/>
          <w:i w:val="0"/>
          <w:sz w:val="21"/>
        </w:rPr>
        <w:t>Supuestos: rampa M1 50% / M2 75% / M3 90% / M4–12 100%; montacarga alquilado (OPEX) en ambos setups; cobros con desfase ~1 mes (clientes pagan a 30–45 d), pagos a proveedores contra entrega — el ciclo de caja adverso está modelado explícitamente. Costo variable (flete inbound + drayage a puerto) ≈ $15/t.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fill="252A31"/>
          </w:tcPr>
          <w:p>
            <w:r/>
            <w:r>
              <w:rPr>
                <w:b/>
                <w:color w:val="FFFFFF"/>
                <w:sz w:val="18"/>
              </w:rPr>
              <w:t>Métrica (estado estable M4+)</w:t>
            </w:r>
          </w:p>
        </w:tc>
        <w:tc>
          <w:tcPr>
            <w:tcW w:type="dxa" w:w="2016"/>
            <w:shd w:fill="252A31"/>
          </w:tcPr>
          <w:p>
            <w:r/>
            <w:r>
              <w:rPr>
                <w:b/>
                <w:color w:val="FFFFFF"/>
                <w:sz w:val="18"/>
              </w:rPr>
              <w:t>Conservador 40 t · A</w:t>
            </w:r>
          </w:p>
        </w:tc>
        <w:tc>
          <w:tcPr>
            <w:tcW w:type="dxa" w:w="1872"/>
            <w:shd w:fill="252A31"/>
          </w:tcPr>
          <w:p>
            <w:r/>
            <w:r>
              <w:rPr>
                <w:b/>
                <w:color w:val="FFFFFF"/>
                <w:sz w:val="18"/>
              </w:rPr>
              <w:t>Base 100 t · A</w:t>
            </w:r>
          </w:p>
        </w:tc>
        <w:tc>
          <w:tcPr>
            <w:tcW w:type="dxa" w:w="2016"/>
            <w:shd w:fill="252A31"/>
          </w:tcPr>
          <w:p>
            <w:r/>
            <w:r>
              <w:rPr>
                <w:b/>
                <w:color w:val="FFFFFF"/>
                <w:sz w:val="18"/>
              </w:rPr>
              <w:t>Optimista 200 t · B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Ingresos /mes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$10,372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8"/>
              </w:rPr>
              <w:t>$25,930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$51,860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Utilidad bruta /mes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$5,088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8"/>
              </w:rPr>
              <w:t>$12,720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$25,440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OPEX fijo /mes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$9,225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8"/>
              </w:rPr>
              <w:t>$9,225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$16,120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EBITDA /mes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-$4,737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+$1,995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+$6,320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Equilibrio (volumen)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82 t/mo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8"/>
              </w:rPr>
              <w:t>82 t/mo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144 t/mo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Equilibrio operativo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nunca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8"/>
              </w:rPr>
              <w:t>M3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M2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Pozo de caja (mín.)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-$69,889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8"/>
              </w:rPr>
              <w:t>-$26,345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-$64,788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EBITDA año 1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-$53,800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+$14,403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+$60,900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ROI sobre CAPEX @M12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-291%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8"/>
              </w:rPr>
              <w:t>+69%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sz w:val="18"/>
              </w:rPr>
              <w:t>+142%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Lectura: el caso Conservador (40 t/mes) es deficitario — está por debajo del equilibrio (82 t/mes) y quema caja; es un escenario de alerta, no viable como negocio autónomo. El caso Base es rentable desde el M3 pero con margen neto delgado. El Optimista es atractivo (ROI 142%) pero requiere el setup Full (~$50K). En los tres casos el pozo de caja exige financiar el capital de trabajo, no solo el CAPEX.</w:t>
      </w:r>
    </w:p>
    <w:p>
      <w:pPr>
        <w:pStyle w:val="Heading2"/>
      </w:pPr>
      <w:r>
        <w:rPr>
          <w:color w:val="15616D"/>
        </w:rPr>
        <w:t>5. CAPEX — itemizado, ambos setups</w:t>
      </w:r>
    </w:p>
    <w:p>
      <w:pPr>
        <w:pStyle w:val="Heading3"/>
      </w:pPr>
      <w:r>
        <w:rPr>
          <w:color w:val="252A31"/>
        </w:rPr>
        <w:t>5.1 Scenario A — Lean (subarriendo ~900 m²)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fill="252A31"/>
          </w:tcPr>
          <w:p>
            <w:r/>
            <w:r>
              <w:rPr>
                <w:b/>
                <w:color w:val="FFFFFF"/>
                <w:sz w:val="18"/>
              </w:rPr>
              <w:t>Línea</w:t>
            </w:r>
          </w:p>
        </w:tc>
        <w:tc>
          <w:tcPr>
            <w:tcW w:type="dxa" w:w="1296"/>
            <w:shd w:fill="252A31"/>
          </w:tcPr>
          <w:p>
            <w:r/>
            <w:r>
              <w:rPr>
                <w:b/>
                <w:color w:val="FFFFFF"/>
                <w:sz w:val="18"/>
              </w:rPr>
              <w:t>USD</w:t>
            </w:r>
          </w:p>
        </w:tc>
        <w:tc>
          <w:tcPr>
            <w:tcW w:type="dxa" w:w="2880"/>
            <w:shd w:fill="252A31"/>
          </w:tcPr>
          <w:p>
            <w:r/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Garantía nave (2 meses)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$6,372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Negociable a 1 mes → −$3,186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Adelanto 1 mes de renta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$3,186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Adecuaciones: demarcación 7 zonas, señalética INDECI, luminarias, pintura piso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$1,500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Floor marking &amp; signage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Báscula de piso 3 t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$1,200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Compra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Transpaleta + EPP + herramientas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$1,100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18"/>
              </w:rPr>
              <w:t>Montacarga alquilado (OPEX)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Consultor EC-RS / ambiental (MINAM)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$3,500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Ruta crítica 60–90 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Asesoría legal (MOU, pacto socios, licencia func.)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$1,500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Ingeniería / diseño de layout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$1,000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Registro SUNAT (RMT) + contabilidad inicial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$1,500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CAPEX subtotal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$20,858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+ Capital de trabajo (ciclo de caja)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$6,000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financia el pozo M1–3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TOTAL necesidad de capital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$26,858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vs confirmado $22K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252A31"/>
        </w:rPr>
        <w:t>5.2 Scenario B — Full (lease directo 1,500 m²)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fill="252A31"/>
          </w:tcPr>
          <w:p>
            <w:r/>
            <w:r>
              <w:rPr>
                <w:b/>
                <w:color w:val="FFFFFF"/>
                <w:sz w:val="18"/>
              </w:rPr>
              <w:t>Línea</w:t>
            </w:r>
          </w:p>
        </w:tc>
        <w:tc>
          <w:tcPr>
            <w:tcW w:type="dxa" w:w="1296"/>
            <w:shd w:fill="252A31"/>
          </w:tcPr>
          <w:p>
            <w:r/>
            <w:r>
              <w:rPr>
                <w:b/>
                <w:color w:val="FFFFFF"/>
                <w:sz w:val="18"/>
              </w:rPr>
              <w:t>USD</w:t>
            </w:r>
          </w:p>
        </w:tc>
        <w:tc>
          <w:tcPr>
            <w:tcW w:type="dxa" w:w="2880"/>
            <w:shd w:fill="252A31"/>
          </w:tcPr>
          <w:p>
            <w:r/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Garantía nave (2 meses @ $7,500)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$15,000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Factor swing — a 1 mes ahorra $7,500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Adelanto 1 mes de renta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$7,500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Fit-out / obra civil (oficina, racks, piso, demarcación)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$4,500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incl. floor marking &amp; signage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Báscula de piso 3 t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$1,500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Racking esporádicos + EPP + herramientas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$2,500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Consultor EC-RS / ambiental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$3,500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Asesoría legal (pacto socios, licencias)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$2,000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Ingeniería / diseño layout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$1,200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Registro SUNAT (RMT) + contabilidad inicial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$1,500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Sistema de inventario (software)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$800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CAPEX subtotal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$40,000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+ Capital de trabajo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$10,000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TOTAL necesidad de capital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$50,000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vs target $50K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5616D"/>
        </w:rPr>
        <w:t>6. OPEX mensual fijo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fill="252A31"/>
          </w:tcPr>
          <w:p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736"/>
            <w:shd w:fill="252A31"/>
          </w:tcPr>
          <w:p>
            <w:r/>
            <w:r>
              <w:rPr>
                <w:b/>
                <w:color w:val="FFFFFF"/>
                <w:sz w:val="18"/>
              </w:rPr>
              <w:t>Lean A $/mo</w:t>
            </w:r>
          </w:p>
        </w:tc>
        <w:tc>
          <w:tcPr>
            <w:tcW w:type="dxa" w:w="2736"/>
            <w:shd w:fill="252A31"/>
          </w:tcPr>
          <w:p>
            <w:r/>
            <w:r>
              <w:rPr>
                <w:b/>
                <w:color w:val="FFFFFF"/>
                <w:sz w:val="18"/>
              </w:rPr>
              <w:t>Full B $/mo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Renta nave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$3,186 (~900 m²)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$7,500 (1,500 m²)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Montacarga 3 t (alquiler)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$1,000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$1,000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Jefe de Planta / Site Manager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$1,100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$1,300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Operarios de planta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$1,100 (×2)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$1,650 (×3)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Supervisor / QA (parcial)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$600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Electricidad trifásica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$350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$600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Seguridad / vigilancia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$1,100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$1,200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Mantenimiento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$50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$150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Contabilidad / contador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$500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$650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EPP / consumibles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$200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$350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Comunicaciones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$100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$150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Servicios básicos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$100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$200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Contingencia 5%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$439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$770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TOTAL fijo /mes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$9,225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8"/>
              </w:rPr>
              <w:t>$16,120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6A7280"/>
          <w:sz w:val="18"/>
        </w:rPr>
        <w:t>Costo variable ≈ $15/t (flete inbound + drayage a puerto), modelado aparte. Salarios reflejan RMV Perú 2026 (S/1,130 ≈ $305) + beneficios (CTS, gratificaciones, EsSalud). Raúl no cobra salario hasta EBITDA ≥ 0 por 2 meses consecutivos.</w:t>
      </w:r>
    </w:p>
    <w:p>
      <w:pPr>
        <w:pStyle w:val="Heading2"/>
      </w:pPr>
      <w:r>
        <w:rPr>
          <w:color w:val="15616D"/>
        </w:rPr>
        <w:t>7. Brecha de capital y plan de financiamiento</w:t>
      </w:r>
    </w:p>
    <w:p>
      <w:pPr>
        <w:spacing w:after="80"/>
      </w:pPr>
      <w:r>
        <w:rPr>
          <w:b w:val="0"/>
          <w:i w:val="0"/>
          <w:sz w:val="21"/>
        </w:rPr>
        <w:t>Hay dos brechas, no una: (1) la brecha de activos (CAPEX) — equipos + garantía + permisos; y (2) la brecha de capital de trabajo — el ciclo compra-ahora/cobra-después lleva el saldo de banco a negativo en M1–M3 aunque el P&amp;L sea positivo. Esta segunda es la mayor y la razón #1 por la que pilotos como este se estancan.</w:t>
      </w:r>
    </w:p>
    <w:p>
      <w:pPr>
        <w:spacing w:after="80"/>
      </w:pPr>
      <w:r>
        <w:rPr>
          <w:b w:val="0"/>
          <w:i w:val="0"/>
          <w:sz w:val="21"/>
        </w:rPr>
        <w:t>Palancas de financiamiento (ranking por apalancamiento/costo):</w:t>
      </w:r>
    </w:p>
    <w:p>
      <w:pPr>
        <w:pStyle w:val="ListBullet"/>
      </w:pPr>
      <w:r>
        <w:rPr>
          <w:sz w:val="21"/>
        </w:rPr>
        <w:t>1. Negociar entrada (1 mes de garantía vs 2–3) → ahorra $3–15K. La palanca más alta y barata.</w:t>
      </w:r>
    </w:p>
    <w:p>
      <w:pPr>
        <w:pStyle w:val="ListBullet"/>
      </w:pPr>
      <w:r>
        <w:rPr>
          <w:sz w:val="21"/>
        </w:rPr>
        <w:t>2. Comprimir el ciclo de caja — Alex prepaga / adelanto parcial, o venta a plazo corto / cobro contra entrega.</w:t>
      </w:r>
    </w:p>
    <w:p>
      <w:pPr>
        <w:pStyle w:val="ListBullet"/>
      </w:pPr>
      <w:r>
        <w:rPr>
          <w:sz w:val="21"/>
        </w:rPr>
        <w:t>3. Préstamo entre socios (notariado) para complementar los $22K confirmados.</w:t>
      </w:r>
    </w:p>
    <w:p>
      <w:pPr>
        <w:pStyle w:val="ListBullet"/>
      </w:pPr>
      <w:r>
        <w:rPr>
          <w:sz w:val="21"/>
        </w:rPr>
        <w:t>4. Faseo del CAPEX — escalonar permisos / fit-out en M1–M3.</w:t>
      </w:r>
    </w:p>
    <w:p>
      <w:pPr>
        <w:pStyle w:val="ListBullet"/>
      </w:pPr>
      <w:r>
        <w:rPr>
          <w:sz w:val="21"/>
        </w:rPr>
        <w:t>5. Línea de capital de trabajo MYPE (BCP/Interbank/Mibanco, TEA ~25–45% — caro; dimensionar solo al pozo) o factoring/confirming sobre cuentas por cobrar.</w:t>
      </w:r>
    </w:p>
    <w:p>
      <w:pPr>
        <w:pStyle w:val="ListBullet"/>
      </w:pPr>
      <w:r>
        <w:rPr>
          <w:sz w:val="21"/>
        </w:rPr>
        <w:t>6. Diferir salario de Raúl hasta EBITDA positivo (ya en el modelo).</w:t>
      </w:r>
    </w:p>
    <w:p>
      <w:pPr>
        <w:spacing w:after="80"/>
      </w:pPr>
      <w:r>
        <w:rPr>
          <w:b/>
          <w:i w:val="0"/>
          <w:sz w:val="21"/>
        </w:rPr>
        <w:t>Recomendación: iniciar Lean (A), cerrar el pozo de ~$15–18K con negociación de garantía + prepago de Alex + un pequeño puente entre socios, validar el caso Base (100 t/mes), y luego graduar a Full (B) y Stage 2 financiados con utilidades retenidas + una línea bancaria con volumen ya probado.</w:t>
      </w:r>
    </w:p>
    <w:p>
      <w:pPr>
        <w:pStyle w:val="Heading2"/>
      </w:pPr>
      <w:r>
        <w:rPr>
          <w:color w:val="15616D"/>
        </w:rPr>
        <w:t>8. Registro de riesgos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fill="252A31"/>
          </w:tcPr>
          <w:p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864"/>
            <w:shd w:fill="252A31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2448"/>
            <w:shd w:fill="252A31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312"/>
            <w:shd w:fill="252A31"/>
          </w:tcPr>
          <w:p>
            <w:r/>
            <w:r>
              <w:rPr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EC-RS no iniciado (MINAM)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Crítico — bloquea operación legal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Consultor ambiental día 1; abrir SIGERSOL; Plan de Manejo de Residuos. 60–90 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Capital de trabajo / ciclo de caja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Alto — banco negativo M1–3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Prepago Alex, garantía 1 mes, puente socios, factoring.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Sin compromiso de volumen (Alex)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Media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Alto — modelo inválido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Carta/contrato: mín. t/mes por 12 meses antes de firmar nave.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Volumen bajo equilibrio (~82 t/mes)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Media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Alto — deficitario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Reducir OPEX (renta) antes de buscar volumen. Alerta KPI &lt;60% target.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Concentración en cliente único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Media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Sumar 1–2 clientes; formalizar forecast; diversificar en Stage 2.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Precio de transferencia (SUNAT)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Media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Alto — Alex es proveedor+cliente+socio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Facturas a precio de mercado, documentadas; registrar en pacto de socios.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Retraso de permisos (EIA/ITSE)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Crítico (retrasa SOP)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Asesor experto, trámites en paralelo, buffer 6–12 meses.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Compresión de precios (venta)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sz w:val="18"/>
              </w:rPr>
              <w:t>Media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Medio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Estresado en el modelo; diversificar; migrar a tramo regrind (Stage 2).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5616D"/>
        </w:rPr>
        <w:t>9. Hoja de ruta 12 meses y Gate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252A31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96"/>
            <w:shd w:fill="252A31"/>
          </w:tcPr>
          <w:p>
            <w:r/>
            <w:r>
              <w:rPr>
                <w:b/>
                <w:color w:val="FFFFFF"/>
                <w:sz w:val="18"/>
              </w:rPr>
              <w:t>Meses</w:t>
            </w:r>
          </w:p>
        </w:tc>
        <w:tc>
          <w:tcPr>
            <w:tcW w:type="dxa" w:w="6048"/>
            <w:shd w:fill="252A31"/>
          </w:tcPr>
          <w:p>
            <w:r/>
            <w:r>
              <w:rPr>
                <w:b/>
                <w:color w:val="FFFFFF"/>
                <w:sz w:val="18"/>
              </w:rPr>
              <w:t>Hitos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Setup &amp; permisos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M0–M3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EC-RS (inicio día 1); pacto de socios + RMT; nave firmada; layout; montacarga + báscula; primer inbound.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Rampa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M1–M3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Volumen 50→90%; base de proveedores + QC; primeros contenedores consolidados.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Operación estable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M4–M9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~100 t/mes (Base); KPIs: rechazo &lt;10%, margen ≥40%, días inventario &lt;30, caja ≥$3K.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Validar &amp; Gate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8"/>
              </w:rPr>
              <w:t>M10–M12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Probar margen y fiabilidad; Gate 1: Go / cambiar alcance / parar inversión Stage 2.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5616D"/>
        </w:rPr>
        <w:t>10. Fuentes y supuestos</w:t>
      </w:r>
    </w:p>
    <w:p>
      <w:pPr>
        <w:spacing w:after="80"/>
      </w:pPr>
      <w:r>
        <w:rPr>
          <w:b w:val="0"/>
          <w:i w:val="0"/>
          <w:color w:val="6A7280"/>
          <w:sz w:val="18"/>
        </w:rPr>
        <w:t>Precios regrind (benchmark): ChemAnalyst, IMARC, Intratec. Feedstock Perú: QuimiNet + acopio (PET S/0.70–2.60/kg; HDPE/PP/LDPE S/0.30–0.80/kg). Renta Lima Norte: Adondevivir, Nuroa ($2.75–9.5/m²+IGV). RMV 2026 S/1,130: Infobae, BCRP. Datos de empresa: PlasHub_Project_Profile_v2.xlsx, Requerimientos_Almacen_Peru.pptx.</w:t>
      </w:r>
    </w:p>
    <w:p>
      <w:pPr>
        <w:spacing w:after="80"/>
      </w:pPr>
      <w:r>
        <w:rPr>
          <w:b w:val="0"/>
          <w:i/>
          <w:color w:val="6A7280"/>
          <w:sz w:val="18"/>
        </w:rPr>
        <w:t>Notas de honestidad: (1) compra/venta son referencias trianguladas — validar con cotizaciones reales. (2) La pestaña de flujo de caja del Profile v2 tenía un error de fórmula (pagos fijados al precio M1 todo el año) corregido en PlasHub_Project_Profile_v3_corrected.xlsx. (3) "Margen %" es bruto (venta−compra)/venta, antes de OPEX; el margen neto por tonelada en el caso Base es delgado (~$20/t tras todos los costos).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