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252A31"/>
          <w:sz w:val="44"/>
        </w:rPr>
        <w:t>Manual de uso de la app PlasHub</w:t>
      </w:r>
    </w:p>
    <w:p>
      <w:pPr>
        <w:spacing w:after="20"/>
      </w:pPr>
      <w:r>
        <w:rPr>
          <w:i w:val="0"/>
          <w:color w:val="6A7280"/>
          <w:sz w:val="22"/>
        </w:rPr>
        <w:t>Cómo usar cada parámetro editable, qué afecta y cómo leer los resultados · Preparado para la reunión de socios</w:t>
      </w:r>
    </w:p>
    <w:p>
      <w:pPr>
        <w:spacing w:after="120"/>
      </w:pPr>
      <w:r>
        <w:rPr>
          <w:i w:val="0"/>
          <w:color w:val="6A7280"/>
          <w:sz w:val="20"/>
        </w:rPr>
        <w:t>Neo Amaru Global S.A.C. — Factory “Amaru I” · Hub de Consolidación de Plásticos · Lima Norte, Perú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7F0F1"/>
          </w:tcPr>
          <w:p>
            <w:pPr>
              <w:spacing w:after="20" w:before="20"/>
            </w:pPr>
            <w:r/>
            <w:r>
              <w:rPr>
                <w:b w:val="0"/>
                <w:color w:val="10464F"/>
                <w:sz w:val="19"/>
              </w:rPr>
              <w:t>Cada parámetro editable de la app tiene además un ícono (i) — pasa el cursor por encima para ver la misma explicación que aquí, sin salir de la pantalla. Punto de entrada de la app: index.html (landing) o plashub-app.html.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2" w:color="DF6901"/>
        </w:pBdr>
      </w:pPr>
      <w:r>
        <w:rPr>
          <w:b/>
          <w:color w:val="252A31"/>
          <w:sz w:val="30"/>
        </w:rPr>
        <w:t>1 · Qué es la app y cómo se guarda</w:t>
      </w:r>
    </w:p>
    <w:p>
      <w:pPr>
        <w:spacing w:after="80"/>
      </w:pPr>
      <w:r>
        <w:rPr>
          <w:i w:val="0"/>
          <w:sz w:val="21"/>
        </w:rPr>
        <w:t>La app es una herramienta interactiva con cuatro pestañas. Todo lo que tiene fondo crema o un control deslizante es editable: al cambiarlo, los tableros, gráficos y veredictos se recalculan al instante.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736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Pestaña</w:t>
            </w:r>
          </w:p>
        </w:tc>
        <w:tc>
          <w:tcPr>
            <w:tcW w:type="dxa" w:w="4896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Para qué sirve</w:t>
            </w:r>
          </w:p>
        </w:tc>
        <w:tc>
          <w:tcPr>
            <w:tcW w:type="dxa" w:w="1872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Quién la usa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Etapa 1 · Distribución del Almacén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Plano a escala + capacidad del hub de consolidación (cuántas toneladas aguanta la nave).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Raúl (operación)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Etapa 2 · Distribución de Planta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Plano + capacidad de la planta de procesamiento (fase futura, mayor escala).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Raúl (crecimiento)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Plan de Negocio (E1 + E2)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El centro de la reunión. Modelo financiero: precios, costos, capital, flujo de caja, GO/NO-GO.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Ambos</w:t>
            </w:r>
          </w:p>
        </w:tc>
      </w:tr>
      <w:tr>
        <w:tc>
          <w:tcPr>
            <w:tcW w:type="dxa" w:w="27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Tareas y Permisos</w:t>
            </w:r>
          </w:p>
        </w:tc>
        <w:tc>
          <w:tcPr>
            <w:tcW w:type="dxa" w:w="489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Lista maestra de lo que falta (permisos, operación, finanzas) con avance.</w:t>
            </w:r>
          </w:p>
        </w:tc>
        <w:tc>
          <w:tcPr>
            <w:tcW w:type="dxa" w:w="1872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Ambos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7F0F1"/>
          </w:tcPr>
          <w:p>
            <w:pPr>
              <w:spacing w:after="20" w:before="20"/>
            </w:pPr>
            <w:r/>
            <w:r>
              <w:rPr>
                <w:b w:val="0"/>
                <w:color w:val="10464F"/>
                <w:sz w:val="19"/>
              </w:rPr>
              <w:t>IMPORTANTE — los cambios se guardan en el navegador de esta computadora (no en la nube). En otra máquina no se ven tus ediciones. Para llevar tu configuración, usa Exportar config y luego Importar.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2" w:color="DF6901"/>
        </w:pBdr>
      </w:pPr>
      <w:r>
        <w:rPr>
          <w:b/>
          <w:color w:val="252A31"/>
          <w:sz w:val="30"/>
        </w:rPr>
        <w:t>2 · Controles globales</w:t>
      </w:r>
    </w:p>
    <w:p>
      <w:pPr>
        <w:spacing w:after="80"/>
      </w:pPr>
      <w:r>
        <w:rPr>
          <w:i w:val="0"/>
          <w:sz w:val="21"/>
        </w:rPr>
        <w:t>Aparecen en la barra crema superior de cada herramienta: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Control</w:t>
            </w:r>
          </w:p>
        </w:tc>
        <w:tc>
          <w:tcPr>
            <w:tcW w:type="dxa" w:w="6624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Qué hace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Autoguardado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Cada edición se guarda sola en este navegador (verás “✓ guardado”). No hay botón de guardar.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Exportar config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Descarga un .json con TODOS tus números actuales. Respaldo o para compartir.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Importar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Carga un .json exportado y reemplaza la configuración actual.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Restablecer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Borra tus cambios y vuelve a los valores por defecto (pide confirmación).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Casilla “precios verificados” (Plan de Negocio)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Mientras esté sin marcar muestra aviso BORRADOR: los precios son referencias, no cotizaciones. Para la reunión, mantenla sin marcar y dilo abiertamente.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2" w:color="DF6901"/>
        </w:pBdr>
      </w:pPr>
      <w:r>
        <w:rPr>
          <w:b/>
          <w:color w:val="252A31"/>
          <w:sz w:val="30"/>
        </w:rPr>
        <w:t>3 · Guion sugerido para la reunión (~15 min)</w:t>
      </w:r>
    </w:p>
    <w:p>
      <w:pPr>
        <w:spacing w:after="80"/>
      </w:pPr>
      <w:r>
        <w:rPr>
          <w:i w:val="0"/>
          <w:sz w:val="21"/>
        </w:rPr>
        <w:t>Abre la pestaña Plan de Negocio y recorre de arriba hacia abajo: la app ya está ordenada como una conversación.</w:t>
      </w:r>
    </w:p>
    <w:p>
      <w:pPr>
        <w:spacing w:after="60"/>
      </w:pPr>
      <w:r>
        <w:rPr>
          <w:b/>
          <w:color w:val="DF6901"/>
          <w:sz w:val="21"/>
        </w:rPr>
        <w:t xml:space="preserve">1. </w:t>
      </w:r>
      <w:r>
        <w:rPr>
          <w:sz w:val="20"/>
        </w:rPr>
        <w:t>Panel de Decisión GO/NO-GO (arriba del todo). Empieza aquí: “estas son las condiciones para firmar la nave”. Marca las casillas manuales según la realidad de hoy.</w:t>
      </w:r>
    </w:p>
    <w:p>
      <w:pPr>
        <w:spacing w:after="60"/>
      </w:pPr>
      <w:r>
        <w:rPr>
          <w:b/>
          <w:color w:val="DF6901"/>
          <w:sz w:val="21"/>
        </w:rPr>
        <w:t xml:space="preserve">2. </w:t>
      </w:r>
      <w:r>
        <w:rPr>
          <w:sz w:val="20"/>
        </w:rPr>
        <w:t>Resumen ejecutivo. Margen, volumen de equilibrio, EBITDA del caso Base y necesidad de capital.</w:t>
      </w:r>
    </w:p>
    <w:p>
      <w:pPr>
        <w:spacing w:after="60"/>
      </w:pPr>
      <w:r>
        <w:rPr>
          <w:b/>
          <w:color w:val="DF6901"/>
          <w:sz w:val="21"/>
        </w:rPr>
        <w:t xml:space="preserve">3. </w:t>
      </w:r>
      <w:r>
        <w:rPr>
          <w:sz w:val="20"/>
        </w:rPr>
        <w:t>Materiales y precios (§3). De dónde sale el margen. Aclara que los precios son estimados.</w:t>
      </w:r>
    </w:p>
    <w:p>
      <w:pPr>
        <w:spacing w:after="60"/>
      </w:pPr>
      <w:r>
        <w:rPr>
          <w:b/>
          <w:color w:val="DF6901"/>
          <w:sz w:val="21"/>
        </w:rPr>
        <w:t xml:space="preserve">4. </w:t>
      </w:r>
      <w:r>
        <w:rPr>
          <w:sz w:val="20"/>
        </w:rPr>
        <w:t>Slider de volumen (§4). La palanca estrella: arrástralo entre 60 y 120 t/mes y muestra en vivo EBITDA, pozo de caja y break-even.</w:t>
      </w:r>
    </w:p>
    <w:p>
      <w:pPr>
        <w:spacing w:after="60"/>
      </w:pPr>
      <w:r>
        <w:rPr>
          <w:b/>
          <w:color w:val="DF6901"/>
          <w:sz w:val="21"/>
        </w:rPr>
        <w:t xml:space="preserve">5. </w:t>
      </w:r>
      <w:r>
        <w:rPr>
          <w:sz w:val="20"/>
        </w:rPr>
        <w:t>Estrés. Baja el precio de venta a -15% y abre “Estrés de cobro” (Alex se retrasa en M3 y M4). Enseña el peor caso.</w:t>
      </w:r>
    </w:p>
    <w:p>
      <w:pPr>
        <w:spacing w:after="60"/>
      </w:pPr>
      <w:r>
        <w:rPr>
          <w:b/>
          <w:color w:val="DF6901"/>
          <w:sz w:val="21"/>
        </w:rPr>
        <w:t xml:space="preserve">6. </w:t>
      </w:r>
      <w:r>
        <w:rPr>
          <w:sz w:val="20"/>
        </w:rPr>
        <w:t>Brecha de capital (§7). Edita el timing de aportes (Alex M0 / Raúl M1) y prueba el prepago de Alex. Aquí se ve que el problema real es el capital de trabajo.</w:t>
      </w:r>
    </w:p>
    <w:p>
      <w:pPr>
        <w:spacing w:after="60"/>
      </w:pPr>
      <w:r>
        <w:rPr>
          <w:b/>
          <w:color w:val="DF6901"/>
          <w:sz w:val="21"/>
        </w:rPr>
        <w:t xml:space="preserve">7. </w:t>
      </w:r>
      <w:r>
        <w:rPr>
          <w:sz w:val="20"/>
        </w:rPr>
        <w:t>Etapa 2 (§10). Cierra con la visión: cambia el mes de lanzamiento y muestra el salto de EBITDA del procesamiento.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8F5EE"/>
          </w:tcPr>
          <w:p>
            <w:pPr>
              <w:spacing w:after="20" w:before="20"/>
            </w:pPr>
            <w:r/>
            <w:r>
              <w:rPr>
                <w:b w:val="0"/>
                <w:color w:val="1E6B40"/>
                <w:sz w:val="19"/>
              </w:rPr>
              <w:t>Consejo: ten listo el .json exportado antes de la reunión, por si quieres volver a un escenario exacto o presentar desde otra computadora.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2" w:color="DF6901"/>
        </w:pBdr>
      </w:pPr>
      <w:r>
        <w:rPr>
          <w:b/>
          <w:color w:val="252A31"/>
          <w:sz w:val="30"/>
        </w:rPr>
        <w:t>4 · Plan de Negocio — todos los editables</w:t>
      </w:r>
    </w:p>
    <w:p>
      <w:pPr>
        <w:spacing w:before="200" w:after="40"/>
      </w:pPr>
      <w:r>
        <w:rPr>
          <w:b/>
          <w:color w:val="15616D"/>
          <w:sz w:val="21"/>
        </w:rPr>
        <w:t>§3 · MATERIALES Y PRECIOS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4320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Qué es / cómo se usa</w:t>
            </w:r>
          </w:p>
        </w:tc>
        <w:tc>
          <w:tcPr>
            <w:tcW w:type="dxa" w:w="3024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 qué afecta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Material / Frecuencia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Nombre del polímero y si es de alta rotación (frecuente) o no. Renombra, añade o elimina.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Color/agrupación; en el layout E1 cambia la densidad de apilado.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Mix %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Participación de cada material en el tonelaje. No necesita sumar 100 (se normaliza).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Pondera los precios promedio → margen ponderado.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Compra $/t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Precio al que compras ese material por tonelada.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↑ compra = ↓ margen, ↓ EBITDA, pozo más profundo.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Venta $/t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Precio al que despachas el lote consolidado.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Sube ingreso y margen. El supuesto MÁS sensible.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5616D"/>
          <w:sz w:val="21"/>
        </w:rPr>
        <w:t>§4 · VOLUMEN Y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4320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Qué es / cómo se usa</w:t>
            </w:r>
          </w:p>
        </w:tc>
        <w:tc>
          <w:tcPr>
            <w:tcW w:type="dxa" w:w="3024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 qué afecta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Slider de volumen (t/mes)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La palanca #1. Toneladas mensuales en estado estable. Anula el volumen del escenario.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Recalcula en vivo EBITDA, pozo de caja, break-even. Bajo ~82 t el EBITDA es negativo.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Escenarios predefinidos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Atajos a Conservador 40 / Base 100 / Optimista 200 t.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Al hacer clic fijan el slider y el setup CAPEX/OPEX.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Presets de rampa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Curva de arranque: % del objetivo que logras en M1-M2-M3-M4+.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Qué tan rápido subes a régimen. Avisa si M1 &gt; 35%.</w:t>
            </w:r>
          </w:p>
        </w:tc>
      </w:tr>
      <w:tr>
        <w:tc>
          <w:tcPr>
            <w:tcW w:type="dxa" w:w="216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Setup CAPEX/OPEX (A/B)</w:t>
            </w:r>
          </w:p>
        </w:tc>
        <w:tc>
          <w:tcPr>
            <w:tcW w:type="dxa" w:w="432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Lean (A) ~900 m² subarriendo · Full (B) 1,500 m² lease.</w:t>
            </w:r>
          </w:p>
        </w:tc>
        <w:tc>
          <w:tcPr>
            <w:tcW w:type="dxa" w:w="30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Cambia qué tablas de CAPEX (§5) y OPEX (§6) se usan.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5616D"/>
          <w:sz w:val="21"/>
        </w:rPr>
        <w:t>§4 · SLIDERS DE SUPUESTOS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Slider</w:t>
            </w:r>
          </w:p>
        </w:tc>
        <w:tc>
          <w:tcPr>
            <w:tcW w:type="dxa" w:w="3888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Qué es</w:t>
            </w:r>
          </w:p>
        </w:tc>
        <w:tc>
          <w:tcPr>
            <w:tcW w:type="dxa" w:w="3168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 qué afecta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Capital confirmado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Capital total disponible (el timing se edita en §7).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Referencia de la brecha y del break-even de caja.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Estrés precio venta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Sube/baja el precio de venta respecto a §3.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Ingreso, margen, EBITDA. Peor caso.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Estrés precio compra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Sube/baja el precio de compra.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↑ compra = ↓ margen.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Ajuste OPEX fijo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Escala en bloque todo el OPEX de §6.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EBITDA y volumen de equilibrio.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Costo variable $/t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Costo que escala con cada tonelada (flete + drayage).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Margen de contribución; sube el equilibrio.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Desfase de cobro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Meses entre despachar y cobrar.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No cambia el P&amp;L, pero profundiza el pozo de caja.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Desfase de pago a proveedor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Meses de crédito de los proveedores.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Pagar más tarde ALIVIA el pozo de caja.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Meses de setup (M0)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Meses de obra/permisos antes de la 1ª tonelada.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Más setup = pozo más profundo y temprano.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Estrés de cobro (plegable)</w:t>
            </w:r>
          </w:p>
        </w:tc>
        <w:tc>
          <w:tcPr>
            <w:tcW w:type="dxa" w:w="388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Meses en que Alex se retrasa y cuántos meses extra.</w:t>
            </w:r>
          </w:p>
        </w:tc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Profundiza el pozo; muestra riesgo de cliente único.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5616D"/>
          <w:sz w:val="21"/>
        </w:rPr>
        <w:t>§5-§6 · CAPEX Y OPEX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4176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Qué es</w:t>
            </w:r>
          </w:p>
        </w:tc>
        <w:tc>
          <w:tcPr>
            <w:tcW w:type="dxa" w:w="2880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 qué afecta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Líneas de CAPEX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Inversión de una vez (garantía, báscula, permisos). Editable.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CAPEX total → necesidad de capital; sale en M0.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Capital de trabajo (CT)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Reserva para financiar el pozo M1-M3.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Suma a la necesidad total de capital.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Líneas de OPEX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Gasto fijo mensual (renta, sueldos, vigilancia).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↑ OPEX = ↑ equilibrio, ↓ EBITDA.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5616D"/>
          <w:sz w:val="21"/>
        </w:rPr>
        <w:t>§7 · BRECHA DE CAPITAL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744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Qué es</w:t>
            </w:r>
          </w:p>
        </w:tc>
        <w:tc>
          <w:tcPr>
            <w:tcW w:type="dxa" w:w="2880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 qué afecta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Aportes de socios (nombre/monto/mes)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Quién aporta, cuánto y CUÁNDO. Mes 0 = disponible al inicio; mes 1 = llega en M1.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El timing cambia el pozo aunque el total sea igual: si el dinero llega tarde, el pozo se profundiza.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Prepago de Alex (%)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% del valor de un contenedor (~20 t × precio) que Alex paga por adelantado en M0.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Entra como caja al inicio y reduce el pozo. La palanca más rápida.</w:t>
            </w:r>
          </w:p>
        </w:tc>
      </w:tr>
    </w:tbl>
    <w:p>
      <w:pPr>
        <w:spacing w:after="40"/>
      </w:pPr>
    </w:p>
    <w:p>
      <w:pPr>
        <w:spacing w:before="200" w:after="40"/>
      </w:pPr>
      <w:r>
        <w:rPr>
          <w:b/>
          <w:color w:val="15616D"/>
          <w:sz w:val="21"/>
        </w:rPr>
        <w:t>§10 · ETAPA 2 (PROCESAMIENTO)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Parámetro</w:t>
            </w:r>
          </w:p>
        </w:tc>
        <w:tc>
          <w:tcPr>
            <w:tcW w:type="dxa" w:w="3744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Qué es</w:t>
            </w:r>
          </w:p>
        </w:tc>
        <w:tc>
          <w:tcPr>
            <w:tcW w:type="dxa" w:w="2880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 qué afecta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Mes de lanzamiento / Horizonte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Cuándo inviertes el CAPEX de E2 y migras a pellet.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Antes = más margen pero más capital antes.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E1 · Margen neto ($/t)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 sincroniza desde el modelo E1 (botón ↺ Sync E1).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EBITDA de E1 mientras esperas a lanzar E2.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E2 · Volumen / Rampa / Merma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Toneladas objetivo, meses para llegar y % de pérdida.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Ingreso y EBITDA de la fase E2.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E2 · Precio pellet / Costo MP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Precio del pellet ($600-1,300/t) y costo del material.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El gran salto de valor de la E2.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Costo de procesamiento variable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Energía, agua, mano de obra, empaque — por tonelada.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Se suma al costo de materia prima.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CAPEX / OPEX de E2 (tablas)</w:t>
            </w:r>
          </w:p>
        </w:tc>
        <w:tc>
          <w:tcPr>
            <w:tcW w:type="dxa" w:w="374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Equipos/obra (una vez) y gasto mensual de la planta.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Capital de lanzamiento y OPEX desde el arranque.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2" w:color="DF6901"/>
        </w:pBdr>
      </w:pPr>
      <w:r>
        <w:rPr>
          <w:b/>
          <w:color w:val="252A31"/>
          <w:sz w:val="30"/>
        </w:rPr>
        <w:t>5 · Distribución Etapa 1 — todos los editables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7F0F1"/>
          </w:tcPr>
          <w:p>
            <w:pPr>
              <w:spacing w:after="20" w:before="20"/>
            </w:pPr>
            <w:r/>
            <w:r>
              <w:rPr>
                <w:b w:val="0"/>
                <w:color w:val="10464F"/>
                <w:sz w:val="19"/>
              </w:rPr>
              <w:t>Idea clave: el almacén se dimensiona por FUNCIÓN. Las zonas de soporte (oficina, pesaje) se calculan por su driver (personas, equipo) y NO crecen con la nave; el espacio que sobra se vuelve “buffer libre”. Capacidad = mín(límite de almacenamiento, límite de manejo).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4176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2880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 qué afecta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Huella de la nave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Frente, profundidad, altura libre.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Área total → más área = más buffer libre. Avisa si la nave es muy corta.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Materiales y equipo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Taxonomía, mix por material; montacarga vs transpaleta.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El mix dimensiona el almacén por polímero. Con transpaleta la capacidad colapsa.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Supuestos de operación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Montacargas, horas-turno, lead time, movimientos/t, ciclo, utilización.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Capacidad de MANEJO (t/mes) — el cuello de botella real.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Densidades y días de hold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Toneladas por m² y días de inventario objetivo por material.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Buffer = mix% × días × volumen ÷ densidad. ↑ días = más área.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Zonas funcionales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Staff, báscula, spots de clasificación, recepción.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Tamaño de oficina/pesaje/clasificación — independiente de la nave.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m² editables en la tabla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Sobrescribe a mano un área; ↺ vuelve al valor calculado.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Solo esa zona; el resto se recalcula.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2" w:color="DF6901"/>
        </w:pBdr>
      </w:pPr>
      <w:r>
        <w:rPr>
          <w:b/>
          <w:color w:val="252A31"/>
          <w:sz w:val="30"/>
        </w:rPr>
        <w:t>6 · Distribución Etapa 2 — todos los editables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7F0F1"/>
          </w:tcPr>
          <w:p>
            <w:pPr>
              <w:spacing w:after="20" w:before="20"/>
            </w:pPr>
            <w:r/>
            <w:r>
              <w:rPr>
                <w:b w:val="0"/>
                <w:color w:val="10464F"/>
                <w:sz w:val="19"/>
              </w:rPr>
              <w:t>Aquí el cuello de botella es la LÍNEA de procesamiento (no el montacarga). Capacidad = líneas × t/h × horas × turnos × días × utilización. Las zonas de soporte (oficina, lab QA, PTAR) se dimensionan por su driver y no escalan con la nave.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448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Grupo</w:t>
            </w:r>
          </w:p>
        </w:tc>
        <w:tc>
          <w:tcPr>
            <w:tcW w:type="dxa" w:w="4176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2880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A qué afecta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Huella de la nave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Frente, fondo, altura, objetivo t/mes.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Área total y dimensionado de buffers/despacho.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Línea de procesamiento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Líneas, t/h, horas/turno, turnos, días, utilización, merma.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Definen la CAPACIDAD mensual y las toneladas vendibles.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Almacenamiento (buffers)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Densidad y días de buffer de MP y PT.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Área de los almacenes (no el throughput).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Zonas funcionales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Supervisores, técnicos, familias, agua m³/t, PTAR, áreas mínimas.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Oficina, laboratorio, planta de tratamiento de agua, recepción/despacho.</w:t>
            </w:r>
          </w:p>
        </w:tc>
      </w:tr>
      <w:tr>
        <w:tc>
          <w:tcPr>
            <w:tcW w:type="dxa" w:w="244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m² editables en la tabla</w:t>
            </w:r>
          </w:p>
        </w:tc>
        <w:tc>
          <w:tcPr>
            <w:tcW w:type="dxa" w:w="417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Sobrescribe a mano un área de soporte; ↺ al valor funcional.</w:t>
            </w:r>
          </w:p>
        </w:tc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Solo esa zona.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2" w:color="DF6901"/>
        </w:pBdr>
      </w:pPr>
      <w:r>
        <w:rPr>
          <w:b/>
          <w:color w:val="252A31"/>
          <w:sz w:val="30"/>
        </w:rPr>
        <w:t>7 · Tareas y Permisos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336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Qué hace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Casilla de cada tarea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Marca lo completado. Se guarda y se SINCRONIZA con la sección “Permisos” del Plan de Negocio.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Filtros (Etapa/Tipo/Prioridad/Estado)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Ocultan lo que no coincide (no borran). Combínalos.</w:t>
            </w:r>
          </w:p>
        </w:tc>
      </w:tr>
      <w:tr>
        <w:tc>
          <w:tcPr>
            <w:tcW w:type="dxa" w:w="3168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Reiniciar</w:t>
            </w:r>
          </w:p>
        </w:tc>
        <w:tc>
          <w:tcPr>
            <w:tcW w:type="dxa" w:w="6336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Vuelve todas las casillas a su estado inicial.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DF4E3"/>
          </w:tcPr>
          <w:p>
            <w:pPr>
              <w:spacing w:after="20" w:before="20"/>
            </w:pPr>
            <w:r/>
            <w:r>
              <w:rPr>
                <w:b w:val="0"/>
                <w:color w:val="8A5C08"/>
                <w:sz w:val="19"/>
              </w:rPr>
              <w:t>Ruta crítica: EC-RS (MINAM/SIGERSOL) y EIA son los trámites largos (60-180 días). Empieza por ahí — sin EC-RS no se puede operar legalmente.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2" w:color="DF6901"/>
        </w:pBdr>
      </w:pPr>
      <w:r>
        <w:rPr>
          <w:b/>
          <w:color w:val="252A31"/>
          <w:sz w:val="30"/>
        </w:rPr>
        <w:t>8 · Cómo leer los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Salida</w:t>
            </w:r>
          </w:p>
        </w:tc>
        <w:tc>
          <w:tcPr>
            <w:tcW w:type="dxa" w:w="6624"/>
            <w:shd w:val="clear" w:fill="252A31"/>
          </w:tcPr>
          <w:p>
            <w:pPr>
              <w:spacing w:after="20" w:before="20"/>
            </w:pPr>
            <w:r/>
            <w:r>
              <w:rPr>
                <w:b/>
                <w:color w:val="FFFFFF"/>
                <w:sz w:val="18"/>
              </w:rPr>
              <w:t>Qué te dice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Panel GO/NO-GO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Condiciones para firmar la nave. (i) = calculadas; (mano) = las marcas tú. Verde=listo, amarillo=condicional, rojo=no avances.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EBITDA (estable)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Ganancia operativa mensual en régimen, tras OPEX. Negativo = bajo el equilibrio.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Equilibrio (P&amp;L)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Volumen mínimo para EBITDA = 0. Por encima ganas ~$112 por tonelada extra.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Break-even de CAJA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Volumen mínimo para que el banco NUNCA quede negativo. Si dice “no alcanzable”, con el capital actual ningún volumen evita el pozo: el problema es de capital. Sube el “Capital confirmado” y aparecerá un número.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Pozo de caja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El punto más bajo del banco y en qué mes = cuánto dinero necesitas para no quebrar antes de cobrar. La cifra clave para financiamiento.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Matriz de sensibilidad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EBITDA según precio × volumen. Verde=positivo, amarillo=al límite, rojo=pérdida.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Gráfico de caja (M0→M12)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La curva del banco. M0 = setup. La línea roja es el $0: si baja de ahí, insolvencia sin financiamiento.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Tabla P&amp;L (Ejecutiva/Detallada)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Ejecutiva = 4 columnas clave (ideal para presentar). Detallada = los 12 meses.</w:t>
            </w:r>
          </w:p>
        </w:tc>
      </w:tr>
      <w:tr>
        <w:tc>
          <w:tcPr>
            <w:tcW w:type="dxa" w:w="2880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Tablero de capacidad (E1/E2)</w:t>
            </w:r>
          </w:p>
        </w:tc>
        <w:tc>
          <w:tcPr>
            <w:tcW w:type="dxa" w:w="6624"/>
          </w:tcPr>
          <w:p>
            <w:pPr>
              <w:spacing w:after="20" w:before="20"/>
            </w:pPr>
            <w:r/>
            <w:r>
              <w:rPr>
                <w:b w:val="0"/>
                <w:sz w:val="19"/>
              </w:rPr>
              <w:t>Cuántas t/mes aguanta la instalación y si la limita el almacenamiento o el manejo/línea.</w:t>
            </w:r>
          </w:p>
        </w:tc>
      </w:tr>
    </w:tbl>
    <w:p>
      <w:pPr>
        <w:spacing w:after="40"/>
      </w:pPr>
    </w:p>
    <w:p>
      <w:pPr>
        <w:spacing w:before="280" w:after="80"/>
        <w:pBdr>
          <w:bottom w:val="single" w:sz="12" w:space="2" w:color="DF6901"/>
        </w:pBdr>
      </w:pPr>
      <w:r>
        <w:rPr>
          <w:b/>
          <w:color w:val="252A31"/>
          <w:sz w:val="30"/>
        </w:rPr>
        <w:t>9 · Glosario</w:t>
      </w:r>
    </w:p>
    <w:p>
      <w:pPr>
        <w:spacing w:after="40"/>
      </w:pPr>
      <w:r>
        <w:rPr>
          <w:b/>
          <w:color w:val="252A31"/>
          <w:sz w:val="20"/>
        </w:rPr>
        <w:t xml:space="preserve">CAPEX: </w:t>
      </w:r>
      <w:r>
        <w:rPr>
          <w:sz w:val="20"/>
        </w:rPr>
        <w:t>Inversión de una vez (equipos, garantías, permisos). Sale al inicio.</w:t>
      </w:r>
    </w:p>
    <w:p>
      <w:pPr>
        <w:spacing w:after="40"/>
      </w:pPr>
      <w:r>
        <w:rPr>
          <w:b/>
          <w:color w:val="252A31"/>
          <w:sz w:val="20"/>
        </w:rPr>
        <w:t xml:space="preserve">OPEX: </w:t>
      </w:r>
      <w:r>
        <w:rPr>
          <w:sz w:val="20"/>
        </w:rPr>
        <w:t>Gasto fijo mensual (renta, sueldos, servicios) que pagas opere o no.</w:t>
      </w:r>
    </w:p>
    <w:p>
      <w:pPr>
        <w:spacing w:after="40"/>
      </w:pPr>
      <w:r>
        <w:rPr>
          <w:b/>
          <w:color w:val="252A31"/>
          <w:sz w:val="20"/>
        </w:rPr>
        <w:t xml:space="preserve">EBITDA: </w:t>
      </w:r>
      <w:r>
        <w:rPr>
          <w:sz w:val="20"/>
        </w:rPr>
        <w:t>Ganancia operativa antes de intereses, impuestos y depreciación. Aquí ≈ ingreso − costos variables − OPEX fijo.</w:t>
      </w:r>
    </w:p>
    <w:p>
      <w:pPr>
        <w:spacing w:after="40"/>
      </w:pPr>
      <w:r>
        <w:rPr>
          <w:b/>
          <w:color w:val="252A31"/>
          <w:sz w:val="20"/>
        </w:rPr>
        <w:t xml:space="preserve">Margen de contribución ($/t): </w:t>
      </w:r>
      <w:r>
        <w:rPr>
          <w:sz w:val="20"/>
        </w:rPr>
        <w:t>Lo que aporta cada tonelada tras restar compra y costo variable. Cubre el OPEX fijo; lo que sobra es EBITDA.</w:t>
      </w:r>
    </w:p>
    <w:p>
      <w:pPr>
        <w:spacing w:after="40"/>
      </w:pPr>
      <w:r>
        <w:rPr>
          <w:b/>
          <w:color w:val="252A31"/>
          <w:sz w:val="20"/>
        </w:rPr>
        <w:t xml:space="preserve">Capital de trabajo (CT): </w:t>
      </w:r>
      <w:r>
        <w:rPr>
          <w:sz w:val="20"/>
        </w:rPr>
        <w:t>Dinero para financiar el desfase entre pagar (ahora) y cobrar (después). La verdadera brecha de PlasHub.</w:t>
      </w:r>
    </w:p>
    <w:p>
      <w:pPr>
        <w:spacing w:after="40"/>
      </w:pPr>
      <w:r>
        <w:rPr>
          <w:b/>
          <w:color w:val="252A31"/>
          <w:sz w:val="20"/>
        </w:rPr>
        <w:t xml:space="preserve">Pozo de caja: </w:t>
      </w:r>
      <w:r>
        <w:rPr>
          <w:sz w:val="20"/>
        </w:rPr>
        <w:t>El saldo más bajo que alcanza el banco. Define cuánto capital necesitas tener listo.</w:t>
      </w:r>
    </w:p>
    <w:p>
      <w:pPr>
        <w:spacing w:after="40"/>
      </w:pPr>
      <w:r>
        <w:rPr>
          <w:b/>
          <w:color w:val="252A31"/>
          <w:sz w:val="20"/>
        </w:rPr>
        <w:t xml:space="preserve">Equilibrio P&amp;L vs CAJA: </w:t>
      </w:r>
      <w:r>
        <w:rPr>
          <w:sz w:val="20"/>
        </w:rPr>
        <w:t>P&amp;L: volumen donde el EBITDA es 0. CAJA: volumen donde el banco nunca es negativo (más alto y más relevante).</w:t>
      </w:r>
    </w:p>
    <w:p>
      <w:pPr>
        <w:spacing w:after="40"/>
      </w:pPr>
      <w:r>
        <w:rPr>
          <w:b/>
          <w:color w:val="252A31"/>
          <w:sz w:val="20"/>
        </w:rPr>
        <w:t xml:space="preserve">Desfase de cobro / pago (lag): </w:t>
      </w:r>
      <w:r>
        <w:rPr>
          <w:sz w:val="20"/>
        </w:rPr>
        <w:t>Meses entre la venta y el cobro, o entre la compra y el pago al proveedor.</w:t>
      </w:r>
    </w:p>
    <w:p>
      <w:pPr>
        <w:spacing w:after="40"/>
      </w:pPr>
      <w:r>
        <w:rPr>
          <w:b/>
          <w:color w:val="252A31"/>
          <w:sz w:val="20"/>
        </w:rPr>
        <w:t xml:space="preserve">Rampa: </w:t>
      </w:r>
      <w:r>
        <w:rPr>
          <w:sz w:val="20"/>
        </w:rPr>
        <w:t>Qué % del volumen objetivo logras cada mes al arrancar (no se llega al 100% el primer mes).</w:t>
      </w:r>
    </w:p>
    <w:p>
      <w:pPr>
        <w:spacing w:after="40"/>
      </w:pPr>
      <w:r>
        <w:rPr>
          <w:b/>
          <w:color w:val="252A31"/>
          <w:sz w:val="20"/>
        </w:rPr>
        <w:t xml:space="preserve">Merma: </w:t>
      </w:r>
      <w:r>
        <w:rPr>
          <w:sz w:val="20"/>
        </w:rPr>
        <w:t>% de material que se pierde en el proceso (Etapa 2). Reduce las toneladas vendibles.</w:t>
      </w:r>
    </w:p>
    <w:p>
      <w:pPr>
        <w:spacing w:after="40"/>
      </w:pPr>
      <w:r>
        <w:rPr>
          <w:b/>
          <w:color w:val="252A31"/>
          <w:sz w:val="20"/>
        </w:rPr>
        <w:t xml:space="preserve">Throughput vs buffer: </w:t>
      </w:r>
      <w:r>
        <w:rPr>
          <w:sz w:val="20"/>
        </w:rPr>
        <w:t>Throughput = toneladas por mes (límite de manejo/línea). Buffer = inventario en piso (días).</w:t>
      </w:r>
    </w:p>
    <w:p>
      <w:pPr>
        <w:spacing w:after="40"/>
      </w:pPr>
      <w:r>
        <w:rPr>
          <w:b/>
          <w:color w:val="252A31"/>
          <w:sz w:val="20"/>
        </w:rPr>
        <w:t xml:space="preserve">Driver funcional: </w:t>
      </w:r>
      <w:r>
        <w:rPr>
          <w:sz w:val="20"/>
        </w:rPr>
        <w:t>La variable que dimensiona una zona (personas para la oficina, caudal para la PTAR) en vez de un % del área.</w:t>
      </w:r>
    </w:p>
    <w:p>
      <w:pPr>
        <w:spacing w:after="40"/>
      </w:pPr>
      <w:r>
        <w:rPr>
          <w:b/>
          <w:color w:val="252A31"/>
          <w:sz w:val="20"/>
        </w:rPr>
        <w:t xml:space="preserve">EC-RS: </w:t>
      </w:r>
      <w:r>
        <w:rPr>
          <w:sz w:val="20"/>
        </w:rPr>
        <w:t>Registro de Empresa Comercializadora de Residuos Sólidos (MINAM/SIGERSOL). Permiso de ruta crítica para operar legalmente.</w:t>
      </w:r>
    </w:p>
    <w:p>
      <w:pPr>
        <w:spacing w:before="280" w:after="80"/>
        <w:pBdr>
          <w:bottom w:val="single" w:sz="12" w:space="2" w:color="DF6901"/>
        </w:pBdr>
      </w:pPr>
      <w:r>
        <w:rPr>
          <w:b/>
          <w:color w:val="252A31"/>
          <w:sz w:val="30"/>
        </w:rPr>
        <w:t>10 · Lo que NO está confirmado (dilo en la reunión)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DF4E3"/>
          </w:tcPr>
          <w:p>
            <w:pPr>
              <w:spacing w:after="20" w:before="20"/>
            </w:pPr>
            <w:r/>
            <w:r>
              <w:rPr>
                <w:b w:val="0"/>
                <w:color w:val="8A5C08"/>
                <w:sz w:val="19"/>
              </w:rPr>
              <w:t>Precios sin verificar. Compra y venta son referencias trianguladas, no cotizaciones firmes. La casilla “precios verificados” está apagada a propósito. Acción: conseguir 2-3 cotizaciones reales antes de levantar capital.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E9E7"/>
          </w:tcPr>
          <w:p>
            <w:pPr>
              <w:spacing w:after="20" w:before="20"/>
            </w:pPr>
            <w:r/>
            <w:r>
              <w:rPr>
                <w:b w:val="0"/>
                <w:color w:val="9A2D20"/>
                <w:sz w:val="19"/>
              </w:rPr>
              <w:t>La brecha real es capital de trabajo. Aunque el P&amp;L sea positivo, el ciclo comprar-ahora/cobrar-después lleva el banco a negativo en los primeros meses. Por eso el break-even de caja puede salir “no alcanzable” con $22K: hay que cerrar el pozo con prepago de Alex, garantía a 1 mes y/o puente entre socios.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BE9E7"/>
          </w:tcPr>
          <w:p>
            <w:pPr>
              <w:spacing w:after="20" w:before="20"/>
            </w:pPr>
            <w:r/>
            <w:r>
              <w:rPr>
                <w:b w:val="0"/>
                <w:color w:val="9A2D20"/>
                <w:sz w:val="19"/>
              </w:rPr>
              <w:t>Brecha de equipo (Etapa 1). El montacarga contrabalanceado de 3 t es indispensable; con transpaleta la capacidad colapsa. Hay que presupuestar su alquiler o compra.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FDF4E3"/>
          </w:tcPr>
          <w:p>
            <w:pPr>
              <w:spacing w:after="20" w:before="20"/>
            </w:pPr>
            <w:r/>
            <w:r>
              <w:rPr>
                <w:b w:val="0"/>
                <w:color w:val="8A5C08"/>
                <w:sz w:val="19"/>
              </w:rPr>
              <w:t>Etapa 2 = supuestos gruesos. Precio de pellet, CAPEX de equipos, merma y OPEX son de orden de magnitud. Sirve para la visión y el “cuándo lanzar”, no como cifras firmes.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val="clear" w:fill="E7F0F1"/>
          </w:tcPr>
          <w:p>
            <w:pPr>
              <w:spacing w:after="20" w:before="20"/>
            </w:pPr>
            <w:r/>
            <w:r>
              <w:rPr>
                <w:b w:val="0"/>
                <w:color w:val="10464F"/>
                <w:sz w:val="19"/>
              </w:rPr>
              <w:t>SUNAT / precio de transferencia. Alex es proveedor + cliente + socio: las facturas deben ir a precio de mercado y documentarse, y conviene un pacto de socios notariado.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