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color w:val="1F2937"/>
          <w:sz w:val="56"/>
        </w:rPr>
        <w:t>ClaimNX</w:t>
      </w:r>
    </w:p>
    <w:p>
      <w:pPr>
        <w:spacing w:after="200"/>
      </w:pPr>
      <w:r>
        <w:rPr>
          <w:b/>
          <w:color w:val="2563EB"/>
          <w:sz w:val="32"/>
        </w:rPr>
        <w:t>Master Roadmap — Progress Report</w:t>
      </w:r>
    </w:p>
    <w:p>
      <w:pPr>
        <w:spacing w:after="60"/>
      </w:pPr>
      <w:r>
        <w:rPr>
          <w:b/>
        </w:rPr>
        <w:t xml:space="preserve">Prepared: </w:t>
      </w:r>
      <w:r>
        <w:t>30 July 2026 (v5)</w:t>
      </w:r>
    </w:p>
    <w:p>
      <w:pPr>
        <w:spacing w:after="300"/>
      </w:pPr>
      <w:r>
        <w:rPr>
          <w:i/>
          <w:color w:val="6B7280"/>
        </w:rPr>
        <w:t>Basis: This report supersedes the v4 status view for the backend work completed in the current ClaimNX repository. It records only approved architecture and verified implementation evidence.</w:t>
      </w:r>
    </w:p>
    <w:p>
      <w:pPr>
        <w:spacing w:before="360" w:after="160"/>
      </w:pPr>
      <w:r>
        <w:rPr>
          <w:b/>
          <w:color w:val="1F2937"/>
          <w:sz w:val="28"/>
        </w:rPr>
        <w:t>Executive Summary</w:t>
      </w:r>
    </w:p>
    <w:p>
      <w:pPr>
        <w:spacing w:after="120"/>
      </w:pPr>
      <w:r>
        <w:rPr>
          <w:i w:val="0"/>
        </w:rPr>
        <w:t>ClaimNX is being built as an enterprise Healthcare Revenue Cycle Management platform using Domain-Driven Design, Clean Architecture, a Modular Monolith, NestJS, and PostgreSQL on Supabase. The engineering sequence remains architecture-first: approved business design, physical database design, migration, domain, repository, application service, API, and tests.</w:t>
      </w:r>
    </w:p>
    <w:p>
      <w:pPr>
        <w:spacing w:after="120"/>
      </w:pPr>
      <w:r>
        <w:rPr>
          <w:i w:val="0"/>
        </w:rPr>
        <w:t>Phases 1 through 4 are complete. Phase 5 — Tenant Management — is in progress. Within Phase 5, the Hospital Aggregate capability and the Tenant Configuration capability have both completed their approved architecture, SQL migration, backend API, and live integration-test stages.</w:t>
      </w:r>
    </w:p>
    <w:p>
      <w:pPr>
        <w:spacing w:after="120"/>
      </w:pPr>
      <w:r>
        <w:rPr>
          <w:i/>
          <w:color w:val="B45309"/>
        </w:rPr>
        <w:t>The next build must be a formally approved Phase 5 capability. Later phases remain planned and will not begin until their own business and architecture gates are approved.</w:t>
      </w:r>
    </w:p>
    <w:p>
      <w:pPr>
        <w:spacing w:before="360" w:after="160"/>
      </w:pPr>
      <w:r>
        <w:rPr>
          <w:b/>
          <w:color w:val="1F2937"/>
          <w:sz w:val="28"/>
        </w:rPr>
        <w:t>Status Legend</w:t>
      </w:r>
    </w:p>
    <w:tbl>
      <w:tblPr>
        <w:tblW w:type="auto" w:w="0"/>
        <w:tblLook w:firstColumn="1" w:firstRow="1" w:lastColumn="0" w:lastRow="0" w:noHBand="0" w:noVBand="1" w:val="04A0"/>
      </w:tblPr>
      <w:tblGrid>
        <w:gridCol w:w="3360"/>
        <w:gridCol w:w="3360"/>
        <w:gridCol w:w="3360"/>
      </w:tblGrid>
      <w:tr>
        <w:tc>
          <w:tcPr>
            <w:tcW w:type="dxa" w:w="3360"/>
            <w:shd w:fill="DCFCE7"/>
          </w:tcPr>
          <w:p>
            <w:pPr>
              <w:spacing w:after="0"/>
            </w:pPr>
            <w:r/>
            <w:r>
              <w:rPr>
                <w:b/>
                <w:color w:val="166534"/>
                <w:sz w:val="18"/>
              </w:rPr>
              <w:t>COMPLETE</w:t>
            </w:r>
          </w:p>
        </w:tc>
        <w:tc>
          <w:tcPr>
            <w:tcW w:type="dxa" w:w="3360"/>
            <w:shd w:fill="FEF3C7"/>
          </w:tcPr>
          <w:p>
            <w:pPr>
              <w:spacing w:after="0"/>
            </w:pPr>
            <w:r/>
            <w:r>
              <w:rPr>
                <w:b/>
                <w:color w:val="92400E"/>
                <w:sz w:val="18"/>
              </w:rPr>
              <w:t>IN PROGRESS</w:t>
            </w:r>
          </w:p>
        </w:tc>
        <w:tc>
          <w:tcPr>
            <w:tcW w:type="dxa" w:w="3360"/>
            <w:shd w:fill="E5E7EB"/>
          </w:tcPr>
          <w:p>
            <w:pPr>
              <w:spacing w:after="0"/>
            </w:pPr>
            <w:r/>
            <w:r>
              <w:rPr>
                <w:b/>
                <w:color w:val="6B7280"/>
                <w:sz w:val="18"/>
              </w:rPr>
              <w:t>PLANNED</w:t>
            </w:r>
          </w:p>
        </w:tc>
      </w:tr>
    </w:tbl>
    <w:p>
      <w:pPr>
        <w:spacing w:after="120"/>
      </w:pPr>
      <w:r>
        <w:rPr>
          <w:i/>
          <w:color w:val="6B7280"/>
        </w:rPr>
        <w:t>A phase is marked Complete only after its approved scope has passed implementation and validation. A capability within an active phase may be Complete while the overall phase remains In Progress.</w:t>
      </w:r>
    </w:p>
    <w:p>
      <w:pPr>
        <w:spacing w:before="360" w:after="160"/>
      </w:pPr>
      <w:r>
        <w:rPr>
          <w:b/>
          <w:color w:val="1F2937"/>
          <w:sz w:val="28"/>
        </w:rPr>
        <w:t>Master Product Roadmap</w:t>
      </w:r>
    </w:p>
    <w:p>
      <w:pPr>
        <w:spacing w:before="280" w:after="120"/>
      </w:pPr>
      <w:r>
        <w:rPr>
          <w:b/>
          <w:color w:val="2563EB"/>
          <w:sz w:val="23"/>
        </w:rPr>
        <w:t>Phase 1 — Project Foundation</w:t>
      </w:r>
    </w:p>
    <w:tbl>
      <w:tblPr>
        <w:tblW w:type="auto" w:w="0"/>
        <w:tblLayout w:type="fixed"/>
        <w:tblLook w:firstColumn="1" w:firstRow="1" w:lastColumn="0" w:lastRow="0" w:noHBand="0" w:noVBand="1" w:val="04A0"/>
      </w:tblPr>
      <w:tblGrid>
        <w:gridCol w:w="1656"/>
        <w:gridCol w:w="8424"/>
      </w:tblGrid>
      <w:tr>
        <w:tc>
          <w:tcPr>
            <w:tcW w:type="dxa" w:w="5040"/>
            <w:shd w:fill="DCFCE7"/>
          </w:tcPr>
          <w:p>
            <w:pPr>
              <w:spacing w:after="0"/>
            </w:pPr>
            <w:r/>
            <w:r>
              <w:rPr>
                <w:b/>
                <w:color w:val="166534"/>
                <w:sz w:val="17"/>
              </w:rPr>
              <w:t>COMPLETE</w:t>
            </w:r>
          </w:p>
        </w:tc>
        <w:tc>
          <w:tcPr>
            <w:tcW w:type="dxa" w:w="5040"/>
          </w:tcPr>
          <w:p>
            <w:pPr>
              <w:spacing w:after="0"/>
            </w:pPr>
            <w:r/>
            <w:r>
              <w:rPr>
                <w:b w:val="0"/>
                <w:color w:val="1F2937"/>
                <w:sz w:val="19"/>
              </w:rPr>
              <w:t>Establish the NestJS project baseline, TypeScript standards, repository structure, and developer foundations.</w:t>
            </w:r>
          </w:p>
        </w:tc>
      </w:tr>
    </w:tbl>
    <w:p>
      <w:pPr>
        <w:spacing w:before="60" w:after="120"/>
      </w:pPr>
      <w:r>
        <w:rPr>
          <w:b/>
        </w:rPr>
        <w:t xml:space="preserve">Progress: </w:t>
      </w:r>
      <w:r>
        <w:t>Project foundation completed.</w:t>
      </w:r>
    </w:p>
    <w:p>
      <w:pPr>
        <w:spacing w:before="280" w:after="120"/>
      </w:pPr>
      <w:r>
        <w:rPr>
          <w:b/>
          <w:color w:val="2563EB"/>
          <w:sz w:val="23"/>
        </w:rPr>
        <w:t>Phase 2 — Database Foundation</w:t>
      </w:r>
    </w:p>
    <w:tbl>
      <w:tblPr>
        <w:tblW w:type="auto" w:w="0"/>
        <w:tblLayout w:type="fixed"/>
        <w:tblLook w:firstColumn="1" w:firstRow="1" w:lastColumn="0" w:lastRow="0" w:noHBand="0" w:noVBand="1" w:val="04A0"/>
      </w:tblPr>
      <w:tblGrid>
        <w:gridCol w:w="1656"/>
        <w:gridCol w:w="8424"/>
      </w:tblGrid>
      <w:tr>
        <w:tc>
          <w:tcPr>
            <w:tcW w:type="dxa" w:w="5040"/>
            <w:shd w:fill="DCFCE7"/>
          </w:tcPr>
          <w:p>
            <w:pPr>
              <w:spacing w:after="0"/>
            </w:pPr>
            <w:r/>
            <w:r>
              <w:rPr>
                <w:b/>
                <w:color w:val="166534"/>
                <w:sz w:val="17"/>
              </w:rPr>
              <w:t>COMPLETE</w:t>
            </w:r>
          </w:p>
        </w:tc>
        <w:tc>
          <w:tcPr>
            <w:tcW w:type="dxa" w:w="5040"/>
          </w:tcPr>
          <w:p>
            <w:pPr>
              <w:spacing w:after="0"/>
            </w:pPr>
            <w:r/>
            <w:r>
              <w:rPr>
                <w:b w:val="0"/>
                <w:color w:val="1F2937"/>
                <w:sz w:val="19"/>
              </w:rPr>
              <w:t>Establish raw SQL migration discipline, PostgreSQL conventions, audit fields, soft-delete, optimistic concurrency, and tenant-isolation standards.</w:t>
            </w:r>
          </w:p>
        </w:tc>
      </w:tr>
    </w:tbl>
    <w:p>
      <w:pPr>
        <w:spacing w:before="60" w:after="120"/>
      </w:pPr>
      <w:r>
        <w:rPr>
          <w:b/>
        </w:rPr>
        <w:t xml:space="preserve">Progress: </w:t>
      </w:r>
      <w:r>
        <w:t>Database foundation and migration conventions completed.</w:t>
      </w:r>
    </w:p>
    <w:p>
      <w:pPr>
        <w:spacing w:before="280" w:after="120"/>
      </w:pPr>
      <w:r>
        <w:rPr>
          <w:b/>
          <w:color w:val="2563EB"/>
          <w:sz w:val="23"/>
        </w:rPr>
        <w:t>Phase 3 — Identity &amp; Access Management</w:t>
      </w:r>
    </w:p>
    <w:tbl>
      <w:tblPr>
        <w:tblW w:type="auto" w:w="0"/>
        <w:tblLayout w:type="fixed"/>
        <w:tblLook w:firstColumn="1" w:firstRow="1" w:lastColumn="0" w:lastRow="0" w:noHBand="0" w:noVBand="1" w:val="04A0"/>
      </w:tblPr>
      <w:tblGrid>
        <w:gridCol w:w="1656"/>
        <w:gridCol w:w="8424"/>
      </w:tblGrid>
      <w:tr>
        <w:tc>
          <w:tcPr>
            <w:tcW w:type="dxa" w:w="5040"/>
            <w:shd w:fill="DCFCE7"/>
          </w:tcPr>
          <w:p>
            <w:pPr>
              <w:spacing w:after="0"/>
            </w:pPr>
            <w:r/>
            <w:r>
              <w:rPr>
                <w:b/>
                <w:color w:val="166534"/>
                <w:sz w:val="17"/>
              </w:rPr>
              <w:t>COMPLETE</w:t>
            </w:r>
          </w:p>
        </w:tc>
        <w:tc>
          <w:tcPr>
            <w:tcW w:type="dxa" w:w="5040"/>
          </w:tcPr>
          <w:p>
            <w:pPr>
              <w:spacing w:after="0"/>
            </w:pPr>
            <w:r/>
            <w:r>
              <w:rPr>
                <w:b w:val="0"/>
                <w:color w:val="1F2937"/>
                <w:sz w:val="19"/>
              </w:rPr>
              <w:t>Establish users, roles, permissions, authorization, and auditable identity boundaries.</w:t>
            </w:r>
          </w:p>
        </w:tc>
      </w:tr>
    </w:tbl>
    <w:p>
      <w:pPr>
        <w:spacing w:before="60" w:after="120"/>
      </w:pPr>
      <w:r>
        <w:rPr>
          <w:b/>
        </w:rPr>
        <w:t xml:space="preserve">Progress: </w:t>
      </w:r>
      <w:r>
        <w:t>IAM foundation completed.</w:t>
      </w:r>
    </w:p>
    <w:p>
      <w:pPr>
        <w:spacing w:before="280" w:after="120"/>
      </w:pPr>
      <w:r>
        <w:rPr>
          <w:b/>
          <w:color w:val="2563EB"/>
          <w:sz w:val="23"/>
        </w:rPr>
        <w:t>Phase 4 — Platform Foundation</w:t>
      </w:r>
    </w:p>
    <w:tbl>
      <w:tblPr>
        <w:tblW w:type="auto" w:w="0"/>
        <w:tblLayout w:type="fixed"/>
        <w:tblLook w:firstColumn="1" w:firstRow="1" w:lastColumn="0" w:lastRow="0" w:noHBand="0" w:noVBand="1" w:val="04A0"/>
      </w:tblPr>
      <w:tblGrid>
        <w:gridCol w:w="1656"/>
        <w:gridCol w:w="8424"/>
      </w:tblGrid>
      <w:tr>
        <w:tc>
          <w:tcPr>
            <w:tcW w:type="dxa" w:w="5040"/>
            <w:shd w:fill="DCFCE7"/>
          </w:tcPr>
          <w:p>
            <w:pPr>
              <w:spacing w:after="0"/>
            </w:pPr>
            <w:r/>
            <w:r>
              <w:rPr>
                <w:b/>
                <w:color w:val="166534"/>
                <w:sz w:val="17"/>
              </w:rPr>
              <w:t>COMPLETE</w:t>
            </w:r>
          </w:p>
        </w:tc>
        <w:tc>
          <w:tcPr>
            <w:tcW w:type="dxa" w:w="5040"/>
          </w:tcPr>
          <w:p>
            <w:pPr>
              <w:spacing w:after="0"/>
            </w:pPr>
            <w:r/>
            <w:r>
              <w:rPr>
                <w:b w:val="0"/>
                <w:color w:val="1F2937"/>
                <w:sz w:val="19"/>
              </w:rPr>
              <w:t>Establish shared platform capabilities, reference data, location management, and reusable application infrastructure.</w:t>
            </w:r>
          </w:p>
        </w:tc>
      </w:tr>
    </w:tbl>
    <w:p>
      <w:pPr>
        <w:spacing w:before="60" w:after="120"/>
      </w:pPr>
      <w:r>
        <w:rPr>
          <w:b/>
        </w:rPr>
        <w:t xml:space="preserve">Progress: </w:t>
      </w:r>
      <w:r>
        <w:t>Platform foundation completed.</w:t>
      </w:r>
    </w:p>
    <w:p>
      <w:pPr>
        <w:spacing w:before="280" w:after="120"/>
      </w:pPr>
      <w:r>
        <w:rPr>
          <w:b/>
          <w:color w:val="2563EB"/>
          <w:sz w:val="23"/>
        </w:rPr>
        <w:t>Phase 5 — Tenant Management</w:t>
      </w:r>
    </w:p>
    <w:tbl>
      <w:tblPr>
        <w:tblW w:type="auto" w:w="0"/>
        <w:tblLayout w:type="fixed"/>
        <w:tblLook w:firstColumn="1" w:firstRow="1" w:lastColumn="0" w:lastRow="0" w:noHBand="0" w:noVBand="1" w:val="04A0"/>
      </w:tblPr>
      <w:tblGrid>
        <w:gridCol w:w="1656"/>
        <w:gridCol w:w="8424"/>
      </w:tblGrid>
      <w:tr>
        <w:tc>
          <w:tcPr>
            <w:tcW w:type="dxa" w:w="5040"/>
            <w:shd w:fill="FEF3C7"/>
          </w:tcPr>
          <w:p>
            <w:pPr>
              <w:spacing w:after="0"/>
            </w:pPr>
            <w:r/>
            <w:r>
              <w:rPr>
                <w:b/>
                <w:color w:val="92400E"/>
                <w:sz w:val="17"/>
              </w:rPr>
              <w:t>IN PROGRESS</w:t>
            </w:r>
          </w:p>
        </w:tc>
        <w:tc>
          <w:tcPr>
            <w:tcW w:type="dxa" w:w="5040"/>
          </w:tcPr>
          <w:p>
            <w:pPr>
              <w:spacing w:after="0"/>
            </w:pPr>
            <w:r/>
            <w:r>
              <w:rPr>
                <w:b w:val="0"/>
                <w:color w:val="1F2937"/>
                <w:sz w:val="19"/>
              </w:rPr>
              <w:t>Implement tenant-owned capabilities while enforcing organization isolation across the database, services, and REST API.</w:t>
            </w:r>
          </w:p>
        </w:tc>
      </w:tr>
    </w:tbl>
    <w:p>
      <w:pPr>
        <w:spacing w:before="60" w:after="120"/>
      </w:pPr>
      <w:r>
        <w:rPr>
          <w:b/>
        </w:rPr>
        <w:t xml:space="preserve">Progress: </w:t>
      </w:r>
      <w:r>
        <w:t>Hospital Aggregate and Tenant Configuration are complete; the next Phase 5 capability requires approval.</w:t>
      </w:r>
    </w:p>
    <w:p>
      <w:pPr>
        <w:spacing w:before="280" w:after="120"/>
      </w:pPr>
      <w:r>
        <w:rPr>
          <w:b/>
          <w:color w:val="2563EB"/>
          <w:sz w:val="23"/>
        </w:rPr>
        <w:t>Phase 6 — Workflow Platform</w:t>
      </w:r>
    </w:p>
    <w:tbl>
      <w:tblPr>
        <w:tblW w:type="auto" w:w="0"/>
        <w:tblLayout w:type="fixed"/>
        <w:tblLook w:firstColumn="1" w:firstRow="1" w:lastColumn="0" w:lastRow="0" w:noHBand="0" w:noVBand="1" w:val="04A0"/>
      </w:tblPr>
      <w:tblGrid>
        <w:gridCol w:w="1656"/>
        <w:gridCol w:w="8424"/>
      </w:tblGrid>
      <w:tr>
        <w:tc>
          <w:tcPr>
            <w:tcW w:type="dxa" w:w="5040"/>
            <w:shd w:fill="E5E7EB"/>
          </w:tcPr>
          <w:p>
            <w:pPr>
              <w:spacing w:after="0"/>
            </w:pPr>
            <w:r/>
            <w:r>
              <w:rPr>
                <w:b/>
                <w:color w:val="6B7280"/>
                <w:sz w:val="17"/>
              </w:rPr>
              <w:t>PLANNED</w:t>
            </w:r>
          </w:p>
        </w:tc>
        <w:tc>
          <w:tcPr>
            <w:tcW w:type="dxa" w:w="5040"/>
          </w:tcPr>
          <w:p>
            <w:pPr>
              <w:spacing w:after="0"/>
            </w:pPr>
            <w:r/>
            <w:r>
              <w:rPr>
                <w:b w:val="0"/>
                <w:color w:val="1F2937"/>
                <w:sz w:val="19"/>
              </w:rPr>
              <w:t>Introduce workflow states, tasks, assignments, transitions, and operational orchestration.</w:t>
            </w:r>
          </w:p>
        </w:tc>
      </w:tr>
    </w:tbl>
    <w:p>
      <w:pPr>
        <w:spacing w:before="60" w:after="120"/>
      </w:pPr>
      <w:r>
        <w:rPr>
          <w:b/>
        </w:rPr>
        <w:t xml:space="preserve">Progress: </w:t>
      </w:r>
      <w:r>
        <w:t>Not started.</w:t>
      </w:r>
    </w:p>
    <w:p>
      <w:pPr>
        <w:spacing w:before="280" w:after="120"/>
      </w:pPr>
      <w:r>
        <w:rPr>
          <w:b/>
          <w:color w:val="2563EB"/>
          <w:sz w:val="23"/>
        </w:rPr>
        <w:t>Phase 7 — Insurance Foundation</w:t>
      </w:r>
    </w:p>
    <w:tbl>
      <w:tblPr>
        <w:tblW w:type="auto" w:w="0"/>
        <w:tblLayout w:type="fixed"/>
        <w:tblLook w:firstColumn="1" w:firstRow="1" w:lastColumn="0" w:lastRow="0" w:noHBand="0" w:noVBand="1" w:val="04A0"/>
      </w:tblPr>
      <w:tblGrid>
        <w:gridCol w:w="1656"/>
        <w:gridCol w:w="8424"/>
      </w:tblGrid>
      <w:tr>
        <w:tc>
          <w:tcPr>
            <w:tcW w:type="dxa" w:w="5040"/>
            <w:shd w:fill="E5E7EB"/>
          </w:tcPr>
          <w:p>
            <w:pPr>
              <w:spacing w:after="0"/>
            </w:pPr>
            <w:r/>
            <w:r>
              <w:rPr>
                <w:b/>
                <w:color w:val="6B7280"/>
                <w:sz w:val="17"/>
              </w:rPr>
              <w:t>PLANNED</w:t>
            </w:r>
          </w:p>
        </w:tc>
        <w:tc>
          <w:tcPr>
            <w:tcW w:type="dxa" w:w="5040"/>
          </w:tcPr>
          <w:p>
            <w:pPr>
              <w:spacing w:after="0"/>
            </w:pPr>
            <w:r/>
            <w:r>
              <w:rPr>
                <w:b w:val="0"/>
                <w:color w:val="1F2937"/>
                <w:sz w:val="19"/>
              </w:rPr>
              <w:t>Model insurers, products, plans, policies, and payer reference data.</w:t>
            </w:r>
          </w:p>
        </w:tc>
      </w:tr>
    </w:tbl>
    <w:p>
      <w:pPr>
        <w:spacing w:before="60" w:after="120"/>
      </w:pPr>
      <w:r>
        <w:rPr>
          <w:b/>
        </w:rPr>
        <w:t xml:space="preserve">Progress: </w:t>
      </w:r>
      <w:r>
        <w:t>Not started.</w:t>
      </w:r>
    </w:p>
    <w:p>
      <w:pPr>
        <w:spacing w:before="280" w:after="120"/>
      </w:pPr>
      <w:r>
        <w:rPr>
          <w:b/>
          <w:color w:val="2563EB"/>
          <w:sz w:val="23"/>
        </w:rPr>
        <w:t>Phase 8 — Claim Processing</w:t>
      </w:r>
    </w:p>
    <w:tbl>
      <w:tblPr>
        <w:tblW w:type="auto" w:w="0"/>
        <w:tblLayout w:type="fixed"/>
        <w:tblLook w:firstColumn="1" w:firstRow="1" w:lastColumn="0" w:lastRow="0" w:noHBand="0" w:noVBand="1" w:val="04A0"/>
      </w:tblPr>
      <w:tblGrid>
        <w:gridCol w:w="1656"/>
        <w:gridCol w:w="8424"/>
      </w:tblGrid>
      <w:tr>
        <w:tc>
          <w:tcPr>
            <w:tcW w:type="dxa" w:w="5040"/>
            <w:shd w:fill="E5E7EB"/>
          </w:tcPr>
          <w:p>
            <w:pPr>
              <w:spacing w:after="0"/>
            </w:pPr>
            <w:r/>
            <w:r>
              <w:rPr>
                <w:b/>
                <w:color w:val="6B7280"/>
                <w:sz w:val="17"/>
              </w:rPr>
              <w:t>PLANNED</w:t>
            </w:r>
          </w:p>
        </w:tc>
        <w:tc>
          <w:tcPr>
            <w:tcW w:type="dxa" w:w="5040"/>
          </w:tcPr>
          <w:p>
            <w:pPr>
              <w:spacing w:after="0"/>
            </w:pPr>
            <w:r/>
            <w:r>
              <w:rPr>
                <w:b w:val="0"/>
                <w:color w:val="1F2937"/>
                <w:sz w:val="19"/>
              </w:rPr>
              <w:t>Implement the end-to-end healthcare claim lifecycle, including pre-authorization and reimbursement workflows.</w:t>
            </w:r>
          </w:p>
        </w:tc>
      </w:tr>
    </w:tbl>
    <w:p>
      <w:pPr>
        <w:spacing w:before="60" w:after="120"/>
      </w:pPr>
      <w:r>
        <w:rPr>
          <w:b/>
        </w:rPr>
        <w:t xml:space="preserve">Progress: </w:t>
      </w:r>
      <w:r>
        <w:t>Not started.</w:t>
      </w:r>
    </w:p>
    <w:p>
      <w:pPr>
        <w:spacing w:before="280" w:after="120"/>
      </w:pPr>
      <w:r>
        <w:rPr>
          <w:b/>
          <w:color w:val="2563EB"/>
          <w:sz w:val="23"/>
        </w:rPr>
        <w:t>Phase 9 — Financial Management</w:t>
      </w:r>
    </w:p>
    <w:tbl>
      <w:tblPr>
        <w:tblW w:type="auto" w:w="0"/>
        <w:tblLayout w:type="fixed"/>
        <w:tblLook w:firstColumn="1" w:firstRow="1" w:lastColumn="0" w:lastRow="0" w:noHBand="0" w:noVBand="1" w:val="04A0"/>
      </w:tblPr>
      <w:tblGrid>
        <w:gridCol w:w="1656"/>
        <w:gridCol w:w="8424"/>
      </w:tblGrid>
      <w:tr>
        <w:tc>
          <w:tcPr>
            <w:tcW w:type="dxa" w:w="5040"/>
            <w:shd w:fill="E5E7EB"/>
          </w:tcPr>
          <w:p>
            <w:pPr>
              <w:spacing w:after="0"/>
            </w:pPr>
            <w:r/>
            <w:r>
              <w:rPr>
                <w:b/>
                <w:color w:val="6B7280"/>
                <w:sz w:val="17"/>
              </w:rPr>
              <w:t>PLANNED</w:t>
            </w:r>
          </w:p>
        </w:tc>
        <w:tc>
          <w:tcPr>
            <w:tcW w:type="dxa" w:w="5040"/>
          </w:tcPr>
          <w:p>
            <w:pPr>
              <w:spacing w:after="0"/>
            </w:pPr>
            <w:r/>
            <w:r>
              <w:rPr>
                <w:b w:val="0"/>
                <w:color w:val="1F2937"/>
                <w:sz w:val="19"/>
              </w:rPr>
              <w:t>Implement settlements, receivables, reconciliation, and financial controls.</w:t>
            </w:r>
          </w:p>
        </w:tc>
      </w:tr>
    </w:tbl>
    <w:p>
      <w:pPr>
        <w:spacing w:before="60" w:after="120"/>
      </w:pPr>
      <w:r>
        <w:rPr>
          <w:b/>
        </w:rPr>
        <w:t xml:space="preserve">Progress: </w:t>
      </w:r>
      <w:r>
        <w:t>Not started.</w:t>
      </w:r>
    </w:p>
    <w:p>
      <w:pPr>
        <w:spacing w:before="280" w:after="120"/>
      </w:pPr>
      <w:r>
        <w:rPr>
          <w:b/>
          <w:color w:val="2563EB"/>
          <w:sz w:val="23"/>
        </w:rPr>
        <w:t>Phase 10 — AI &amp; Automation</w:t>
      </w:r>
    </w:p>
    <w:tbl>
      <w:tblPr>
        <w:tblW w:type="auto" w:w="0"/>
        <w:tblLayout w:type="fixed"/>
        <w:tblLook w:firstColumn="1" w:firstRow="1" w:lastColumn="0" w:lastRow="0" w:noHBand="0" w:noVBand="1" w:val="04A0"/>
      </w:tblPr>
      <w:tblGrid>
        <w:gridCol w:w="1656"/>
        <w:gridCol w:w="8424"/>
      </w:tblGrid>
      <w:tr>
        <w:tc>
          <w:tcPr>
            <w:tcW w:type="dxa" w:w="5040"/>
            <w:shd w:fill="E5E7EB"/>
          </w:tcPr>
          <w:p>
            <w:pPr>
              <w:spacing w:after="0"/>
            </w:pPr>
            <w:r/>
            <w:r>
              <w:rPr>
                <w:b/>
                <w:color w:val="6B7280"/>
                <w:sz w:val="17"/>
              </w:rPr>
              <w:t>PLANNED</w:t>
            </w:r>
          </w:p>
        </w:tc>
        <w:tc>
          <w:tcPr>
            <w:tcW w:type="dxa" w:w="5040"/>
          </w:tcPr>
          <w:p>
            <w:pPr>
              <w:spacing w:after="0"/>
            </w:pPr>
            <w:r/>
            <w:r>
              <w:rPr>
                <w:b w:val="0"/>
                <w:color w:val="1F2937"/>
                <w:sz w:val="19"/>
              </w:rPr>
              <w:t>Introduce document intelligence, assisted adjudication, automation, and fraud-support capabilities.</w:t>
            </w:r>
          </w:p>
        </w:tc>
      </w:tr>
    </w:tbl>
    <w:p>
      <w:pPr>
        <w:spacing w:before="60" w:after="120"/>
      </w:pPr>
      <w:r>
        <w:rPr>
          <w:b/>
        </w:rPr>
        <w:t xml:space="preserve">Progress: </w:t>
      </w:r>
      <w:r>
        <w:t>Not started.</w:t>
      </w:r>
    </w:p>
    <w:p>
      <w:pPr>
        <w:spacing w:before="280" w:after="120"/>
      </w:pPr>
      <w:r>
        <w:rPr>
          <w:b/>
          <w:color w:val="2563EB"/>
          <w:sz w:val="23"/>
        </w:rPr>
        <w:t>Phase 11 — Reporting &amp; BI</w:t>
      </w:r>
    </w:p>
    <w:tbl>
      <w:tblPr>
        <w:tblW w:type="auto" w:w="0"/>
        <w:tblLayout w:type="fixed"/>
        <w:tblLook w:firstColumn="1" w:firstRow="1" w:lastColumn="0" w:lastRow="0" w:noHBand="0" w:noVBand="1" w:val="04A0"/>
      </w:tblPr>
      <w:tblGrid>
        <w:gridCol w:w="1656"/>
        <w:gridCol w:w="8424"/>
      </w:tblGrid>
      <w:tr>
        <w:tc>
          <w:tcPr>
            <w:tcW w:type="dxa" w:w="5040"/>
            <w:shd w:fill="E5E7EB"/>
          </w:tcPr>
          <w:p>
            <w:pPr>
              <w:spacing w:after="0"/>
            </w:pPr>
            <w:r/>
            <w:r>
              <w:rPr>
                <w:b/>
                <w:color w:val="6B7280"/>
                <w:sz w:val="17"/>
              </w:rPr>
              <w:t>PLANNED</w:t>
            </w:r>
          </w:p>
        </w:tc>
        <w:tc>
          <w:tcPr>
            <w:tcW w:type="dxa" w:w="5040"/>
          </w:tcPr>
          <w:p>
            <w:pPr>
              <w:spacing w:after="0"/>
            </w:pPr>
            <w:r/>
            <w:r>
              <w:rPr>
                <w:b w:val="0"/>
                <w:color w:val="1F2937"/>
                <w:sz w:val="19"/>
              </w:rPr>
              <w:t>Deliver operational dashboards, reporting models, and governed analytics.</w:t>
            </w:r>
          </w:p>
        </w:tc>
      </w:tr>
    </w:tbl>
    <w:p>
      <w:pPr>
        <w:spacing w:before="60" w:after="120"/>
      </w:pPr>
      <w:r>
        <w:rPr>
          <w:b/>
        </w:rPr>
        <w:t xml:space="preserve">Progress: </w:t>
      </w:r>
      <w:r>
        <w:t>Not started.</w:t>
      </w:r>
    </w:p>
    <w:p>
      <w:pPr>
        <w:spacing w:before="280" w:after="120"/>
      </w:pPr>
      <w:r>
        <w:rPr>
          <w:b/>
          <w:color w:val="2563EB"/>
          <w:sz w:val="23"/>
        </w:rPr>
        <w:t>Phase 12 — React Frontend</w:t>
      </w:r>
    </w:p>
    <w:tbl>
      <w:tblPr>
        <w:tblW w:type="auto" w:w="0"/>
        <w:tblLayout w:type="fixed"/>
        <w:tblLook w:firstColumn="1" w:firstRow="1" w:lastColumn="0" w:lastRow="0" w:noHBand="0" w:noVBand="1" w:val="04A0"/>
      </w:tblPr>
      <w:tblGrid>
        <w:gridCol w:w="1656"/>
        <w:gridCol w:w="8424"/>
      </w:tblGrid>
      <w:tr>
        <w:tc>
          <w:tcPr>
            <w:tcW w:type="dxa" w:w="5040"/>
            <w:shd w:fill="E5E7EB"/>
          </w:tcPr>
          <w:p>
            <w:pPr>
              <w:spacing w:after="0"/>
            </w:pPr>
            <w:r/>
            <w:r>
              <w:rPr>
                <w:b/>
                <w:color w:val="6B7280"/>
                <w:sz w:val="17"/>
              </w:rPr>
              <w:t>PLANNED</w:t>
            </w:r>
          </w:p>
        </w:tc>
        <w:tc>
          <w:tcPr>
            <w:tcW w:type="dxa" w:w="5040"/>
          </w:tcPr>
          <w:p>
            <w:pPr>
              <w:spacing w:after="0"/>
            </w:pPr>
            <w:r/>
            <w:r>
              <w:rPr>
                <w:b w:val="0"/>
                <w:color w:val="1F2937"/>
                <w:sz w:val="19"/>
              </w:rPr>
              <w:t>Integrate a React SPA only after the corresponding backend contracts and workflows are approved and stable.</w:t>
            </w:r>
          </w:p>
        </w:tc>
      </w:tr>
    </w:tbl>
    <w:p>
      <w:pPr>
        <w:spacing w:before="60" w:after="120"/>
      </w:pPr>
      <w:r>
        <w:rPr>
          <w:b/>
        </w:rPr>
        <w:t xml:space="preserve">Progress: </w:t>
      </w:r>
      <w:r>
        <w:t>Future phase.</w:t>
      </w:r>
    </w:p>
    <w:p>
      <w:pPr>
        <w:spacing w:before="280" w:after="120"/>
      </w:pPr>
      <w:r>
        <w:rPr>
          <w:b/>
          <w:color w:val="2563EB"/>
          <w:sz w:val="23"/>
        </w:rPr>
        <w:t>Phase 13 — Production Readiness</w:t>
      </w:r>
    </w:p>
    <w:tbl>
      <w:tblPr>
        <w:tblW w:type="auto" w:w="0"/>
        <w:tblLayout w:type="fixed"/>
        <w:tblLook w:firstColumn="1" w:firstRow="1" w:lastColumn="0" w:lastRow="0" w:noHBand="0" w:noVBand="1" w:val="04A0"/>
      </w:tblPr>
      <w:tblGrid>
        <w:gridCol w:w="1656"/>
        <w:gridCol w:w="8424"/>
      </w:tblGrid>
      <w:tr>
        <w:tc>
          <w:tcPr>
            <w:tcW w:type="dxa" w:w="5040"/>
            <w:shd w:fill="E5E7EB"/>
          </w:tcPr>
          <w:p>
            <w:pPr>
              <w:spacing w:after="0"/>
            </w:pPr>
            <w:r/>
            <w:r>
              <w:rPr>
                <w:b/>
                <w:color w:val="6B7280"/>
                <w:sz w:val="17"/>
              </w:rPr>
              <w:t>PLANNED</w:t>
            </w:r>
          </w:p>
        </w:tc>
        <w:tc>
          <w:tcPr>
            <w:tcW w:type="dxa" w:w="5040"/>
          </w:tcPr>
          <w:p>
            <w:pPr>
              <w:spacing w:after="0"/>
            </w:pPr>
            <w:r/>
            <w:r>
              <w:rPr>
                <w:b w:val="0"/>
                <w:color w:val="1F2937"/>
                <w:sz w:val="19"/>
              </w:rPr>
              <w:t>Complete production security, observability, resilience, deployment, disaster recovery, and operational readiness.</w:t>
            </w:r>
          </w:p>
        </w:tc>
      </w:tr>
    </w:tbl>
    <w:p>
      <w:pPr>
        <w:spacing w:before="60" w:after="120"/>
      </w:pPr>
      <w:r>
        <w:rPr>
          <w:b/>
        </w:rPr>
        <w:t xml:space="preserve">Progress: </w:t>
      </w:r>
      <w:r>
        <w:t>Future phase.</w:t>
      </w:r>
    </w:p>
    <w:p>
      <w:r>
        <w:br w:type="page"/>
      </w:r>
    </w:p>
    <w:p>
      <w:pPr>
        <w:spacing w:before="360" w:after="160"/>
      </w:pPr>
      <w:r>
        <w:rPr>
          <w:b/>
          <w:color w:val="1F2937"/>
          <w:sz w:val="28"/>
        </w:rPr>
        <w:t>Phase 5 Delivery Evidence</w:t>
      </w:r>
    </w:p>
    <w:p>
      <w:pPr>
        <w:spacing w:before="280" w:after="120"/>
      </w:pPr>
      <w:r>
        <w:rPr>
          <w:b/>
          <w:color w:val="2563EB"/>
          <w:sz w:val="23"/>
        </w:rPr>
        <w:t>Completed Capability: Hospital Aggregate</w:t>
      </w:r>
    </w:p>
    <w:p>
      <w:pPr>
        <w:spacing w:after="120"/>
      </w:pPr>
      <w:r>
        <w:rPr>
          <w:i w:val="0"/>
        </w:rPr>
        <w:t>The Hospital bounded context was completed without changing the approved aggregate boundary: Hospital is the aggregate root; Hospital Address, Hospital Contact, and Hospital Department are child entities. There is no separate Hospital Profile entity, and organization members remain owned by Organization/IAM.</w:t>
      </w:r>
    </w:p>
    <w:p>
      <w:pPr>
        <w:spacing w:after="60"/>
        <w:ind w:left="317" w:hanging="202"/>
      </w:pPr>
      <w:r>
        <w:t>• Approved physical design for Hospital, Hospital Address, Hospital Contact, and Hospital Department.</w:t>
      </w:r>
    </w:p>
    <w:p>
      <w:pPr>
        <w:spacing w:after="60"/>
        <w:ind w:left="317" w:hanging="202"/>
      </w:pPr>
      <w:r>
        <w:t>• Raw SQL migrations applied safely to the live Supabase database, including legacy evolution and primary-child integrity.</w:t>
      </w:r>
    </w:p>
    <w:p>
      <w:pPr>
        <w:spacing w:after="60"/>
        <w:ind w:left="317" w:hanging="202"/>
      </w:pPr>
      <w:r>
        <w:t>• Tenant-scoped REST API with optimistic concurrency, soft deletion, audit fields, and primary address/contact reassignment.</w:t>
      </w:r>
    </w:p>
    <w:p>
      <w:pPr>
        <w:spacing w:after="60"/>
        <w:ind w:left="317" w:hanging="202"/>
      </w:pPr>
      <w:r>
        <w:t>• Live integration tests passed for creation, reads, writes, tenant isolation (403), validation (400), duplicate and stale-version protection (409), and rollback behavior.</w:t>
      </w:r>
    </w:p>
    <w:p>
      <w:pPr>
        <w:spacing w:before="280" w:after="120"/>
      </w:pPr>
      <w:r>
        <w:rPr>
          <w:b/>
          <w:color w:val="2563EB"/>
          <w:sz w:val="23"/>
        </w:rPr>
        <w:t>Completed Capability: Tenant Configuration</w:t>
      </w:r>
    </w:p>
    <w:p>
      <w:pPr>
        <w:spacing w:after="120"/>
      </w:pPr>
      <w:r>
        <w:rPr>
          <w:i w:val="0"/>
        </w:rPr>
        <w:t>Tenant Configuration is governed by a platform-owned Configuration Definition catalogue and organization-owned Configuration Override records. Effective configuration resolves an active organization override first and otherwise uses the active platform default.</w:t>
      </w:r>
    </w:p>
    <w:p>
      <w:pPr>
        <w:spacing w:after="60"/>
        <w:ind w:left="317" w:hanging="202"/>
      </w:pPr>
      <w:r>
        <w:t>• Configuration Definition catalogue created and seeded with five approved initial platform keys.</w:t>
      </w:r>
    </w:p>
    <w:p>
      <w:pPr>
        <w:spacing w:after="60"/>
        <w:ind w:left="317" w:hanging="202"/>
      </w:pPr>
      <w:r>
        <w:t>• Organization Configuration legacy table evolved forward to retain compatibility while enforcing definition ownership and active uniqueness.</w:t>
      </w:r>
    </w:p>
    <w:p>
      <w:pPr>
        <w:spacing w:after="60"/>
        <w:ind w:left="317" w:hanging="202"/>
      </w:pPr>
      <w:r>
        <w:t>• Tenant-scoped create, update, activate, deactivate, retire, and effective-resolution functions implemented with audit fields and optimistic concurrency.</w:t>
      </w:r>
    </w:p>
    <w:p>
      <w:pPr>
        <w:spacing w:after="60"/>
        <w:ind w:left="317" w:hanging="202"/>
      </w:pPr>
      <w:r>
        <w:t>• NestJS domain, repository, application, DTO, controller, validation, unit tests, build checks, and live API integration tests completed.</w:t>
      </w:r>
    </w:p>
    <w:p>
      <w:pPr>
        <w:spacing w:after="60"/>
        <w:ind w:left="317" w:hanging="202"/>
      </w:pPr>
      <w:r>
        <w:t>• Effective default resolution, organization override resolution, tenant isolation (403), invalid-value rejection (400), stale-version protection (409), and soft-retire behavior verified.</w:t>
      </w:r>
    </w:p>
    <w:p>
      <w:pPr>
        <w:spacing w:before="360" w:after="160"/>
      </w:pPr>
      <w:r>
        <w:rPr>
          <w:b/>
          <w:color w:val="1F2937"/>
          <w:sz w:val="28"/>
        </w:rPr>
        <w:t>Current Position and Next Decision</w:t>
      </w:r>
    </w:p>
    <w:p>
      <w:pPr>
        <w:spacing w:after="120"/>
      </w:pPr>
      <w:r>
        <w:rPr>
          <w:i w:val="0"/>
        </w:rPr>
        <w:t>Current position: ClaimNX is still in Phase 5 — Tenant Management. The completed Hospital and Tenant Configuration capabilities are production-oriented backend building blocks; they do not automatically close the entire phase.</w:t>
      </w:r>
    </w:p>
    <w:p>
      <w:pPr>
        <w:spacing w:after="120"/>
      </w:pPr>
      <w:r>
        <w:rPr>
          <w:i/>
          <w:color w:val="B45309"/>
        </w:rPr>
        <w:t>Next required decision: approve the next Tenant Management business capability and begin again at Business Understanding. The implementation must not skip directly to migrations or NestJS code.</w:t>
      </w:r>
    </w:p>
    <w:p>
      <w:pPr>
        <w:spacing w:before="360" w:after="160"/>
      </w:pPr>
      <w:r>
        <w:rPr>
          <w:b/>
          <w:color w:val="1F2937"/>
          <w:sz w:val="28"/>
        </w:rPr>
        <w:t>Delivery Governance</w:t>
      </w:r>
    </w:p>
    <w:p>
      <w:pPr>
        <w:spacing w:after="120"/>
      </w:pPr>
      <w:r>
        <w:rPr>
          <w:i w:val="0"/>
        </w:rPr>
        <w:t>Every future capability will follow the approved sequence: Business Understanding, Domain Analysis, Bounded Context, Aggregate Design, ERD, Architecture Review, API Design, Workflow Design, Implementation Plan, Physical Database Design, SQL Migration Scripts, Domain Layer, Repository Layer, Application Layer, API Layer, Testing, and finally Frontend.</w:t>
      </w:r>
    </w:p>
    <w:p>
      <w:pPr>
        <w:spacing w:after="120"/>
      </w:pPr>
      <w:r>
        <w:rPr>
          <w:i w:val="0"/>
        </w:rPr>
        <w:t>Raw SQL migrations remain the database source of truth. Every business table requires UUID identifiers, audit fields, soft delete, a version column, tenant isolation, and reviewed indexes and constraints.</w:t>
      </w:r>
    </w:p>
    <w:p>
      <w:pPr>
        <w:spacing w:after="120"/>
      </w:pPr>
      <w:r>
        <w:rPr>
          <w:i/>
          <w:color w:val="6B7280"/>
        </w:rPr>
        <w:t>This roadmap is a planning and governance aid. It should be updated after a phase gate or a verified capability milestone, not after unreviewed code changes.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2026-07-29T10:45:39.919Z</dcterms:created>
  <dcterms:modified xsi:type="dcterms:W3CDTF">2026-07-29T10:45:39.921Z</dcterms:modified>
</cp:coreProperties>
</file>

<file path=docProps/custom.xml><?xml version="1.0" encoding="utf-8"?>
<Properties xmlns="http://schemas.openxmlformats.org/officeDocument/2006/custom-properties" xmlns:vt="http://schemas.openxmlformats.org/officeDocument/2006/docPropsVTypes"/>
</file>