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DA9694"/>
          <w:left w:val="single" w:sz="4" w:space="0" w:color="DA9694"/>
          <w:bottom w:val="single" w:sz="4" w:space="0" w:color="DA9694"/>
          <w:right w:val="single" w:sz="4" w:space="0" w:color="DA9694"/>
          <w:insideH w:val="single" w:sz="4" w:space="0" w:color="DA9694"/>
          <w:insideV w:val="single" w:sz="4" w:space="0" w:color="DA9694"/>
        </w:tblBorders>
        <w:tblLook w:val="04A0" w:firstRow="1" w:lastRow="0" w:firstColumn="1" w:lastColumn="0" w:noHBand="0" w:noVBand="1"/>
      </w:tblPr>
      <w:tblGrid>
        <w:gridCol w:w="5063"/>
        <w:gridCol w:w="5085"/>
        <w:gridCol w:w="5241"/>
      </w:tblGrid>
      <w:tr w:rsidR="008D40A1" w:rsidRPr="008D40A1" w:rsidTr="00186DC9">
        <w:trPr>
          <w:trHeight w:val="300"/>
        </w:trPr>
        <w:tc>
          <w:tcPr>
            <w:tcW w:w="1645" w:type="pct"/>
            <w:shd w:val="clear" w:color="C0504D" w:fill="C0504D"/>
            <w:vAlign w:val="bottom"/>
            <w:hideMark/>
          </w:tcPr>
          <w:p w:rsidR="008D40A1" w:rsidRPr="008D40A1" w:rsidRDefault="008D40A1" w:rsidP="008D40A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8D40A1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PROBLEMA</w:t>
            </w:r>
          </w:p>
        </w:tc>
        <w:tc>
          <w:tcPr>
            <w:tcW w:w="1652" w:type="pct"/>
            <w:shd w:val="clear" w:color="C0504D" w:fill="C0504D"/>
            <w:vAlign w:val="bottom"/>
            <w:hideMark/>
          </w:tcPr>
          <w:p w:rsidR="008D40A1" w:rsidRPr="008D40A1" w:rsidRDefault="008D40A1" w:rsidP="008D40A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8D40A1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TÉCNICA DE SOLUCIÓN</w:t>
            </w:r>
          </w:p>
        </w:tc>
        <w:tc>
          <w:tcPr>
            <w:tcW w:w="1704" w:type="pct"/>
            <w:shd w:val="clear" w:color="C0504D" w:fill="C0504D"/>
            <w:vAlign w:val="bottom"/>
            <w:hideMark/>
          </w:tcPr>
          <w:p w:rsidR="008D40A1" w:rsidRPr="008D40A1" w:rsidRDefault="008D40A1" w:rsidP="008D40A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8D40A1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RESULTADOS</w:t>
            </w:r>
          </w:p>
        </w:tc>
      </w:tr>
      <w:tr w:rsidR="008D40A1" w:rsidRPr="008D40A1" w:rsidTr="00186DC9">
        <w:trPr>
          <w:trHeight w:val="900"/>
        </w:trPr>
        <w:tc>
          <w:tcPr>
            <w:tcW w:w="1645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diaria de productos alimenticios perecederos [HGS17]</w:t>
            </w:r>
          </w:p>
        </w:tc>
        <w:tc>
          <w:tcPr>
            <w:tcW w:w="1652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• ARIMA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multivariante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4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Aumenta la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disponibilidaddad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.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Disminuye la pérdida económica.</w:t>
            </w:r>
          </w:p>
        </w:tc>
      </w:tr>
      <w:tr w:rsidR="008D40A1" w:rsidRPr="008D40A1" w:rsidTr="00186DC9">
        <w:trPr>
          <w:trHeight w:val="900"/>
        </w:trPr>
        <w:tc>
          <w:tcPr>
            <w:tcW w:w="1645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anual de gas natural para la ciudad de Sakarya en Turquía [AY16]</w:t>
            </w:r>
          </w:p>
        </w:tc>
        <w:tc>
          <w:tcPr>
            <w:tcW w:w="1652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de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Holt-Winters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. 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</w:r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• ARIMA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estacional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4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Resultados satisfactorios.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Diferencias entre cada método son muy bajas.</w:t>
            </w:r>
          </w:p>
        </w:tc>
      </w:tr>
      <w:tr w:rsidR="008D40A1" w:rsidRPr="008D40A1" w:rsidTr="00186DC9">
        <w:trPr>
          <w:trHeight w:val="900"/>
        </w:trPr>
        <w:tc>
          <w:tcPr>
            <w:tcW w:w="1645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Pronóstico a corto plazo de la llegada de turistas en la ciudad de Montenegro [Big12]</w:t>
            </w:r>
          </w:p>
        </w:tc>
        <w:tc>
          <w:tcPr>
            <w:tcW w:w="1652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• ARIMA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estacional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1704" w:type="pct"/>
            <w:shd w:val="clear" w:color="F2DCDB" w:fill="F2DCDB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El modelo predijo un crecimiento de 7.25% en la llegada de turistas y hubo un crecimiento real de 8.74%.</w:t>
            </w:r>
          </w:p>
        </w:tc>
      </w:tr>
      <w:tr w:rsidR="008D40A1" w:rsidRPr="008D40A1" w:rsidTr="00186DC9">
        <w:trPr>
          <w:trHeight w:val="1800"/>
        </w:trPr>
        <w:tc>
          <w:tcPr>
            <w:tcW w:w="1645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en una cadena farmacéutica minorista (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retail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)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Apollo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Pharmacy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que cuenta con 70 puntos de venta en la India [LAAS14]</w:t>
            </w:r>
          </w:p>
        </w:tc>
        <w:tc>
          <w:tcPr>
            <w:tcW w:w="1652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Promedio Móvil.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 xml:space="preserve">•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Simple.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</w:r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•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Suavizamiento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>Exponencial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</w:rPr>
              <w:t xml:space="preserve"> de Winters.</w:t>
            </w:r>
          </w:p>
        </w:tc>
        <w:tc>
          <w:tcPr>
            <w:tcW w:w="1704" w:type="pct"/>
            <w:shd w:val="clear" w:color="auto" w:fill="auto"/>
            <w:vAlign w:val="center"/>
            <w:hideMark/>
          </w:tcPr>
          <w:p w:rsidR="008D40A1" w:rsidRPr="008D40A1" w:rsidRDefault="008D40A1" w:rsidP="008D40A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Para productos de demanda constante el método de Promedio Móvil tiene una mayor precisión.</w:t>
            </w:r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 xml:space="preserve">• Para productos estacionales el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de </w:t>
            </w:r>
            <w:proofErr w:type="spellStart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Winters</w:t>
            </w:r>
            <w:proofErr w:type="spellEnd"/>
            <w:r w:rsidRPr="008D40A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tiene mejor pronóstico</w:t>
            </w:r>
          </w:p>
        </w:tc>
      </w:tr>
    </w:tbl>
    <w:p w:rsidR="00110549" w:rsidRPr="008A15C8" w:rsidRDefault="00110549">
      <w:pPr>
        <w:rPr>
          <w:lang w:val="es-PY"/>
        </w:rPr>
      </w:pPr>
    </w:p>
    <w:p w:rsidR="004651F7" w:rsidRDefault="004651F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rPr>
          <w:lang w:val="es-PY"/>
        </w:rPr>
      </w:pPr>
    </w:p>
    <w:p w:rsidR="006F0117" w:rsidRDefault="006F0117">
      <w:pPr>
        <w:spacing w:after="160" w:line="259" w:lineRule="auto"/>
        <w:rPr>
          <w:lang w:val="es-PY"/>
        </w:rPr>
      </w:pPr>
      <w:r>
        <w:rPr>
          <w:lang w:val="es-PY"/>
        </w:rPr>
        <w:br w:type="page"/>
      </w:r>
    </w:p>
    <w:p w:rsidR="006F0117" w:rsidRPr="008A15C8" w:rsidRDefault="006F0117">
      <w:pPr>
        <w:rPr>
          <w:lang w:val="es-PY"/>
        </w:rPr>
      </w:pPr>
    </w:p>
    <w:tbl>
      <w:tblPr>
        <w:tblW w:w="5000" w:type="pct"/>
        <w:tblBorders>
          <w:top w:val="single" w:sz="4" w:space="0" w:color="DA9694"/>
          <w:left w:val="single" w:sz="4" w:space="0" w:color="DA9694"/>
          <w:bottom w:val="single" w:sz="4" w:space="0" w:color="DA9694"/>
          <w:right w:val="single" w:sz="4" w:space="0" w:color="DA9694"/>
          <w:insideH w:val="single" w:sz="4" w:space="0" w:color="DA9694"/>
          <w:insideV w:val="single" w:sz="4" w:space="0" w:color="DA9694"/>
        </w:tblBorders>
        <w:tblLook w:val="04A0" w:firstRow="1" w:lastRow="0" w:firstColumn="1" w:lastColumn="0" w:noHBand="0" w:noVBand="1"/>
      </w:tblPr>
      <w:tblGrid>
        <w:gridCol w:w="4904"/>
        <w:gridCol w:w="4251"/>
        <w:gridCol w:w="6234"/>
      </w:tblGrid>
      <w:tr w:rsidR="007B7E16" w:rsidRPr="007B7E16" w:rsidTr="00186DC9">
        <w:trPr>
          <w:trHeight w:val="300"/>
        </w:trPr>
        <w:tc>
          <w:tcPr>
            <w:tcW w:w="1593" w:type="pct"/>
            <w:shd w:val="clear" w:color="C0504D" w:fill="C0504D"/>
            <w:vAlign w:val="bottom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PROBLEMA</w:t>
            </w:r>
          </w:p>
        </w:tc>
        <w:tc>
          <w:tcPr>
            <w:tcW w:w="1381" w:type="pct"/>
            <w:shd w:val="clear" w:color="C0504D" w:fill="C0504D"/>
            <w:vAlign w:val="bottom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TÉCNICA DE SOLUCIÓN</w:t>
            </w:r>
          </w:p>
        </w:tc>
        <w:tc>
          <w:tcPr>
            <w:tcW w:w="2025" w:type="pct"/>
            <w:shd w:val="clear" w:color="C0504D" w:fill="C0504D"/>
            <w:vAlign w:val="bottom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RESULTADOS</w:t>
            </w:r>
          </w:p>
        </w:tc>
      </w:tr>
      <w:tr w:rsidR="007B7E16" w:rsidRPr="007B7E16" w:rsidTr="00186DC9">
        <w:trPr>
          <w:trHeight w:val="1200"/>
        </w:trPr>
        <w:tc>
          <w:tcPr>
            <w:tcW w:w="1593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Demanda de agua urbana en la ciudad de Montreal [MA16]</w:t>
            </w:r>
          </w:p>
        </w:tc>
        <w:tc>
          <w:tcPr>
            <w:tcW w:w="1381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• Artificial Neural Network (ANN</w:t>
            </w:r>
            <w:proofErr w:type="gram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proofErr w:type="gram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Support Vector Regression (SVR)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Extreme Learning Machine (ELM)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Multiple Linear Regression (MLR).</w:t>
            </w:r>
          </w:p>
        </w:tc>
        <w:tc>
          <w:tcPr>
            <w:tcW w:w="2025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• ELM resulta ser un método de aprendizaje eficiente cuando se trata de pronosticar a corto plazo</w:t>
            </w:r>
          </w:p>
        </w:tc>
      </w:tr>
      <w:tr w:rsidR="007B7E16" w:rsidRPr="007B7E16" w:rsidTr="00186DC9">
        <w:trPr>
          <w:trHeight w:val="1800"/>
        </w:trPr>
        <w:tc>
          <w:tcPr>
            <w:tcW w:w="1593" w:type="pct"/>
            <w:shd w:val="clear" w:color="auto" w:fill="auto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Demanda de estilos nunca antes vendidos y buscar un algoritmo que optimice combinaciones de precios [FLSL15]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• Least Squares Regression.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 xml:space="preserve">• Principal Components Regression. 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Partial Least Squares Regression.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 xml:space="preserve">• Multiplicative (power) Regression. 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 xml:space="preserve">•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Semilogarithmic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Regression.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Regression Trees.</w:t>
            </w:r>
          </w:p>
        </w:tc>
        <w:tc>
          <w:tcPr>
            <w:tcW w:w="2025" w:type="pct"/>
            <w:shd w:val="clear" w:color="auto" w:fill="auto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• Las ventas no disminuyen debido a la implementación de aumentos de precios recomendados por el algoritmo de optimización.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br/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• Los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ingresos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grupo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prueba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aumentaron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en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aproximadamente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9.7%.</w:t>
            </w:r>
          </w:p>
        </w:tc>
      </w:tr>
      <w:tr w:rsidR="007B7E16" w:rsidRPr="007B7E16" w:rsidTr="00186DC9">
        <w:trPr>
          <w:trHeight w:val="1800"/>
        </w:trPr>
        <w:tc>
          <w:tcPr>
            <w:tcW w:w="1593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Demanda del petróleo crudo importado en Taiwán [SLH14]</w:t>
            </w:r>
          </w:p>
        </w:tc>
        <w:tc>
          <w:tcPr>
            <w:tcW w:w="1381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• Multiple Linear Regression (MLR)</w:t>
            </w:r>
            <w:proofErr w:type="gramStart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proofErr w:type="gramEnd"/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Support Vector Regression (SVR),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Artificial Neural Networks (ANN),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• Extreme Learning Machine (ELM).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</w:rPr>
              <w:br/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 xml:space="preserve">• Modelos híbridos: </w:t>
            </w:r>
            <w:proofErr w:type="gramStart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MLR(</w:t>
            </w:r>
            <w:proofErr w:type="spellStart"/>
            <w:proofErr w:type="gramEnd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)-ANN, MLR(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)-SVR y MLR(</w:t>
            </w:r>
            <w:proofErr w:type="spellStart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>)-ELM.</w:t>
            </w:r>
          </w:p>
        </w:tc>
        <w:tc>
          <w:tcPr>
            <w:tcW w:w="2025" w:type="pct"/>
            <w:shd w:val="clear" w:color="F2DCDB" w:fill="F2DCDB"/>
            <w:vAlign w:val="center"/>
            <w:hideMark/>
          </w:tcPr>
          <w:p w:rsidR="007B7E16" w:rsidRPr="007B7E16" w:rsidRDefault="007B7E16" w:rsidP="007B7E16">
            <w:pPr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</w:pP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t xml:space="preserve">• Los enfoques híbridos propuestos son más precisos que los de una sola etapa. </w:t>
            </w:r>
            <w:r w:rsidRPr="007B7E16">
              <w:rPr>
                <w:rFonts w:asciiTheme="minorHAnsi" w:hAnsiTheme="minorHAnsi"/>
                <w:color w:val="000000"/>
                <w:sz w:val="22"/>
                <w:szCs w:val="22"/>
                <w:lang w:val="es-PY"/>
              </w:rPr>
              <w:br/>
              <w:t>• Los enfoques híbridos son capaces de predecir con mayor precisión la demanda de petróleo crudo.</w:t>
            </w:r>
          </w:p>
        </w:tc>
      </w:tr>
    </w:tbl>
    <w:p w:rsidR="004651F7" w:rsidRPr="008A15C8" w:rsidRDefault="004651F7">
      <w:pPr>
        <w:spacing w:after="160" w:line="259" w:lineRule="auto"/>
        <w:rPr>
          <w:lang w:val="es-PY"/>
        </w:rPr>
      </w:pPr>
    </w:p>
    <w:p w:rsidR="004651F7" w:rsidRPr="00B905B1" w:rsidRDefault="004651F7">
      <w:pPr>
        <w:rPr>
          <w:lang w:val="es-PY"/>
        </w:rPr>
      </w:pPr>
    </w:p>
    <w:sectPr w:rsidR="004651F7" w:rsidRPr="00B905B1" w:rsidSect="006F0117">
      <w:pgSz w:w="16839" w:h="11907" w:orient="landscape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A4624"/>
    <w:multiLevelType w:val="hybridMultilevel"/>
    <w:tmpl w:val="AB2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7155"/>
    <w:multiLevelType w:val="hybridMultilevel"/>
    <w:tmpl w:val="5912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55A48"/>
    <w:multiLevelType w:val="hybridMultilevel"/>
    <w:tmpl w:val="C42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D6C19"/>
    <w:multiLevelType w:val="hybridMultilevel"/>
    <w:tmpl w:val="0A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B6"/>
    <w:rsid w:val="000D44E8"/>
    <w:rsid w:val="000D641C"/>
    <w:rsid w:val="00110549"/>
    <w:rsid w:val="0012514B"/>
    <w:rsid w:val="00186DC9"/>
    <w:rsid w:val="001B04F4"/>
    <w:rsid w:val="00433B3A"/>
    <w:rsid w:val="004340CC"/>
    <w:rsid w:val="004651F7"/>
    <w:rsid w:val="00670B2C"/>
    <w:rsid w:val="006C761F"/>
    <w:rsid w:val="006F0117"/>
    <w:rsid w:val="007B7E16"/>
    <w:rsid w:val="007E1099"/>
    <w:rsid w:val="008A15C8"/>
    <w:rsid w:val="008D40A1"/>
    <w:rsid w:val="00922DC8"/>
    <w:rsid w:val="00950FDE"/>
    <w:rsid w:val="00A71ADD"/>
    <w:rsid w:val="00AC3538"/>
    <w:rsid w:val="00B211C5"/>
    <w:rsid w:val="00B651B6"/>
    <w:rsid w:val="00B905B1"/>
    <w:rsid w:val="00C44ACD"/>
    <w:rsid w:val="00C57272"/>
    <w:rsid w:val="00CF5462"/>
    <w:rsid w:val="00E077F7"/>
    <w:rsid w:val="00E239FB"/>
    <w:rsid w:val="00F72332"/>
    <w:rsid w:val="00FE017F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7BEE8799-1AE6-4A0B-A479-FB98ED4E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spacing w:before="84" w:after="48"/>
      <w:outlineLvl w:val="0"/>
    </w:pPr>
    <w:rPr>
      <w:bCs/>
      <w:sz w:val="27"/>
      <w:szCs w:val="27"/>
      <w:lang w:val="es-P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spacing w:before="84" w:after="48"/>
      <w:outlineLvl w:val="1"/>
    </w:pPr>
    <w:rPr>
      <w:bCs/>
      <w:sz w:val="27"/>
      <w:szCs w:val="27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  <w:style w:type="table" w:styleId="Tabladecuadrcula2-nfasis1">
    <w:name w:val="Grid Table 2 Accent 1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B04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39FB"/>
    <w:pPr>
      <w:spacing w:before="84" w:after="48"/>
      <w:ind w:left="720"/>
      <w:contextualSpacing/>
      <w:outlineLvl w:val="2"/>
    </w:pPr>
    <w:rPr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AAB2-8B32-408C-B3BD-C3A57F08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35</cp:revision>
  <dcterms:created xsi:type="dcterms:W3CDTF">2018-08-15T01:38:00Z</dcterms:created>
  <dcterms:modified xsi:type="dcterms:W3CDTF">2018-08-29T01:20:00Z</dcterms:modified>
</cp:coreProperties>
</file>