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aconcuadrcula"/>
        <w:tblW w:w="8613" w:type="dxa"/>
        <w:tblLayout w:type="fixed"/>
        <w:tblLook w:val="04A0"/>
      </w:tblPr>
      <w:tblGrid>
        <w:gridCol w:w="1667"/>
        <w:gridCol w:w="426"/>
        <w:gridCol w:w="567"/>
        <w:gridCol w:w="1322"/>
        <w:gridCol w:w="121"/>
        <w:gridCol w:w="201"/>
        <w:gridCol w:w="1018"/>
        <w:gridCol w:w="739"/>
        <w:gridCol w:w="236"/>
        <w:gridCol w:w="1040"/>
        <w:gridCol w:w="568"/>
        <w:gridCol w:w="708"/>
      </w:tblGrid>
      <w:tr w:rsidR="00C7061A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Nivel de CU</w:t>
            </w:r>
            <w:r>
              <w:rPr>
                <w:b/>
              </w:rPr>
              <w:t>:</w:t>
            </w:r>
          </w:p>
        </w:tc>
        <w:tc>
          <w:tcPr>
            <w:tcW w:w="3655" w:type="dxa"/>
            <w:gridSpan w:val="6"/>
            <w:tcBorders>
              <w:left w:val="nil"/>
              <w:right w:val="nil"/>
            </w:tcBorders>
          </w:tcPr>
          <w:p w:rsidR="00C7061A" w:rsidRDefault="00100CF3" w:rsidP="00C7061A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C7061A">
              <w:rPr>
                <w:rFonts w:cstheme="minorHAnsi"/>
                <w:sz w:val="20"/>
              </w:rPr>
              <w:t xml:space="preserve">Negocio </w:t>
            </w:r>
          </w:p>
        </w:tc>
        <w:tc>
          <w:tcPr>
            <w:tcW w:w="3291" w:type="dxa"/>
            <w:gridSpan w:val="5"/>
            <w:tcBorders>
              <w:left w:val="nil"/>
            </w:tcBorders>
          </w:tcPr>
          <w:p w:rsidR="00C7061A" w:rsidRDefault="00100CF3">
            <w:r w:rsidRPr="008F3E09">
              <w:rPr>
                <w:rFonts w:cstheme="minorHAnsi"/>
                <w:sz w:val="20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8F3E09" w:rsidRPr="008F3E09">
              <w:rPr>
                <w:rFonts w:cstheme="minorHAnsi"/>
                <w:sz w:val="20"/>
              </w:rPr>
              <w:instrText xml:space="preserve"> FORMCHECKBOX </w:instrText>
            </w:r>
            <w:r w:rsidRPr="008F3E09">
              <w:rPr>
                <w:rFonts w:cstheme="minorHAnsi"/>
                <w:sz w:val="20"/>
              </w:rPr>
            </w:r>
            <w:r w:rsidRPr="008F3E09">
              <w:rPr>
                <w:rFonts w:cstheme="minorHAnsi"/>
                <w:sz w:val="20"/>
              </w:rPr>
              <w:fldChar w:fldCharType="end"/>
            </w:r>
            <w:r w:rsidR="00C7061A">
              <w:rPr>
                <w:rFonts w:cstheme="minorHAnsi"/>
                <w:sz w:val="20"/>
              </w:rPr>
              <w:t>Sistema</w:t>
            </w:r>
          </w:p>
        </w:tc>
      </w:tr>
      <w:tr w:rsidR="00512B66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512B66" w:rsidRPr="00C7061A" w:rsidRDefault="00512B66">
            <w:pPr>
              <w:rPr>
                <w:b/>
              </w:rPr>
            </w:pPr>
            <w:r w:rsidRPr="00C7061A">
              <w:rPr>
                <w:rFonts w:cstheme="minorHAnsi"/>
                <w:b/>
              </w:rPr>
              <w:t>Nombre de CU</w:t>
            </w:r>
            <w:r>
              <w:rPr>
                <w:rFonts w:cstheme="minorHAnsi"/>
                <w:b/>
              </w:rPr>
              <w:t>:</w:t>
            </w:r>
          </w:p>
        </w:tc>
        <w:tc>
          <w:tcPr>
            <w:tcW w:w="5670" w:type="dxa"/>
            <w:gridSpan w:val="9"/>
            <w:tcBorders>
              <w:left w:val="nil"/>
            </w:tcBorders>
          </w:tcPr>
          <w:p w:rsidR="00512B66" w:rsidRDefault="003B1F3D" w:rsidP="001F04D2">
            <w:r>
              <w:t>Notificar N</w:t>
            </w:r>
            <w:r w:rsidR="001F04D2">
              <w:t>ecesidad</w:t>
            </w:r>
            <w:r w:rsidR="00832F20">
              <w:t xml:space="preserve"> </w:t>
            </w:r>
            <w:r w:rsidR="00502360">
              <w:t>de Reabastecimiento</w:t>
            </w:r>
          </w:p>
        </w:tc>
        <w:tc>
          <w:tcPr>
            <w:tcW w:w="568" w:type="dxa"/>
            <w:tcBorders>
              <w:left w:val="nil"/>
              <w:right w:val="nil"/>
            </w:tcBorders>
          </w:tcPr>
          <w:p w:rsidR="00512B66" w:rsidRPr="006245C7" w:rsidRDefault="006245C7">
            <w:pPr>
              <w:rPr>
                <w:b/>
              </w:rPr>
            </w:pPr>
            <w:r w:rsidRPr="006245C7">
              <w:rPr>
                <w:b/>
              </w:rPr>
              <w:t>ID</w:t>
            </w:r>
            <w:r>
              <w:rPr>
                <w:b/>
              </w:rPr>
              <w:t>:</w:t>
            </w:r>
          </w:p>
        </w:tc>
        <w:tc>
          <w:tcPr>
            <w:tcW w:w="708" w:type="dxa"/>
            <w:tcBorders>
              <w:left w:val="nil"/>
            </w:tcBorders>
          </w:tcPr>
          <w:p w:rsidR="00512B66" w:rsidRDefault="00327FB3">
            <w:r>
              <w:t>10</w:t>
            </w:r>
            <w:r w:rsidR="00832F20">
              <w:t>4</w:t>
            </w:r>
          </w:p>
        </w:tc>
      </w:tr>
      <w:tr w:rsidR="00DC19BB" w:rsidTr="008F3E0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Paquete:</w:t>
            </w:r>
          </w:p>
        </w:tc>
        <w:tc>
          <w:tcPr>
            <w:tcW w:w="6946" w:type="dxa"/>
            <w:gridSpan w:val="11"/>
            <w:tcBorders>
              <w:left w:val="nil"/>
              <w:bottom w:val="single" w:sz="4" w:space="0" w:color="auto"/>
            </w:tcBorders>
          </w:tcPr>
          <w:p w:rsidR="00DC19BB" w:rsidRDefault="00C16AE8">
            <w:r>
              <w:t>Depósito</w:t>
            </w:r>
          </w:p>
        </w:tc>
      </w:tr>
      <w:tr w:rsidR="008F3E09" w:rsidTr="008F3E0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F3E09" w:rsidRDefault="008F3E09">
            <w:pPr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2315" w:type="dxa"/>
            <w:gridSpan w:val="3"/>
            <w:tcBorders>
              <w:left w:val="nil"/>
              <w:right w:val="nil"/>
            </w:tcBorders>
          </w:tcPr>
          <w:p w:rsidR="008F3E09" w:rsidRDefault="00100CF3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:rsidR="008F3E09" w:rsidRDefault="00100CF3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C16AE8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316" w:type="dxa"/>
            <w:gridSpan w:val="3"/>
            <w:tcBorders>
              <w:left w:val="nil"/>
            </w:tcBorders>
          </w:tcPr>
          <w:p w:rsidR="008F3E09" w:rsidRDefault="00100CF3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:rsidTr="008F3E0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F3E09" w:rsidRDefault="008F3E09">
            <w:pPr>
              <w:rPr>
                <w:b/>
              </w:rPr>
            </w:pPr>
            <w:r>
              <w:rPr>
                <w:b/>
              </w:rPr>
              <w:t>Complejidad:</w:t>
            </w:r>
          </w:p>
        </w:tc>
        <w:tc>
          <w:tcPr>
            <w:tcW w:w="2315" w:type="dxa"/>
            <w:gridSpan w:val="3"/>
            <w:tcBorders>
              <w:left w:val="nil"/>
              <w:right w:val="nil"/>
            </w:tcBorders>
          </w:tcPr>
          <w:p w:rsidR="008F3E09" w:rsidRDefault="00100CF3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:rsidR="008F3E09" w:rsidRDefault="00100CF3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316" w:type="dxa"/>
            <w:gridSpan w:val="3"/>
            <w:tcBorders>
              <w:left w:val="nil"/>
            </w:tcBorders>
          </w:tcPr>
          <w:p w:rsidR="008F3E09" w:rsidRDefault="00100CF3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C16AE8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:rsidTr="008F3E0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F3E09" w:rsidRDefault="008F3E09">
            <w:pPr>
              <w:rPr>
                <w:b/>
              </w:rPr>
            </w:pPr>
            <w:r>
              <w:rPr>
                <w:b/>
              </w:rPr>
              <w:t>Categoría:</w:t>
            </w:r>
          </w:p>
        </w:tc>
        <w:tc>
          <w:tcPr>
            <w:tcW w:w="2315" w:type="dxa"/>
            <w:gridSpan w:val="3"/>
            <w:tcBorders>
              <w:left w:val="nil"/>
              <w:right w:val="nil"/>
            </w:tcBorders>
          </w:tcPr>
          <w:p w:rsidR="008F3E09" w:rsidRDefault="00100CF3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C16AE8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Esencial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:rsidR="008F3E09" w:rsidRDefault="00100CF3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Soporte</w:t>
            </w:r>
          </w:p>
        </w:tc>
        <w:tc>
          <w:tcPr>
            <w:tcW w:w="2316" w:type="dxa"/>
            <w:gridSpan w:val="3"/>
            <w:tcBorders>
              <w:left w:val="nil"/>
            </w:tcBorders>
          </w:tcPr>
          <w:p w:rsidR="008F3E09" w:rsidRDefault="00100CF3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Usuario</w:t>
            </w:r>
          </w:p>
        </w:tc>
      </w:tr>
      <w:tr w:rsidR="00C7061A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principal</w:t>
            </w:r>
            <w:r>
              <w:rPr>
                <w:b/>
              </w:rPr>
              <w:t>:</w:t>
            </w:r>
          </w:p>
        </w:tc>
        <w:tc>
          <w:tcPr>
            <w:tcW w:w="2436" w:type="dxa"/>
            <w:gridSpan w:val="4"/>
            <w:tcBorders>
              <w:left w:val="nil"/>
            </w:tcBorders>
          </w:tcPr>
          <w:p w:rsidR="00C7061A" w:rsidRDefault="0025223B" w:rsidP="00502360">
            <w:r>
              <w:t>No aplica</w:t>
            </w:r>
          </w:p>
        </w:tc>
        <w:tc>
          <w:tcPr>
            <w:tcW w:w="1958" w:type="dxa"/>
            <w:gridSpan w:val="3"/>
            <w:tcBorders>
              <w:right w:val="nil"/>
            </w:tcBorders>
          </w:tcPr>
          <w:p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Secundario:</w:t>
            </w:r>
          </w:p>
        </w:tc>
        <w:tc>
          <w:tcPr>
            <w:tcW w:w="2552" w:type="dxa"/>
            <w:gridSpan w:val="4"/>
            <w:tcBorders>
              <w:left w:val="nil"/>
            </w:tcBorders>
          </w:tcPr>
          <w:p w:rsidR="00C7061A" w:rsidRDefault="00F8063C">
            <w:r>
              <w:t>No aplica.</w:t>
            </w:r>
          </w:p>
        </w:tc>
      </w:tr>
      <w:tr w:rsidR="00CD204D" w:rsidTr="0096040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D204D" w:rsidRPr="00C7061A" w:rsidRDefault="00CD204D" w:rsidP="00960403">
            <w:pPr>
              <w:rPr>
                <w:b/>
              </w:rPr>
            </w:pPr>
            <w:r>
              <w:rPr>
                <w:b/>
              </w:rPr>
              <w:t xml:space="preserve">Tipo de </w:t>
            </w:r>
            <w:r w:rsidRPr="00C7061A">
              <w:rPr>
                <w:b/>
              </w:rPr>
              <w:t>CU</w:t>
            </w:r>
            <w:r>
              <w:rPr>
                <w:b/>
              </w:rPr>
              <w:t>:</w:t>
            </w:r>
          </w:p>
        </w:tc>
        <w:tc>
          <w:tcPr>
            <w:tcW w:w="3655" w:type="dxa"/>
            <w:gridSpan w:val="6"/>
            <w:tcBorders>
              <w:left w:val="nil"/>
              <w:right w:val="nil"/>
            </w:tcBorders>
          </w:tcPr>
          <w:p w:rsidR="00CD204D" w:rsidRDefault="00100CF3" w:rsidP="008F3E09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C16AE8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8F3E09">
              <w:rPr>
                <w:rFonts w:cstheme="minorHAnsi"/>
                <w:sz w:val="20"/>
              </w:rPr>
              <w:t>Concreto</w:t>
            </w:r>
          </w:p>
        </w:tc>
        <w:bookmarkStart w:id="0" w:name="Casilla2"/>
        <w:tc>
          <w:tcPr>
            <w:tcW w:w="3291" w:type="dxa"/>
            <w:gridSpan w:val="5"/>
            <w:tcBorders>
              <w:left w:val="nil"/>
            </w:tcBorders>
          </w:tcPr>
          <w:p w:rsidR="00CD204D" w:rsidRDefault="00100CF3" w:rsidP="00CD204D">
            <w:r>
              <w:rPr>
                <w:rFonts w:cstheme="minorHAnsi"/>
                <w:sz w:val="20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60403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bookmarkEnd w:id="0"/>
            <w:r w:rsidR="00CD204D">
              <w:rPr>
                <w:rFonts w:cstheme="minorHAnsi"/>
                <w:sz w:val="20"/>
              </w:rPr>
              <w:t>Abstracto</w:t>
            </w:r>
          </w:p>
        </w:tc>
      </w:tr>
      <w:tr w:rsidR="00D842C6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842C6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Objetivo:</w:t>
            </w:r>
          </w:p>
        </w:tc>
        <w:tc>
          <w:tcPr>
            <w:tcW w:w="6946" w:type="dxa"/>
            <w:gridSpan w:val="11"/>
            <w:tcBorders>
              <w:left w:val="nil"/>
            </w:tcBorders>
          </w:tcPr>
          <w:p w:rsidR="00D842C6" w:rsidRPr="00596BA0" w:rsidRDefault="0022110D" w:rsidP="002505C2">
            <w:r>
              <w:t>Notificar aquellos productos importados y/o materias primas que estén del nivel de reaprovisionamiento o por debajo del mismo.</w:t>
            </w:r>
          </w:p>
        </w:tc>
      </w:tr>
      <w:tr w:rsidR="00DC19BB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Precondiciones:</w:t>
            </w:r>
          </w:p>
        </w:tc>
        <w:tc>
          <w:tcPr>
            <w:tcW w:w="6946" w:type="dxa"/>
            <w:gridSpan w:val="11"/>
            <w:tcBorders>
              <w:left w:val="nil"/>
            </w:tcBorders>
          </w:tcPr>
          <w:p w:rsidR="00DC19BB" w:rsidRDefault="00DC19BB" w:rsidP="000C4F46"/>
        </w:tc>
      </w:tr>
      <w:tr w:rsidR="005C249A" w:rsidTr="005C249A">
        <w:tc>
          <w:tcPr>
            <w:tcW w:w="16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C249A" w:rsidRDefault="005C249A">
            <w:pPr>
              <w:rPr>
                <w:b/>
              </w:rPr>
            </w:pPr>
            <w:r>
              <w:rPr>
                <w:b/>
              </w:rPr>
              <w:t>Post</w:t>
            </w:r>
          </w:p>
          <w:p w:rsidR="005C249A" w:rsidRDefault="005C249A">
            <w:pPr>
              <w:rPr>
                <w:b/>
              </w:rPr>
            </w:pPr>
            <w:r>
              <w:rPr>
                <w:b/>
              </w:rPr>
              <w:t>Condiciones</w:t>
            </w:r>
          </w:p>
        </w:tc>
        <w:tc>
          <w:tcPr>
            <w:tcW w:w="993" w:type="dxa"/>
            <w:gridSpan w:val="2"/>
            <w:tcBorders>
              <w:left w:val="single" w:sz="4" w:space="0" w:color="auto"/>
              <w:right w:val="nil"/>
            </w:tcBorders>
          </w:tcPr>
          <w:p w:rsidR="005C249A" w:rsidRPr="005C249A" w:rsidRDefault="005C249A">
            <w:pPr>
              <w:rPr>
                <w:u w:val="single"/>
              </w:rPr>
            </w:pPr>
            <w:r w:rsidRPr="005C249A">
              <w:rPr>
                <w:u w:val="single"/>
              </w:rPr>
              <w:t>Éxito</w:t>
            </w:r>
            <w:r>
              <w:rPr>
                <w:u w:val="single"/>
              </w:rPr>
              <w:t>:</w:t>
            </w:r>
          </w:p>
        </w:tc>
        <w:tc>
          <w:tcPr>
            <w:tcW w:w="5953" w:type="dxa"/>
            <w:gridSpan w:val="9"/>
            <w:tcBorders>
              <w:left w:val="nil"/>
            </w:tcBorders>
          </w:tcPr>
          <w:p w:rsidR="00FC7E87" w:rsidRDefault="002505C2" w:rsidP="002505C2">
            <w:pPr>
              <w:pStyle w:val="Prrafodelista"/>
              <w:numPr>
                <w:ilvl w:val="0"/>
                <w:numId w:val="1"/>
              </w:numPr>
            </w:pPr>
            <w:r>
              <w:t xml:space="preserve">Se notifica aquellos productos importados y/o materias primas que están en el </w:t>
            </w:r>
            <w:r w:rsidR="0022110D">
              <w:t>nivel de reaprovisionamiento</w:t>
            </w:r>
            <w:r>
              <w:t xml:space="preserve"> o por debajo del mismo.</w:t>
            </w:r>
          </w:p>
        </w:tc>
      </w:tr>
      <w:tr w:rsidR="005C249A" w:rsidTr="005C249A">
        <w:tc>
          <w:tcPr>
            <w:tcW w:w="166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49A" w:rsidRDefault="005C249A">
            <w:pPr>
              <w:rPr>
                <w:b/>
              </w:rPr>
            </w:pPr>
          </w:p>
        </w:tc>
        <w:tc>
          <w:tcPr>
            <w:tcW w:w="993" w:type="dxa"/>
            <w:gridSpan w:val="2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:rsidR="005C249A" w:rsidRPr="005C249A" w:rsidRDefault="005C249A">
            <w:pPr>
              <w:rPr>
                <w:u w:val="single"/>
              </w:rPr>
            </w:pPr>
            <w:r>
              <w:rPr>
                <w:u w:val="single"/>
              </w:rPr>
              <w:t>Fracaso:</w:t>
            </w:r>
          </w:p>
        </w:tc>
        <w:tc>
          <w:tcPr>
            <w:tcW w:w="5953" w:type="dxa"/>
            <w:gridSpan w:val="9"/>
            <w:tcBorders>
              <w:left w:val="nil"/>
              <w:bottom w:val="single" w:sz="4" w:space="0" w:color="auto"/>
            </w:tcBorders>
          </w:tcPr>
          <w:p w:rsidR="007D019B" w:rsidRDefault="003B3A59" w:rsidP="007D019B">
            <w:pPr>
              <w:pStyle w:val="Prrafodelista"/>
              <w:numPr>
                <w:ilvl w:val="0"/>
                <w:numId w:val="1"/>
              </w:numPr>
            </w:pPr>
            <w:r>
              <w:t xml:space="preserve">El Sistema no encuentra productos importados y/o materias primas que estén en el </w:t>
            </w:r>
            <w:r w:rsidR="0022110D">
              <w:t>nivel de reaprovisionamiento</w:t>
            </w:r>
            <w:r>
              <w:t xml:space="preserve"> o por debajo del mismo.</w:t>
            </w:r>
          </w:p>
          <w:p w:rsidR="007D019B" w:rsidRDefault="007D019B" w:rsidP="007D019B">
            <w:pPr>
              <w:pStyle w:val="Prrafodelista"/>
              <w:numPr>
                <w:ilvl w:val="0"/>
                <w:numId w:val="1"/>
              </w:numPr>
            </w:pPr>
            <w:r>
              <w:t>El ED no desea realizar un pedido de reabastecimiento.</w:t>
            </w:r>
          </w:p>
          <w:p w:rsidR="007D019B" w:rsidRDefault="007D019B" w:rsidP="007D019B"/>
        </w:tc>
      </w:tr>
      <w:tr w:rsidR="005C249A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49A" w:rsidRDefault="005C249A">
            <w:r>
              <w:rPr>
                <w:b/>
              </w:rPr>
              <w:t>Curso Normal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49A" w:rsidRPr="005C249A" w:rsidRDefault="005C249A">
            <w:pPr>
              <w:rPr>
                <w:b/>
              </w:rPr>
            </w:pPr>
            <w:r>
              <w:rPr>
                <w:b/>
              </w:rPr>
              <w:t>Curso Alternativo</w:t>
            </w:r>
          </w:p>
        </w:tc>
      </w:tr>
      <w:tr w:rsidR="005C249A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49A" w:rsidRPr="008F3E09" w:rsidRDefault="00E64637" w:rsidP="00BF65D0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CU </w:t>
            </w:r>
            <w:r w:rsidR="007C038A">
              <w:t xml:space="preserve">comienzo cuando el Sistema </w:t>
            </w:r>
            <w:r w:rsidR="00BF65D0">
              <w:t xml:space="preserve">requiere </w:t>
            </w:r>
            <w:r w:rsidR="00BF65D0">
              <w:rPr>
                <w:i/>
              </w:rPr>
              <w:t>Notificar Necesidad de Reabastecimiento</w:t>
            </w:r>
            <w:r w:rsidR="00E86775" w:rsidRPr="007953CA">
              <w:t>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140" w:rsidRPr="00960403" w:rsidRDefault="00E31140" w:rsidP="00FC7E87">
            <w:pPr>
              <w:pStyle w:val="Prrafodelista"/>
              <w:ind w:left="230"/>
            </w:pPr>
          </w:p>
        </w:tc>
      </w:tr>
      <w:tr w:rsidR="00E6463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4637" w:rsidRDefault="007953CA" w:rsidP="00A274C2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Para ello el Sistema </w:t>
            </w:r>
            <w:r w:rsidR="00E414E5">
              <w:t xml:space="preserve">verifica </w:t>
            </w:r>
            <w:r w:rsidR="00A274C2">
              <w:t xml:space="preserve">que </w:t>
            </w:r>
            <w:r w:rsidR="00E414E5">
              <w:t>la cantidad de productos importados (tanto los que están en el depósito de productos terminados como los del depósito de productos importados</w:t>
            </w:r>
            <w:r w:rsidR="00E90573">
              <w:t>)</w:t>
            </w:r>
            <w:r w:rsidR="00A274C2">
              <w:t xml:space="preserve"> no esté en su </w:t>
            </w:r>
            <w:r w:rsidR="0022110D">
              <w:t>nivel de reaprovisionamiento</w:t>
            </w:r>
            <w:r w:rsidR="00A274C2">
              <w:t xml:space="preserve"> o por debajo del mismo</w:t>
            </w:r>
            <w:r w:rsidR="00E90573">
              <w:t>. Para el caso de materia</w:t>
            </w:r>
            <w:r w:rsidR="00666399">
              <w:t>s</w:t>
            </w:r>
            <w:r w:rsidR="00E90573">
              <w:t xml:space="preserve"> primas, el Sistema verifica </w:t>
            </w:r>
            <w:r w:rsidR="00A274C2">
              <w:t>que</w:t>
            </w:r>
            <w:r w:rsidR="00E90573">
              <w:t xml:space="preserve"> la cantidad de materia prima en el d</w:t>
            </w:r>
            <w:r w:rsidR="00A274C2">
              <w:t xml:space="preserve">epósito de productos importados no esté en su </w:t>
            </w:r>
            <w:r w:rsidR="0022110D">
              <w:t>nivel de reaprovisionamiento</w:t>
            </w:r>
            <w:r w:rsidR="00A274C2">
              <w:t xml:space="preserve"> o por debajo del mismo.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4637" w:rsidRDefault="00D450FA" w:rsidP="002C309A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 xml:space="preserve">El Sistema no encuentra productos importados y/o materias primas que estén en el </w:t>
            </w:r>
            <w:r w:rsidR="0022110D">
              <w:t>nivel de reaprovisionamiento</w:t>
            </w:r>
            <w:r>
              <w:t xml:space="preserve"> o por debajo del mismo.</w:t>
            </w:r>
          </w:p>
          <w:p w:rsidR="00D450FA" w:rsidRPr="00960403" w:rsidRDefault="00D450FA" w:rsidP="002C309A">
            <w:pPr>
              <w:pStyle w:val="Prrafodelista"/>
              <w:numPr>
                <w:ilvl w:val="2"/>
                <w:numId w:val="3"/>
              </w:numPr>
            </w:pPr>
            <w:r>
              <w:t>Se cancela el CU.</w:t>
            </w:r>
          </w:p>
        </w:tc>
      </w:tr>
      <w:tr w:rsidR="00E6463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4637" w:rsidRDefault="00B31E63" w:rsidP="00CE1945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Sistema informa al ED la situación </w:t>
            </w:r>
            <w:r w:rsidR="005F7C0A">
              <w:t>de los productos importados como las materias</w:t>
            </w:r>
            <w:r w:rsidR="003938E7">
              <w:t xml:space="preserve"> primas que han sido detectadas en su </w:t>
            </w:r>
            <w:r w:rsidR="0022110D">
              <w:t>nivel de reaprovisionamiento</w:t>
            </w:r>
            <w:r w:rsidR="003938E7">
              <w:t xml:space="preserve"> o por debajo del mismo</w:t>
            </w:r>
            <w:r w:rsidR="00BA18D9">
              <w:t>,</w:t>
            </w:r>
            <w:r w:rsidR="003938E7">
              <w:t xml:space="preserve"> con los siguientes datos: </w:t>
            </w:r>
            <w:r w:rsidR="004B7FF4">
              <w:t>Código, Nombre, Marca, Modelo, Color, Tamaño,  Cantidad actual</w:t>
            </w:r>
            <w:r w:rsidR="00CE1945">
              <w:t xml:space="preserve"> y mínima. Para el caso de la materia prima se muestran los datos: Código, nombre, stock actual y mínimo y unidad de medida.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4637" w:rsidRPr="00960403" w:rsidRDefault="00E64637" w:rsidP="00FC7E87">
            <w:pPr>
              <w:pStyle w:val="Prrafodelista"/>
              <w:ind w:left="230"/>
            </w:pPr>
          </w:p>
        </w:tc>
      </w:tr>
      <w:tr w:rsidR="00E6463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8E1" w:rsidRDefault="000416EF" w:rsidP="00983302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Sistema solicita </w:t>
            </w:r>
            <w:r w:rsidR="00983302">
              <w:t>si desea realizar un pedido de reabastecimiento.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4637" w:rsidRPr="00960403" w:rsidRDefault="00E64637" w:rsidP="00861E33">
            <w:pPr>
              <w:pStyle w:val="Prrafodelista"/>
              <w:ind w:left="737"/>
            </w:pPr>
          </w:p>
        </w:tc>
      </w:tr>
      <w:tr w:rsidR="00E6463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4637" w:rsidRDefault="00FF426B" w:rsidP="00FF426B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lastRenderedPageBreak/>
              <w:t>El ED desea realizar un pedido de reabastecimiento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4637" w:rsidRDefault="00C53B09" w:rsidP="00861E33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El ED no desea realizar un pedido de reabastecimiento.</w:t>
            </w:r>
          </w:p>
          <w:p w:rsidR="00C53B09" w:rsidRPr="00960403" w:rsidRDefault="00C53B09" w:rsidP="00C53B09">
            <w:pPr>
              <w:pStyle w:val="Prrafodelista"/>
              <w:numPr>
                <w:ilvl w:val="2"/>
                <w:numId w:val="3"/>
              </w:numPr>
            </w:pPr>
            <w:r>
              <w:t>Se cancela el CU.</w:t>
            </w:r>
          </w:p>
        </w:tc>
      </w:tr>
      <w:tr w:rsidR="00E6463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4637" w:rsidRDefault="00A37CE1" w:rsidP="00AA3B8C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Se llama al </w:t>
            </w:r>
            <w:r>
              <w:rPr>
                <w:i/>
              </w:rPr>
              <w:t>CU 104. Regis</w:t>
            </w:r>
            <w:r w:rsidR="00370423">
              <w:rPr>
                <w:i/>
              </w:rPr>
              <w:t>trar Pedido de Reabastecimiento</w:t>
            </w:r>
            <w:r>
              <w:rPr>
                <w:i/>
              </w:rPr>
              <w:t>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4637" w:rsidRDefault="00E64637" w:rsidP="002F631C"/>
        </w:tc>
      </w:tr>
      <w:tr w:rsidR="00AA3B8C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3B8C" w:rsidRDefault="00D17088" w:rsidP="00D17088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Fin de</w:t>
            </w:r>
            <w:r w:rsidR="00490454">
              <w:t>l</w:t>
            </w:r>
            <w:r>
              <w:t xml:space="preserve"> CU.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3B8C" w:rsidRDefault="00AA3B8C" w:rsidP="002F631C"/>
        </w:tc>
      </w:tr>
      <w:tr w:rsidR="00654C01" w:rsidTr="0006736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C01" w:rsidRPr="00654C01" w:rsidRDefault="00654C01" w:rsidP="00654C01">
            <w:pPr>
              <w:rPr>
                <w:b/>
              </w:rPr>
            </w:pPr>
            <w:r w:rsidRPr="00654C01">
              <w:rPr>
                <w:b/>
              </w:rPr>
              <w:t>Observaciones: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C01" w:rsidRPr="00960403" w:rsidRDefault="00654C01" w:rsidP="00FC7E87"/>
        </w:tc>
      </w:tr>
      <w:tr w:rsidR="00654C01" w:rsidTr="00067369">
        <w:tc>
          <w:tcPr>
            <w:tcW w:w="20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Requerimientos No Funcionales</w:t>
            </w:r>
            <w:r w:rsidR="00067369">
              <w:rPr>
                <w:b/>
              </w:rPr>
              <w:t>:</w:t>
            </w:r>
          </w:p>
        </w:tc>
        <w:tc>
          <w:tcPr>
            <w:tcW w:w="6520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654C01" w:rsidP="00654C01">
            <w:r>
              <w:t>No aplica</w:t>
            </w:r>
          </w:p>
        </w:tc>
      </w:tr>
      <w:tr w:rsidR="00654C01" w:rsidTr="0006736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Asociaciones de Extensión</w:t>
            </w:r>
            <w:r w:rsidR="00067369">
              <w:rPr>
                <w:b/>
              </w:rPr>
              <w:t>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7C642E" w:rsidP="007C642E">
            <w:r>
              <w:t>CU 104. Registrar Pedido de Reabastecimiento.</w:t>
            </w:r>
            <w:bookmarkStart w:id="1" w:name="_GoBack"/>
            <w:bookmarkEnd w:id="1"/>
          </w:p>
        </w:tc>
      </w:tr>
      <w:tr w:rsidR="00654C01" w:rsidTr="0006736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Asociaciones de Inclusión</w:t>
            </w:r>
            <w:r w:rsidR="00067369">
              <w:rPr>
                <w:b/>
              </w:rPr>
              <w:t>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Pr="00067369" w:rsidRDefault="00067369" w:rsidP="00654C01">
            <w:pPr>
              <w:rPr>
                <w:u w:val="single"/>
              </w:rPr>
            </w:pPr>
            <w:r>
              <w:t>No aplica</w:t>
            </w:r>
          </w:p>
        </w:tc>
      </w:tr>
      <w:tr w:rsidR="00654C01" w:rsidTr="0006736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Donde se Incluye</w:t>
            </w:r>
            <w:r w:rsidR="00067369">
              <w:rPr>
                <w:b/>
              </w:rPr>
              <w:t>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067369" w:rsidP="00654C01">
            <w:r>
              <w:t>No aplica</w:t>
            </w:r>
          </w:p>
        </w:tc>
      </w:tr>
      <w:tr w:rsidR="00654C01" w:rsidTr="0006736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al que se Extiende</w:t>
            </w:r>
            <w:r w:rsidR="00067369">
              <w:rPr>
                <w:b/>
              </w:rPr>
              <w:t>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067369" w:rsidP="00654C01">
            <w:r>
              <w:t>No aplica</w:t>
            </w:r>
          </w:p>
        </w:tc>
      </w:tr>
      <w:tr w:rsidR="00654C01" w:rsidTr="0006736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de Generalización</w:t>
            </w:r>
            <w:r w:rsidR="00067369">
              <w:rPr>
                <w:b/>
              </w:rPr>
              <w:t>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067369" w:rsidP="00654C01">
            <w:r>
              <w:t>No aplica</w:t>
            </w:r>
          </w:p>
        </w:tc>
      </w:tr>
    </w:tbl>
    <w:p w:rsidR="00812E10" w:rsidRDefault="00812E10"/>
    <w:sectPr w:rsidR="00812E10" w:rsidSect="00847BF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C032BE"/>
    <w:multiLevelType w:val="hybridMultilevel"/>
    <w:tmpl w:val="CF2A0460"/>
    <w:lvl w:ilvl="0" w:tplc="2564C820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DB5103"/>
    <w:multiLevelType w:val="multilevel"/>
    <w:tmpl w:val="FE1890EA"/>
    <w:lvl w:ilvl="0">
      <w:start w:val="1"/>
      <w:numFmt w:val="decimal"/>
      <w:lvlText w:val="%1."/>
      <w:lvlJc w:val="left"/>
      <w:pPr>
        <w:tabs>
          <w:tab w:val="num" w:pos="340"/>
        </w:tabs>
        <w:ind w:left="284" w:hanging="284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>
    <w:nsid w:val="669A6025"/>
    <w:multiLevelType w:val="hybridMultilevel"/>
    <w:tmpl w:val="3CEA31B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attachedTemplate r:id="rId1"/>
  <w:documentProtection w:edit="readOnly" w:formatting="1" w:enforcement="0"/>
  <w:defaultTabStop w:val="708"/>
  <w:hyphenationZone w:val="425"/>
  <w:doNotShadeFormData/>
  <w:characterSpacingControl w:val="doNotCompress"/>
  <w:compat/>
  <w:rsids>
    <w:rsidRoot w:val="00725F34"/>
    <w:rsid w:val="000416EF"/>
    <w:rsid w:val="00067369"/>
    <w:rsid w:val="00074C24"/>
    <w:rsid w:val="000B19AE"/>
    <w:rsid w:val="000C4F46"/>
    <w:rsid w:val="00100CF3"/>
    <w:rsid w:val="00190D2E"/>
    <w:rsid w:val="001F04D2"/>
    <w:rsid w:val="0022110D"/>
    <w:rsid w:val="0022740A"/>
    <w:rsid w:val="002505C2"/>
    <w:rsid w:val="0025223B"/>
    <w:rsid w:val="002920A5"/>
    <w:rsid w:val="002953BA"/>
    <w:rsid w:val="002C309A"/>
    <w:rsid w:val="002D62DC"/>
    <w:rsid w:val="002F631C"/>
    <w:rsid w:val="00327FB3"/>
    <w:rsid w:val="00370423"/>
    <w:rsid w:val="003938E7"/>
    <w:rsid w:val="003B1F3D"/>
    <w:rsid w:val="003B3A59"/>
    <w:rsid w:val="003E64C6"/>
    <w:rsid w:val="00402F70"/>
    <w:rsid w:val="00413ED2"/>
    <w:rsid w:val="004424E3"/>
    <w:rsid w:val="00490454"/>
    <w:rsid w:val="004B7FF4"/>
    <w:rsid w:val="00502360"/>
    <w:rsid w:val="00512B66"/>
    <w:rsid w:val="00596BA0"/>
    <w:rsid w:val="005C249A"/>
    <w:rsid w:val="005F7C0A"/>
    <w:rsid w:val="00602FA3"/>
    <w:rsid w:val="006245C7"/>
    <w:rsid w:val="006469FD"/>
    <w:rsid w:val="00654C01"/>
    <w:rsid w:val="00666399"/>
    <w:rsid w:val="00682F3C"/>
    <w:rsid w:val="006B6D4B"/>
    <w:rsid w:val="00721962"/>
    <w:rsid w:val="00725F34"/>
    <w:rsid w:val="00732A0E"/>
    <w:rsid w:val="007953CA"/>
    <w:rsid w:val="007C038A"/>
    <w:rsid w:val="007C642E"/>
    <w:rsid w:val="007D019B"/>
    <w:rsid w:val="007D4987"/>
    <w:rsid w:val="00812E10"/>
    <w:rsid w:val="00832F20"/>
    <w:rsid w:val="00847BFF"/>
    <w:rsid w:val="00861E33"/>
    <w:rsid w:val="008A2E19"/>
    <w:rsid w:val="008F3E09"/>
    <w:rsid w:val="00960403"/>
    <w:rsid w:val="00983302"/>
    <w:rsid w:val="009B2A82"/>
    <w:rsid w:val="009D183F"/>
    <w:rsid w:val="009E1E27"/>
    <w:rsid w:val="00A274C2"/>
    <w:rsid w:val="00A37CE1"/>
    <w:rsid w:val="00A5198D"/>
    <w:rsid w:val="00A52551"/>
    <w:rsid w:val="00AA3B8C"/>
    <w:rsid w:val="00B31E63"/>
    <w:rsid w:val="00B858E1"/>
    <w:rsid w:val="00BA18D9"/>
    <w:rsid w:val="00BF65D0"/>
    <w:rsid w:val="00C1603C"/>
    <w:rsid w:val="00C16AE8"/>
    <w:rsid w:val="00C32797"/>
    <w:rsid w:val="00C53B09"/>
    <w:rsid w:val="00C5614D"/>
    <w:rsid w:val="00C61E8F"/>
    <w:rsid w:val="00C7061A"/>
    <w:rsid w:val="00C74D24"/>
    <w:rsid w:val="00CD204D"/>
    <w:rsid w:val="00CE1945"/>
    <w:rsid w:val="00D17088"/>
    <w:rsid w:val="00D25815"/>
    <w:rsid w:val="00D450FA"/>
    <w:rsid w:val="00D623A0"/>
    <w:rsid w:val="00D837B7"/>
    <w:rsid w:val="00D842C6"/>
    <w:rsid w:val="00DC19BB"/>
    <w:rsid w:val="00E211DA"/>
    <w:rsid w:val="00E31140"/>
    <w:rsid w:val="00E414E5"/>
    <w:rsid w:val="00E50CD4"/>
    <w:rsid w:val="00E64637"/>
    <w:rsid w:val="00E70A8B"/>
    <w:rsid w:val="00E71B33"/>
    <w:rsid w:val="00E86775"/>
    <w:rsid w:val="00E90573"/>
    <w:rsid w:val="00EA299B"/>
    <w:rsid w:val="00ED213E"/>
    <w:rsid w:val="00F00CC9"/>
    <w:rsid w:val="00F47282"/>
    <w:rsid w:val="00F8063C"/>
    <w:rsid w:val="00F81DF6"/>
    <w:rsid w:val="00FB5D08"/>
    <w:rsid w:val="00FC7E87"/>
    <w:rsid w:val="00FF426B"/>
    <w:rsid w:val="00FF43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7BF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5C249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_tradnl" w:eastAsia="es-ES_trad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76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facu\2010\Proy\Kiwi-Team\Requerimientos\Kiwi-Trazo%20Fino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Kiwi-Trazo Fino-Template</Template>
  <TotalTime>172</TotalTime>
  <Pages>2</Pages>
  <Words>410</Words>
  <Characters>2257</Characters>
  <Application>Microsoft Office Word</Application>
  <DocSecurity>0</DocSecurity>
  <Lines>18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WinuE</dc:creator>
  <cp:lastModifiedBy>Piscio</cp:lastModifiedBy>
  <cp:revision>58</cp:revision>
  <dcterms:created xsi:type="dcterms:W3CDTF">2010-05-31T22:07:00Z</dcterms:created>
  <dcterms:modified xsi:type="dcterms:W3CDTF">2010-08-12T19:43:00Z</dcterms:modified>
</cp:coreProperties>
</file>