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F507E" w:rsidTr="00EF507E">
        <w:tc>
          <w:tcPr>
            <w:tcW w:w="8978" w:type="dxa"/>
            <w:gridSpan w:val="2"/>
            <w:shd w:val="clear" w:color="auto" w:fill="8DB3E2" w:themeFill="text2" w:themeFillTint="66"/>
          </w:tcPr>
          <w:p w:rsidR="00EF507E" w:rsidRDefault="00EF507E" w:rsidP="00EF507E">
            <w:pPr>
              <w:jc w:val="center"/>
              <w:rPr>
                <w:b/>
                <w:sz w:val="36"/>
                <w:szCs w:val="36"/>
              </w:rPr>
            </w:pPr>
            <w:r w:rsidRPr="00EF507E">
              <w:rPr>
                <w:b/>
                <w:sz w:val="36"/>
                <w:szCs w:val="36"/>
              </w:rPr>
              <w:t>CABECERA</w:t>
            </w:r>
          </w:p>
          <w:p w:rsidR="00F62909" w:rsidRPr="00EF507E" w:rsidRDefault="00F62909" w:rsidP="00EF507E">
            <w:pPr>
              <w:jc w:val="center"/>
              <w:rPr>
                <w:b/>
                <w:sz w:val="36"/>
                <w:szCs w:val="36"/>
              </w:rPr>
            </w:pPr>
            <w:r>
              <w:t>Gestionar información referida a la compra de materia prima.</w:t>
            </w:r>
          </w:p>
        </w:tc>
      </w:tr>
      <w:tr w:rsidR="00EF507E" w:rsidTr="00EF507E">
        <w:tc>
          <w:tcPr>
            <w:tcW w:w="4489" w:type="dxa"/>
          </w:tcPr>
          <w:p w:rsidR="00EF507E" w:rsidRDefault="00EF507E" w:rsidP="00EF507E"/>
        </w:tc>
        <w:tc>
          <w:tcPr>
            <w:tcW w:w="4489" w:type="dxa"/>
          </w:tcPr>
          <w:p w:rsidR="00EF507E" w:rsidRDefault="00EF507E" w:rsidP="00EF507E"/>
        </w:tc>
      </w:tr>
      <w:tr w:rsidR="00EF507E" w:rsidTr="00ED4136">
        <w:tc>
          <w:tcPr>
            <w:tcW w:w="8978" w:type="dxa"/>
            <w:gridSpan w:val="2"/>
          </w:tcPr>
          <w:p w:rsidR="00EF507E" w:rsidRDefault="00EF507E" w:rsidP="00EF507E">
            <w:pPr>
              <w:rPr>
                <w:color w:val="76923C" w:themeColor="accent3" w:themeShade="BF"/>
              </w:rPr>
            </w:pPr>
            <w:r>
              <w:t xml:space="preserve">Cantidad total de materia prima comprada entre las fechas </w:t>
            </w:r>
            <w:r w:rsidRPr="00EF507E">
              <w:rPr>
                <w:color w:val="FF0000"/>
              </w:rPr>
              <w:t>12/12/2010</w:t>
            </w:r>
            <w:r>
              <w:t xml:space="preserve"> y </w:t>
            </w:r>
            <w:r w:rsidRPr="00EF507E">
              <w:rPr>
                <w:color w:val="FF0000"/>
              </w:rPr>
              <w:t>12/12/2011</w:t>
            </w:r>
            <w:r>
              <w:t xml:space="preserve">: </w:t>
            </w:r>
            <w:r w:rsidRPr="00EF507E">
              <w:rPr>
                <w:color w:val="76923C" w:themeColor="accent3" w:themeShade="BF"/>
              </w:rPr>
              <w:t>50.000</w:t>
            </w:r>
          </w:p>
          <w:p w:rsidR="00EF507E" w:rsidRDefault="00EF507E" w:rsidP="00EF507E">
            <w:r w:rsidRPr="00F62909">
              <w:t xml:space="preserve">Importe total de materia prima compra entre las </w:t>
            </w:r>
            <w:r w:rsidR="00F62909" w:rsidRPr="00F62909">
              <w:t>fechas</w:t>
            </w:r>
            <w:r w:rsidR="00F62909">
              <w:t xml:space="preserve"> </w:t>
            </w:r>
            <w:r w:rsidR="00F62909" w:rsidRPr="00EF507E">
              <w:rPr>
                <w:color w:val="FF0000"/>
              </w:rPr>
              <w:t>12/12/2010</w:t>
            </w:r>
            <w:r w:rsidR="00F62909">
              <w:t xml:space="preserve"> y </w:t>
            </w:r>
            <w:r w:rsidR="00F62909" w:rsidRPr="00EF507E">
              <w:rPr>
                <w:color w:val="FF0000"/>
              </w:rPr>
              <w:t>12/12/2011</w:t>
            </w:r>
            <w:r w:rsidR="00F62909">
              <w:t xml:space="preserve">: </w:t>
            </w:r>
            <w:r w:rsidR="00F62909">
              <w:rPr>
                <w:color w:val="76923C" w:themeColor="accent3" w:themeShade="BF"/>
              </w:rPr>
              <w:t>$8.99</w:t>
            </w:r>
            <w:r w:rsidR="00F62909" w:rsidRPr="00EF507E">
              <w:rPr>
                <w:color w:val="76923C" w:themeColor="accent3" w:themeShade="BF"/>
              </w:rPr>
              <w:t>0.000</w:t>
            </w:r>
          </w:p>
        </w:tc>
      </w:tr>
      <w:tr w:rsidR="00EF507E" w:rsidTr="00F629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EF507E" w:rsidRDefault="00EF507E" w:rsidP="00EF507E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EF507E" w:rsidRDefault="00EF507E" w:rsidP="00EF507E"/>
        </w:tc>
      </w:tr>
      <w:tr w:rsidR="00EF507E" w:rsidTr="00F62909">
        <w:tc>
          <w:tcPr>
            <w:tcW w:w="4489" w:type="dxa"/>
            <w:shd w:val="clear" w:color="auto" w:fill="BFBFBF" w:themeFill="background1" w:themeFillShade="BF"/>
          </w:tcPr>
          <w:p w:rsidR="00EF507E" w:rsidRDefault="00F62909" w:rsidP="00EF507E">
            <w:r w:rsidRPr="00F62909">
              <w:rPr>
                <w:color w:val="FF0000"/>
              </w:rPr>
              <w:t>N</w:t>
            </w:r>
            <w:r>
              <w:t xml:space="preserve"> materias primas mas compradas</w:t>
            </w:r>
          </w:p>
          <w:p w:rsidR="00F62909" w:rsidRPr="00F62909" w:rsidRDefault="00F62909" w:rsidP="00EF507E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62909" w:rsidRDefault="00F62909" w:rsidP="00EF507E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EF507E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EF507E"/>
          <w:p w:rsidR="00F62909" w:rsidRDefault="00F62909" w:rsidP="00EF507E">
            <w:r w:rsidRPr="00F62909">
              <w:drawing>
                <wp:inline distT="0" distB="0" distL="0" distR="0">
                  <wp:extent cx="1361177" cy="707366"/>
                  <wp:effectExtent l="19050" t="0" r="10423" b="0"/>
                  <wp:docPr id="3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F62909" w:rsidRDefault="00F62909" w:rsidP="00EF507E"/>
        </w:tc>
        <w:tc>
          <w:tcPr>
            <w:tcW w:w="4489" w:type="dxa"/>
            <w:shd w:val="clear" w:color="auto" w:fill="BFBFBF" w:themeFill="background1" w:themeFillShade="BF"/>
          </w:tcPr>
          <w:p w:rsidR="00EF507E" w:rsidRDefault="00F62909" w:rsidP="00EF507E">
            <w:r w:rsidRPr="00F62909">
              <w:rPr>
                <w:color w:val="FF0000"/>
              </w:rPr>
              <w:t>N</w:t>
            </w:r>
            <w:r>
              <w:t xml:space="preserve"> materias primas menos compradas</w:t>
            </w:r>
          </w:p>
          <w:p w:rsidR="00F62909" w:rsidRPr="00F62909" w:rsidRDefault="00F62909" w:rsidP="00F62909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62909" w:rsidRDefault="00F62909" w:rsidP="00F62909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F62909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EF507E"/>
          <w:p w:rsidR="00F62909" w:rsidRDefault="00F62909" w:rsidP="00EF507E">
            <w:r w:rsidRPr="00F62909">
              <w:drawing>
                <wp:inline distT="0" distB="0" distL="0" distR="0">
                  <wp:extent cx="1361177" cy="707366"/>
                  <wp:effectExtent l="19050" t="0" r="10423" b="0"/>
                  <wp:docPr id="4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F62909" w:rsidRDefault="00F62909" w:rsidP="00EF507E"/>
        </w:tc>
      </w:tr>
      <w:tr w:rsidR="00EF507E" w:rsidTr="00F629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EF507E" w:rsidRDefault="00EF507E" w:rsidP="00EF507E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EF507E" w:rsidRDefault="00EF507E" w:rsidP="00EF507E"/>
        </w:tc>
      </w:tr>
      <w:tr w:rsidR="00F62909" w:rsidTr="00F62909">
        <w:tc>
          <w:tcPr>
            <w:tcW w:w="4489" w:type="dxa"/>
            <w:shd w:val="clear" w:color="auto" w:fill="BFBFBF" w:themeFill="background1" w:themeFillShade="BF"/>
          </w:tcPr>
          <w:p w:rsidR="00F62909" w:rsidRDefault="00F62909" w:rsidP="00B45FE1">
            <w:r w:rsidRPr="00F62909">
              <w:rPr>
                <w:color w:val="FF0000"/>
              </w:rPr>
              <w:t>N</w:t>
            </w:r>
            <w:r>
              <w:t xml:space="preserve"> materias primas </w:t>
            </w:r>
            <w:r>
              <w:t>en las que se incurrieron más gastos</w:t>
            </w:r>
          </w:p>
          <w:p w:rsidR="00F62909" w:rsidRPr="00F62909" w:rsidRDefault="00F62909" w:rsidP="00B45FE1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62909" w:rsidRDefault="00F62909" w:rsidP="00B45FE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B45FE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B45FE1"/>
          <w:p w:rsidR="00F62909" w:rsidRDefault="00F62909" w:rsidP="00B45FE1">
            <w:r w:rsidRPr="00F62909">
              <w:drawing>
                <wp:inline distT="0" distB="0" distL="0" distR="0">
                  <wp:extent cx="1361177" cy="707366"/>
                  <wp:effectExtent l="19050" t="0" r="10423" b="0"/>
                  <wp:docPr id="6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F62909" w:rsidRDefault="00F62909" w:rsidP="00B45FE1"/>
        </w:tc>
        <w:tc>
          <w:tcPr>
            <w:tcW w:w="4489" w:type="dxa"/>
            <w:shd w:val="clear" w:color="auto" w:fill="BFBFBF" w:themeFill="background1" w:themeFillShade="BF"/>
          </w:tcPr>
          <w:p w:rsidR="00F62909" w:rsidRDefault="00F62909" w:rsidP="00F62909">
            <w:r w:rsidRPr="00F62909">
              <w:rPr>
                <w:color w:val="FF0000"/>
              </w:rPr>
              <w:t>N</w:t>
            </w:r>
            <w:r>
              <w:t xml:space="preserve"> materias primas </w:t>
            </w:r>
            <w:r>
              <w:t>en las que se incurrieron menos gastos</w:t>
            </w:r>
          </w:p>
          <w:p w:rsidR="00F62909" w:rsidRPr="00F62909" w:rsidRDefault="00F62909" w:rsidP="00B45FE1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62909" w:rsidRDefault="00F62909" w:rsidP="00B45FE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B45FE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B45FE1"/>
          <w:p w:rsidR="00F62909" w:rsidRDefault="00F62909" w:rsidP="00B45FE1">
            <w:r w:rsidRPr="00F62909">
              <w:drawing>
                <wp:inline distT="0" distB="0" distL="0" distR="0">
                  <wp:extent cx="1361177" cy="707366"/>
                  <wp:effectExtent l="19050" t="0" r="10423" b="0"/>
                  <wp:docPr id="8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F62909" w:rsidRDefault="00F62909" w:rsidP="00B45FE1"/>
        </w:tc>
      </w:tr>
      <w:tr w:rsidR="00F62909" w:rsidTr="00EF507E">
        <w:tc>
          <w:tcPr>
            <w:tcW w:w="4489" w:type="dxa"/>
          </w:tcPr>
          <w:p w:rsidR="00F62909" w:rsidRDefault="00F62909" w:rsidP="00EF507E"/>
        </w:tc>
        <w:tc>
          <w:tcPr>
            <w:tcW w:w="4489" w:type="dxa"/>
          </w:tcPr>
          <w:p w:rsidR="00F62909" w:rsidRDefault="00F62909" w:rsidP="00EF507E"/>
        </w:tc>
      </w:tr>
      <w:tr w:rsidR="00F62909" w:rsidTr="00EB6FC2">
        <w:tc>
          <w:tcPr>
            <w:tcW w:w="8978" w:type="dxa"/>
            <w:gridSpan w:val="2"/>
          </w:tcPr>
          <w:p w:rsidR="00F62909" w:rsidRDefault="00F62909" w:rsidP="00EF507E">
            <w:r>
              <w:t>Los valores indicados con colores (rojo amarillo y verde) son una representación asociada a la cantidad y el importe total.</w:t>
            </w:r>
          </w:p>
        </w:tc>
      </w:tr>
    </w:tbl>
    <w:p w:rsidR="00EF507E" w:rsidRDefault="00EF507E" w:rsidP="00EF507E"/>
    <w:p w:rsidR="00F62909" w:rsidRDefault="00F62909" w:rsidP="00EF507E"/>
    <w:p w:rsidR="00F62909" w:rsidRPr="00F62909" w:rsidRDefault="00F62909" w:rsidP="00EF507E">
      <w:pPr>
        <w:rPr>
          <w:b/>
          <w:u w:val="single"/>
        </w:rPr>
      </w:pPr>
      <w:r w:rsidRPr="00F62909">
        <w:rPr>
          <w:b/>
          <w:u w:val="single"/>
        </w:rPr>
        <w:t>Aclaraciones:</w:t>
      </w:r>
    </w:p>
    <w:p w:rsidR="00F62909" w:rsidRDefault="00F62909" w:rsidP="00F62909">
      <w:pPr>
        <w:pStyle w:val="Prrafodelista"/>
        <w:numPr>
          <w:ilvl w:val="0"/>
          <w:numId w:val="1"/>
        </w:numPr>
      </w:pPr>
      <w:r>
        <w:t xml:space="preserve">Lo marcado con </w:t>
      </w:r>
      <w:r w:rsidRPr="00F62909">
        <w:rPr>
          <w:color w:val="FF0000"/>
        </w:rPr>
        <w:t>rojo</w:t>
      </w:r>
      <w:r>
        <w:t xml:space="preserve"> indica que es ingresado por parámetros.</w:t>
      </w:r>
    </w:p>
    <w:p w:rsidR="00F62909" w:rsidRDefault="00F62909" w:rsidP="00F62909">
      <w:pPr>
        <w:pStyle w:val="Prrafodelista"/>
        <w:numPr>
          <w:ilvl w:val="0"/>
          <w:numId w:val="1"/>
        </w:numPr>
      </w:pPr>
      <w:r>
        <w:t xml:space="preserve">Lo marcado con </w:t>
      </w:r>
      <w:r w:rsidRPr="00F62909">
        <w:rPr>
          <w:color w:val="00B050"/>
        </w:rPr>
        <w:t>verde</w:t>
      </w:r>
      <w:r>
        <w:t xml:space="preserve"> es lo calculado por el sistema.</w:t>
      </w:r>
    </w:p>
    <w:p w:rsidR="00F62909" w:rsidRPr="00EF507E" w:rsidRDefault="00F62909" w:rsidP="00F62909">
      <w:pPr>
        <w:pStyle w:val="Prrafodelista"/>
        <w:numPr>
          <w:ilvl w:val="0"/>
          <w:numId w:val="1"/>
        </w:numPr>
      </w:pPr>
      <w:r>
        <w:t>Lo que dice “COLOR” es un semáforo que indicara la cantidad de cada producto y en base al total marcara con color rojo si se aleja mucho, verde si se acerca y amarillo si esta en el medio. Esto será calculado en base a porcentajes.</w:t>
      </w:r>
    </w:p>
    <w:sectPr w:rsidR="00F62909" w:rsidRPr="00EF507E" w:rsidSect="00EF5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A2BFE"/>
    <w:multiLevelType w:val="hybridMultilevel"/>
    <w:tmpl w:val="7D0A6F12"/>
    <w:lvl w:ilvl="0" w:tplc="14427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507E"/>
    <w:rsid w:val="00787902"/>
    <w:rsid w:val="00EF507E"/>
    <w:rsid w:val="00F6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9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50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29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91101440"/>
        <c:axId val="130091264"/>
      </c:barChart>
      <c:catAx>
        <c:axId val="91101440"/>
        <c:scaling>
          <c:orientation val="minMax"/>
        </c:scaling>
        <c:delete val="1"/>
        <c:axPos val="b"/>
        <c:tickLblPos val="none"/>
        <c:crossAx val="130091264"/>
        <c:crosses val="autoZero"/>
        <c:auto val="1"/>
        <c:lblAlgn val="ctr"/>
        <c:lblOffset val="100"/>
      </c:catAx>
      <c:valAx>
        <c:axId val="130091264"/>
        <c:scaling>
          <c:orientation val="minMax"/>
        </c:scaling>
        <c:delete val="1"/>
        <c:axPos val="l"/>
        <c:majorGridlines/>
        <c:numFmt formatCode="General" sourceLinked="1"/>
        <c:tickLblPos val="none"/>
        <c:crossAx val="9110144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30675072"/>
        <c:axId val="130827776"/>
      </c:barChart>
      <c:catAx>
        <c:axId val="130675072"/>
        <c:scaling>
          <c:orientation val="minMax"/>
        </c:scaling>
        <c:delete val="1"/>
        <c:axPos val="b"/>
        <c:tickLblPos val="none"/>
        <c:crossAx val="130827776"/>
        <c:crosses val="autoZero"/>
        <c:auto val="1"/>
        <c:lblAlgn val="ctr"/>
        <c:lblOffset val="100"/>
      </c:catAx>
      <c:valAx>
        <c:axId val="130827776"/>
        <c:scaling>
          <c:orientation val="minMax"/>
        </c:scaling>
        <c:delete val="1"/>
        <c:axPos val="l"/>
        <c:majorGridlines/>
        <c:numFmt formatCode="General" sourceLinked="1"/>
        <c:tickLblPos val="none"/>
        <c:crossAx val="13067507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58722944"/>
        <c:axId val="63955328"/>
      </c:barChart>
      <c:catAx>
        <c:axId val="58722944"/>
        <c:scaling>
          <c:orientation val="minMax"/>
        </c:scaling>
        <c:delete val="1"/>
        <c:axPos val="b"/>
        <c:tickLblPos val="none"/>
        <c:crossAx val="63955328"/>
        <c:crosses val="autoZero"/>
        <c:auto val="1"/>
        <c:lblAlgn val="ctr"/>
        <c:lblOffset val="100"/>
      </c:catAx>
      <c:valAx>
        <c:axId val="63955328"/>
        <c:scaling>
          <c:orientation val="minMax"/>
        </c:scaling>
        <c:delete val="1"/>
        <c:axPos val="l"/>
        <c:majorGridlines/>
        <c:numFmt formatCode="General" sourceLinked="1"/>
        <c:tickLblPos val="none"/>
        <c:crossAx val="5872294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30814720"/>
        <c:axId val="130816256"/>
      </c:barChart>
      <c:catAx>
        <c:axId val="130814720"/>
        <c:scaling>
          <c:orientation val="minMax"/>
        </c:scaling>
        <c:delete val="1"/>
        <c:axPos val="b"/>
        <c:tickLblPos val="none"/>
        <c:crossAx val="130816256"/>
        <c:crosses val="autoZero"/>
        <c:auto val="1"/>
        <c:lblAlgn val="ctr"/>
        <c:lblOffset val="100"/>
      </c:catAx>
      <c:valAx>
        <c:axId val="130816256"/>
        <c:scaling>
          <c:orientation val="minMax"/>
        </c:scaling>
        <c:delete val="1"/>
        <c:axPos val="l"/>
        <c:majorGridlines/>
        <c:numFmt formatCode="General" sourceLinked="1"/>
        <c:tickLblPos val="none"/>
        <c:crossAx val="13081472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AB8C-9FC4-4200-A89F-DA64B184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2011-03-15T01:25:00Z</dcterms:created>
  <dcterms:modified xsi:type="dcterms:W3CDTF">2011-03-15T03:03:00Z</dcterms:modified>
</cp:coreProperties>
</file>