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234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3059F5" w:rsidTr="003059F5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3059F5" w:rsidTr="003059F5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>Recibir Mercadería Importada</w:t>
            </w:r>
          </w:p>
        </w:tc>
        <w:tc>
          <w:tcPr>
            <w:tcW w:w="3263" w:type="dxa"/>
          </w:tcPr>
          <w:p w:rsidR="003059F5" w:rsidRPr="00E90EE4" w:rsidRDefault="003059F5" w:rsidP="003059F5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25</w:t>
            </w:r>
          </w:p>
        </w:tc>
      </w:tr>
      <w:tr w:rsidR="003059F5" w:rsidTr="003059F5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3059F5" w:rsidRPr="00E90EE4" w:rsidRDefault="003059F5" w:rsidP="003059F5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Empresa de Transporte</w:t>
            </w:r>
          </w:p>
        </w:tc>
        <w:tc>
          <w:tcPr>
            <w:tcW w:w="4613" w:type="dxa"/>
            <w:gridSpan w:val="2"/>
          </w:tcPr>
          <w:p w:rsidR="003059F5" w:rsidRPr="00E90EE4" w:rsidRDefault="003059F5" w:rsidP="003059F5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>No aplica</w:t>
            </w:r>
          </w:p>
        </w:tc>
      </w:tr>
      <w:tr w:rsidR="003059F5" w:rsidTr="003059F5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3059F5" w:rsidTr="003059F5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930DFA">
              <w:rPr>
                <w:rFonts w:ascii="Arial" w:hAnsi="Arial" w:cs="Arial"/>
                <w:b/>
                <w:i/>
                <w:sz w:val="20"/>
                <w:szCs w:val="20"/>
              </w:rPr>
              <w:t>Recibir, desembalar y comprobar los pedidos que llegan a la empresa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3059F5" w:rsidTr="003059F5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930DFA">
              <w:rPr>
                <w:rFonts w:ascii="Arial" w:hAnsi="Arial"/>
                <w:sz w:val="20"/>
                <w:szCs w:val="20"/>
              </w:rPr>
              <w:t>El pedido es desembalado, categorizado, comprobado y almacenado. Se registra la entrega.</w:t>
            </w:r>
          </w:p>
        </w:tc>
      </w:tr>
      <w:tr w:rsidR="003059F5" w:rsidTr="003059F5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4E5E63" w:rsidRDefault="004E5E63" w:rsidP="003059F5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Descripción:</w:t>
            </w:r>
          </w:p>
          <w:p w:rsidR="003059F5" w:rsidRDefault="003059F5" w:rsidP="003059F5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caso de uso comienza cuando la Empresa de Transporte correspondiente llega a las instalaciones de la empresa con un conteiner conteniendo los productos de uno o más pedidos. El Encargado de Depósito firma el remito de entrega y recibe el conteiner. El encargado de depósito organiza el contenido del conteiner por Proveedor, Modelo y Color. Una vez organizado el contenido  el Encargado de Depósito compara el mismo con el duplicado de las Órdenes de Compra correspondientes a la vez que inspecciona la calidad de los productos. Se registra la llegada del pedido junto a cualquier observación necesaria.</w:t>
            </w:r>
          </w:p>
          <w:p w:rsidR="003059F5" w:rsidRPr="00BE1601" w:rsidRDefault="003059F5" w:rsidP="003059F5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BB2309" w:rsidRDefault="00BB2309"/>
    <w:sectPr w:rsidR="00BB2309" w:rsidSect="00BB2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3059F5"/>
    <w:rsid w:val="003059F5"/>
    <w:rsid w:val="004E5E63"/>
    <w:rsid w:val="00930DFA"/>
    <w:rsid w:val="00B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059F5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059F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305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3</cp:revision>
  <dcterms:created xsi:type="dcterms:W3CDTF">2010-04-12T00:04:00Z</dcterms:created>
  <dcterms:modified xsi:type="dcterms:W3CDTF">2010-04-12T00:24:00Z</dcterms:modified>
</cp:coreProperties>
</file>