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925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1020"/>
      </w:tblGrid>
      <w:tr w:rsidR="00C7061A" w14:paraId="356AF874" w14:textId="77777777" w:rsidTr="00756C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49590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75E84CE2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603" w:type="dxa"/>
            <w:gridSpan w:val="4"/>
            <w:tcBorders>
              <w:left w:val="nil"/>
            </w:tcBorders>
          </w:tcPr>
          <w:p w14:paraId="6BDA6BEB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77099612" w14:textId="77777777" w:rsidTr="00756C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CA4B23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62B1651D" w14:textId="27C49B7B" w:rsidR="00512B66" w:rsidRDefault="00722961" w:rsidP="00C12A64">
            <w:r>
              <w:t xml:space="preserve">Realizar devolución de </w:t>
            </w:r>
            <w:r w:rsidR="00C12A64">
              <w:t>productos terminados</w:t>
            </w:r>
            <w:r>
              <w:t xml:space="preserve"> del cliente al viajante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A80FCD9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1020" w:type="dxa"/>
            <w:tcBorders>
              <w:left w:val="nil"/>
            </w:tcBorders>
          </w:tcPr>
          <w:p w14:paraId="5170FF93" w14:textId="73CCFBB8" w:rsidR="00512B66" w:rsidRDefault="007C69B0">
            <w:r>
              <w:t>05</w:t>
            </w:r>
            <w:bookmarkStart w:id="0" w:name="_GoBack"/>
            <w:bookmarkEnd w:id="0"/>
          </w:p>
        </w:tc>
      </w:tr>
      <w:tr w:rsidR="00C7061A" w14:paraId="7D7F1E22" w14:textId="77777777" w:rsidTr="00756C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CF316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38A79988" w14:textId="77777777" w:rsidR="00C7061A" w:rsidRDefault="00722961">
            <w:r>
              <w:t>Cliente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10B9D113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864" w:type="dxa"/>
            <w:gridSpan w:val="3"/>
            <w:tcBorders>
              <w:left w:val="nil"/>
            </w:tcBorders>
          </w:tcPr>
          <w:p w14:paraId="43967123" w14:textId="77777777" w:rsidR="00C7061A" w:rsidRDefault="00C7061A"/>
        </w:tc>
      </w:tr>
      <w:tr w:rsidR="00CD204D" w14:paraId="641139FC" w14:textId="77777777" w:rsidTr="00756C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B3F710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6319EC43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603" w:type="dxa"/>
            <w:gridSpan w:val="4"/>
            <w:tcBorders>
              <w:left w:val="nil"/>
            </w:tcBorders>
          </w:tcPr>
          <w:p w14:paraId="7489C32B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1691E178" w14:textId="77777777" w:rsidTr="00756C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EA7202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7258" w:type="dxa"/>
            <w:gridSpan w:val="6"/>
            <w:tcBorders>
              <w:left w:val="nil"/>
            </w:tcBorders>
          </w:tcPr>
          <w:p w14:paraId="54247B0F" w14:textId="2082C21F" w:rsidR="00D842C6" w:rsidRDefault="00722961" w:rsidP="00A95B4B">
            <w:r>
              <w:t xml:space="preserve">Registrar la devolución de </w:t>
            </w:r>
            <w:r w:rsidR="00A95B4B">
              <w:t>productos terminados</w:t>
            </w:r>
            <w:r>
              <w:t xml:space="preserve"> ya entregada</w:t>
            </w:r>
          </w:p>
        </w:tc>
      </w:tr>
      <w:tr w:rsidR="00D842C6" w14:paraId="0CA73941" w14:textId="77777777" w:rsidTr="00756C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836519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7258" w:type="dxa"/>
            <w:gridSpan w:val="6"/>
            <w:tcBorders>
              <w:left w:val="nil"/>
              <w:bottom w:val="single" w:sz="4" w:space="0" w:color="auto"/>
            </w:tcBorders>
          </w:tcPr>
          <w:p w14:paraId="4CCA6C3D" w14:textId="3D499C1F" w:rsidR="00D842C6" w:rsidRDefault="00722961" w:rsidP="00A95B4B">
            <w:r>
              <w:t xml:space="preserve">Se registra la devolución de la </w:t>
            </w:r>
            <w:r w:rsidR="00A95B4B">
              <w:t>productos terminados</w:t>
            </w:r>
            <w:r>
              <w:t xml:space="preserve"> previamente entregada</w:t>
            </w:r>
          </w:p>
        </w:tc>
      </w:tr>
      <w:tr w:rsidR="00682F3C" w14:paraId="3232F3F8" w14:textId="77777777" w:rsidTr="00756C25">
        <w:tc>
          <w:tcPr>
            <w:tcW w:w="8925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4C24F8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1A7830B4" w14:textId="77777777" w:rsidTr="00756C25">
        <w:tc>
          <w:tcPr>
            <w:tcW w:w="8925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63B92" w14:textId="530C37F1" w:rsidR="00722961" w:rsidRDefault="00722961" w:rsidP="00722961">
            <w:pPr>
              <w:rPr>
                <w:rFonts w:cstheme="minorHAnsi"/>
              </w:rPr>
            </w:pPr>
            <w:r>
              <w:rPr>
                <w:rFonts w:cstheme="minorHAnsi"/>
              </w:rPr>
              <w:t>El CU comienza c</w:t>
            </w:r>
            <w:r w:rsidR="00E938A6">
              <w:rPr>
                <w:rFonts w:cstheme="minorHAnsi"/>
              </w:rPr>
              <w:t>uando el cliente le informa al V</w:t>
            </w:r>
            <w:r>
              <w:rPr>
                <w:rFonts w:cstheme="minorHAnsi"/>
              </w:rPr>
              <w:t xml:space="preserve">iajante que desea realizar una devolución de </w:t>
            </w:r>
            <w:r w:rsidR="00D412DD">
              <w:rPr>
                <w:rFonts w:cstheme="minorHAnsi"/>
              </w:rPr>
              <w:t>productos terminados</w:t>
            </w:r>
            <w:r>
              <w:rPr>
                <w:rFonts w:cstheme="minorHAnsi"/>
              </w:rPr>
              <w:t xml:space="preserve"> del pedido ya entregado.</w:t>
            </w:r>
            <w:r w:rsidR="00E938A6">
              <w:rPr>
                <w:rFonts w:cstheme="minorHAnsi"/>
              </w:rPr>
              <w:t xml:space="preserve"> El Viajante consulta al Encargado de Ventas si el cliente se encuentra en el plazo máximo de devoluciones fijado por política </w:t>
            </w:r>
            <w:r w:rsidR="007278F7">
              <w:rPr>
                <w:rFonts w:cstheme="minorHAnsi"/>
              </w:rPr>
              <w:t>variable</w:t>
            </w:r>
            <w:r w:rsidR="005B0DAE">
              <w:rPr>
                <w:rFonts w:cstheme="minorHAnsi"/>
              </w:rPr>
              <w:t xml:space="preserve"> </w:t>
            </w:r>
            <w:r w:rsidR="00E938A6">
              <w:rPr>
                <w:rFonts w:cstheme="minorHAnsi"/>
              </w:rPr>
              <w:t>de la empresa.</w:t>
            </w:r>
          </w:p>
          <w:p w14:paraId="3AE83F02" w14:textId="7E2B6717" w:rsidR="00722961" w:rsidRDefault="00E938A6" w:rsidP="00722961">
            <w:pPr>
              <w:rPr>
                <w:rFonts w:cstheme="minorHAnsi"/>
              </w:rPr>
            </w:pPr>
            <w:r>
              <w:rPr>
                <w:rFonts w:cstheme="minorHAnsi"/>
              </w:rPr>
              <w:t>El V</w:t>
            </w:r>
            <w:r w:rsidR="00722961">
              <w:rPr>
                <w:rFonts w:cstheme="minorHAnsi"/>
              </w:rPr>
              <w:t xml:space="preserve">iajante procede a registrar la cantidad y modelos devueltos, los datos del cliente, la fecha y el motivo de la devolución. El </w:t>
            </w:r>
            <w:r>
              <w:rPr>
                <w:rFonts w:cstheme="minorHAnsi"/>
              </w:rPr>
              <w:t>V</w:t>
            </w:r>
            <w:r w:rsidR="00722961">
              <w:rPr>
                <w:rFonts w:cstheme="minorHAnsi"/>
              </w:rPr>
              <w:t>iajante Realiza una nota de crédito por el monto devuelto.</w:t>
            </w:r>
            <w:r>
              <w:rPr>
                <w:rFonts w:cstheme="minorHAnsi"/>
              </w:rPr>
              <w:t xml:space="preserve"> </w:t>
            </w:r>
          </w:p>
          <w:p w14:paraId="7AC609F0" w14:textId="77777777" w:rsidR="00C7061A" w:rsidRDefault="00722961" w:rsidP="00722961">
            <w:r>
              <w:rPr>
                <w:rFonts w:cstheme="minorHAnsi"/>
              </w:rPr>
              <w:t>Fin del CU.</w:t>
            </w:r>
          </w:p>
        </w:tc>
      </w:tr>
    </w:tbl>
    <w:p w14:paraId="0FF12E41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961"/>
    <w:rsid w:val="00512B66"/>
    <w:rsid w:val="005B0DAE"/>
    <w:rsid w:val="00602FA3"/>
    <w:rsid w:val="006245C7"/>
    <w:rsid w:val="00682F3C"/>
    <w:rsid w:val="006B6D4B"/>
    <w:rsid w:val="00722961"/>
    <w:rsid w:val="007278F7"/>
    <w:rsid w:val="00756C25"/>
    <w:rsid w:val="007C69B0"/>
    <w:rsid w:val="00812E10"/>
    <w:rsid w:val="009D1CE3"/>
    <w:rsid w:val="00A95B4B"/>
    <w:rsid w:val="00C12A64"/>
    <w:rsid w:val="00C7061A"/>
    <w:rsid w:val="00CD204D"/>
    <w:rsid w:val="00D412DD"/>
    <w:rsid w:val="00D837B7"/>
    <w:rsid w:val="00D842C6"/>
    <w:rsid w:val="00E70A8B"/>
    <w:rsid w:val="00E9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61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9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Hernan</cp:lastModifiedBy>
  <cp:revision>10</cp:revision>
  <dcterms:created xsi:type="dcterms:W3CDTF">2010-04-13T03:14:00Z</dcterms:created>
  <dcterms:modified xsi:type="dcterms:W3CDTF">2010-05-10T19:49:00Z</dcterms:modified>
</cp:coreProperties>
</file>