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173BE" w14:textId="77777777" w:rsidR="00F71D9E" w:rsidRDefault="008F002A">
      <w:pPr>
        <w:pStyle w:val="MdHeading1"/>
      </w:pPr>
      <w:r>
        <w:t>Análise do Diagrama de Casos de Uso: Sistema de Pedidos</w:t>
      </w:r>
    </w:p>
    <w:p w14:paraId="5281F380" w14:textId="77777777" w:rsidR="00F71D9E" w:rsidRDefault="008F002A">
      <w:pPr>
        <w:pStyle w:val="MdHeading2"/>
      </w:pPr>
      <w:r>
        <w:t>1. Introdução</w:t>
      </w:r>
    </w:p>
    <w:p w14:paraId="5E67472C" w14:textId="77777777" w:rsidR="00F71D9E" w:rsidRDefault="008F002A">
      <w:pPr>
        <w:pStyle w:val="MdParagraph"/>
      </w:pPr>
      <w:r>
        <w:t>Este documento apresenta a análise de um diagrama de casos de uso UML para um sistema de pedidos, detalhando os atores envolvidos, os casos de uso que eles interagem e os relacionamentos existentes entre esses casos de uso. O objetivo é fornecer uma compre</w:t>
      </w:r>
      <w:r>
        <w:t>ensão clara das funcionalidades do sistema e das interações dos usuários com ele.</w:t>
      </w:r>
    </w:p>
    <w:p w14:paraId="3B225361" w14:textId="77777777" w:rsidR="00F71D9E" w:rsidRDefault="00F71D9E">
      <w:pPr>
        <w:pStyle w:val="MdSpace"/>
        <w:spacing w:after="60"/>
      </w:pPr>
    </w:p>
    <w:p w14:paraId="2EE57566" w14:textId="77777777" w:rsidR="00F71D9E" w:rsidRDefault="008F002A">
      <w:pPr>
        <w:pStyle w:val="MdHeading2"/>
      </w:pPr>
      <w:r>
        <w:t>2. Atores do Sistema</w:t>
      </w:r>
    </w:p>
    <w:p w14:paraId="33D596A2" w14:textId="77777777" w:rsidR="00F71D9E" w:rsidRDefault="008F002A">
      <w:pPr>
        <w:pStyle w:val="MdParagraph"/>
      </w:pPr>
      <w:r>
        <w:t>Os atores representam as entidades externas que interagem com o sistema. No diagrama analisado, foram identificados os seguintes atores:</w:t>
      </w:r>
    </w:p>
    <w:p w14:paraId="240090C2" w14:textId="77777777" w:rsidR="00F71D9E" w:rsidRDefault="00F71D9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"/>
        <w:gridCol w:w="7559"/>
      </w:tblGrid>
      <w:tr w:rsidR="00F71D9E" w14:paraId="389B575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E1607" w14:textId="77777777" w:rsidR="00F71D9E" w:rsidRDefault="008F002A">
            <w:pPr>
              <w:pStyle w:val="MdTableHeader"/>
            </w:pPr>
            <w:r>
              <w:t>Ator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FE32F" w14:textId="77777777" w:rsidR="00F71D9E" w:rsidRDefault="008F002A">
            <w:pPr>
              <w:pStyle w:val="MdTableHeader"/>
            </w:pPr>
            <w:r>
              <w:t>Descrição</w:t>
            </w:r>
          </w:p>
        </w:tc>
      </w:tr>
      <w:tr w:rsidR="00F71D9E" w14:paraId="41B3BAC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9992" w14:textId="77777777" w:rsidR="00F71D9E" w:rsidRDefault="008F002A">
            <w:pPr>
              <w:pStyle w:val="MdTableCell"/>
            </w:pPr>
            <w:r>
              <w:rPr>
                <w:rStyle w:val="MdStrong"/>
              </w:rPr>
              <w:t>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3E45" w14:textId="77777777" w:rsidR="00F71D9E" w:rsidRDefault="008F002A">
            <w:pPr>
              <w:pStyle w:val="MdTableCell"/>
            </w:pPr>
            <w:r>
              <w:t>Usuário final que realiza pedidos, consulta o cardápio e acompanha o status de suas solicitações.</w:t>
            </w:r>
          </w:p>
        </w:tc>
      </w:tr>
      <w:tr w:rsidR="00F71D9E" w14:paraId="524D58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2D3B" w14:textId="77777777" w:rsidR="00F71D9E" w:rsidRDefault="008F002A">
            <w:pPr>
              <w:pStyle w:val="MdTableCell"/>
            </w:pPr>
            <w:r>
              <w:rPr>
                <w:rStyle w:val="MdStrong"/>
              </w:rPr>
              <w:t>Produção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F357" w14:textId="77777777" w:rsidR="00F71D9E" w:rsidRDefault="008F002A">
            <w:pPr>
              <w:pStyle w:val="MdTableCell"/>
            </w:pPr>
            <w:r>
              <w:t>Responsável pelo preparo e visualização dos pedidos, além de gerar relatórios de vendas.</w:t>
            </w:r>
          </w:p>
        </w:tc>
      </w:tr>
      <w:tr w:rsidR="00F71D9E" w14:paraId="01BB6D1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B94A" w14:textId="77777777" w:rsidR="00F71D9E" w:rsidRDefault="008F002A">
            <w:pPr>
              <w:pStyle w:val="MdTableCell"/>
            </w:pPr>
            <w:r>
              <w:rPr>
                <w:rStyle w:val="MdStrong"/>
              </w:rPr>
              <w:t>Atendimento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40EC" w14:textId="77777777" w:rsidR="00F71D9E" w:rsidRDefault="008F002A">
            <w:pPr>
              <w:pStyle w:val="MdTableCell"/>
            </w:pPr>
            <w:r>
              <w:t>Lida com o recebimento de pagamentos, registro de pedidos e comunicação com os clientes.</w:t>
            </w:r>
          </w:p>
        </w:tc>
      </w:tr>
      <w:tr w:rsidR="00F71D9E" w14:paraId="78AEA41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A62F" w14:textId="77777777" w:rsidR="00F71D9E" w:rsidRDefault="008F002A">
            <w:pPr>
              <w:pStyle w:val="MdTableCell"/>
            </w:pPr>
            <w:r>
              <w:rPr>
                <w:rStyle w:val="MdStrong"/>
              </w:rPr>
              <w:t>Zé das Couves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0D9A" w14:textId="77777777" w:rsidR="00F71D9E" w:rsidRDefault="008F002A">
            <w:pPr>
              <w:pStyle w:val="MdTableCell"/>
            </w:pPr>
            <w:r>
              <w:t>Ator responsável pelo controle de estoque e pela g</w:t>
            </w:r>
            <w:r>
              <w:t>eração de relatórios de vendas.</w:t>
            </w:r>
          </w:p>
        </w:tc>
      </w:tr>
    </w:tbl>
    <w:p w14:paraId="5ED9C358" w14:textId="77777777" w:rsidR="00F71D9E" w:rsidRDefault="008F002A">
      <w:pPr>
        <w:pStyle w:val="MdHeading2"/>
      </w:pPr>
      <w:r>
        <w:t>3. Casos de Uso</w:t>
      </w:r>
    </w:p>
    <w:p w14:paraId="632801C6" w14:textId="77777777" w:rsidR="00F71D9E" w:rsidRDefault="008F002A">
      <w:pPr>
        <w:pStyle w:val="MdParagraph"/>
      </w:pPr>
      <w:r>
        <w:t>Os casos de uso descrevem as funcionalidades que o sistema oferece aos seus atores. Abaixo, são detalhados os casos de uso identificados e suas respectivas interações.</w:t>
      </w:r>
    </w:p>
    <w:p w14:paraId="10D8FDF9" w14:textId="77777777" w:rsidR="00F71D9E" w:rsidRDefault="00F71D9E">
      <w:pPr>
        <w:pStyle w:val="MdSpace"/>
        <w:spacing w:after="60"/>
      </w:pPr>
    </w:p>
    <w:p w14:paraId="6F93E24A" w14:textId="77777777" w:rsidR="00F71D9E" w:rsidRDefault="008F002A">
      <w:pPr>
        <w:pStyle w:val="MdHeading3"/>
      </w:pPr>
      <w:r>
        <w:t>3.1. Casos de Uso do Cliente</w:t>
      </w:r>
    </w:p>
    <w:p w14:paraId="175D30DD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Consultar Cardápio</w:t>
      </w:r>
      <w:r>
        <w:t>: Permite ao cliente visualizar os itens</w:t>
      </w:r>
      <w:r>
        <w:t xml:space="preserve"> disponíveis para pedido.</w:t>
      </w:r>
    </w:p>
    <w:p w14:paraId="6D284B0D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Fazer pedido</w:t>
      </w:r>
      <w:r>
        <w:t>: O cliente seleciona os itens desejados e finaliza a solicitação.</w:t>
      </w:r>
    </w:p>
    <w:p w14:paraId="3DD4177A" w14:textId="77777777" w:rsidR="00F71D9E" w:rsidRDefault="008F002A">
      <w:pPr>
        <w:pStyle w:val="MdListItem"/>
        <w:numPr>
          <w:ilvl w:val="1"/>
          <w:numId w:val="2"/>
        </w:numPr>
      </w:pPr>
      <w:r>
        <w:rPr>
          <w:rStyle w:val="MdStrong"/>
        </w:rPr>
        <w:t>Realizar pagamento</w:t>
      </w:r>
      <w:r>
        <w:t xml:space="preserve"> (&lt;</w:t>
      </w:r>
      <w:r>
        <w:rPr>
          <w:rStyle w:val="MdTag"/>
        </w:rPr>
        <w:t>&lt;include&gt;</w:t>
      </w:r>
      <w:r>
        <w:t>&gt;): Parte integrante do processo de fazer um pedido, onde o cliente efetua o pagamento.</w:t>
      </w:r>
    </w:p>
    <w:p w14:paraId="0C957093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Acompanhar pedido</w:t>
      </w:r>
      <w:r>
        <w:t>: O cliente pode</w:t>
      </w:r>
      <w:r>
        <w:t xml:space="preserve"> verificar o status atual de seu pedido.</w:t>
      </w:r>
    </w:p>
    <w:p w14:paraId="5C0C754B" w14:textId="77777777" w:rsidR="00F71D9E" w:rsidRDefault="00F71D9E">
      <w:pPr>
        <w:pStyle w:val="MdSpace"/>
        <w:spacing w:after="60"/>
      </w:pPr>
    </w:p>
    <w:p w14:paraId="64FC996F" w14:textId="77777777" w:rsidR="00F71D9E" w:rsidRDefault="008F002A">
      <w:pPr>
        <w:pStyle w:val="MdHeading3"/>
      </w:pPr>
      <w:r>
        <w:lastRenderedPageBreak/>
        <w:t>3.2. Casos de Uso da Produção</w:t>
      </w:r>
    </w:p>
    <w:p w14:paraId="49971356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Preparar pedidos</w:t>
      </w:r>
      <w:r>
        <w:t>: A produção recebe os pedidos e inicia o processo de preparo.</w:t>
      </w:r>
    </w:p>
    <w:p w14:paraId="43CDA62E" w14:textId="77777777" w:rsidR="00F71D9E" w:rsidRDefault="008F002A">
      <w:pPr>
        <w:pStyle w:val="MdListItem"/>
        <w:numPr>
          <w:ilvl w:val="1"/>
          <w:numId w:val="2"/>
        </w:numPr>
      </w:pPr>
      <w:r>
        <w:rPr>
          <w:rStyle w:val="MdStrong"/>
        </w:rPr>
        <w:t>Fazer pedido</w:t>
      </w:r>
      <w:r>
        <w:t xml:space="preserve"> (&lt;</w:t>
      </w:r>
      <w:r>
        <w:rPr>
          <w:rStyle w:val="MdTag"/>
        </w:rPr>
        <w:t>&lt;</w:t>
      </w:r>
      <w:proofErr w:type="spellStart"/>
      <w:r>
        <w:rPr>
          <w:rStyle w:val="MdTag"/>
        </w:rPr>
        <w:t>extend</w:t>
      </w:r>
      <w:proofErr w:type="spellEnd"/>
      <w:r>
        <w:rPr>
          <w:rStyle w:val="MdTag"/>
        </w:rPr>
        <w:t>&gt;</w:t>
      </w:r>
      <w:r>
        <w:t>&gt;): Este caso de uso estende o caso de uso 'Fazer pedido' do cliente. A nota indic</w:t>
      </w:r>
      <w:r>
        <w:t>a que "Só acontece quando já tem o pedido", sugerindo que a preparação é uma extensão do pedido já existente.</w:t>
      </w:r>
    </w:p>
    <w:p w14:paraId="436D07AE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Gerar relatório de vendas</w:t>
      </w:r>
      <w:r>
        <w:t>: A produção pode gerar relatórios sobre as vendas realizadas.</w:t>
      </w:r>
    </w:p>
    <w:p w14:paraId="48CC774D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Visualizar pedidos</w:t>
      </w:r>
      <w:r>
        <w:t>: Permite à produção ver a lista de pedi</w:t>
      </w:r>
      <w:r>
        <w:t>dos.</w:t>
      </w:r>
    </w:p>
    <w:p w14:paraId="67099DB0" w14:textId="77777777" w:rsidR="00F71D9E" w:rsidRDefault="008F002A">
      <w:pPr>
        <w:pStyle w:val="MdListItem"/>
        <w:numPr>
          <w:ilvl w:val="1"/>
          <w:numId w:val="2"/>
        </w:numPr>
      </w:pPr>
      <w:r>
        <w:rPr>
          <w:rStyle w:val="MdStrong"/>
        </w:rPr>
        <w:t>Registrar pedido</w:t>
      </w:r>
      <w:r>
        <w:t xml:space="preserve"> (&lt;</w:t>
      </w:r>
      <w:r>
        <w:rPr>
          <w:rStyle w:val="MdTag"/>
        </w:rPr>
        <w:t>&lt;include&gt;</w:t>
      </w:r>
      <w:r>
        <w:t>&gt;): Parte do processo de visualização de pedidos, onde um pedido é formalmente registrado no sistema.</w:t>
      </w:r>
    </w:p>
    <w:p w14:paraId="76F3452C" w14:textId="77777777" w:rsidR="00F71D9E" w:rsidRDefault="00F71D9E">
      <w:pPr>
        <w:pStyle w:val="MdSpace"/>
        <w:spacing w:after="60"/>
      </w:pPr>
    </w:p>
    <w:p w14:paraId="6DB199D3" w14:textId="77777777" w:rsidR="00F71D9E" w:rsidRDefault="008F002A">
      <w:pPr>
        <w:pStyle w:val="MdHeading3"/>
      </w:pPr>
      <w:r>
        <w:t>3.3. Casos de Uso do Atendimento</w:t>
      </w:r>
    </w:p>
    <w:p w14:paraId="516722C5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Receber pagamento</w:t>
      </w:r>
      <w:r>
        <w:t>: O atendimento processa os pagamentos dos clientes.</w:t>
      </w:r>
    </w:p>
    <w:p w14:paraId="7CADC7CA" w14:textId="77777777" w:rsidR="00F71D9E" w:rsidRDefault="008F002A">
      <w:pPr>
        <w:pStyle w:val="MdListItem"/>
        <w:numPr>
          <w:ilvl w:val="1"/>
          <w:numId w:val="2"/>
        </w:numPr>
      </w:pPr>
      <w:r>
        <w:rPr>
          <w:rStyle w:val="MdStrong"/>
        </w:rPr>
        <w:t>Atualizar status do pedido</w:t>
      </w:r>
      <w:r>
        <w:t xml:space="preserve"> (&lt;</w:t>
      </w:r>
      <w:r>
        <w:rPr>
          <w:rStyle w:val="MdTag"/>
        </w:rPr>
        <w:t>&lt;include&gt;</w:t>
      </w:r>
      <w:r>
        <w:t>&gt;): Após o recebimento do pagamento, o status do pedido é atualizado.</w:t>
      </w:r>
    </w:p>
    <w:p w14:paraId="31D683A0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Registrar pedido</w:t>
      </w:r>
      <w:r>
        <w:t>: O atendimento formaliza o pedido no sistema.</w:t>
      </w:r>
    </w:p>
    <w:p w14:paraId="0D8452B1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Chamar cliente pelo número</w:t>
      </w:r>
      <w:r>
        <w:t>: O at</w:t>
      </w:r>
      <w:r>
        <w:t>endimento pode chamar o cliente, provavelmente para retirada ou comunicação.</w:t>
      </w:r>
    </w:p>
    <w:p w14:paraId="2865014E" w14:textId="77777777" w:rsidR="00F71D9E" w:rsidRDefault="00F71D9E">
      <w:pPr>
        <w:pStyle w:val="MdSpace"/>
        <w:spacing w:after="60"/>
      </w:pPr>
    </w:p>
    <w:p w14:paraId="45EFDF3C" w14:textId="77777777" w:rsidR="00F71D9E" w:rsidRDefault="008F002A">
      <w:pPr>
        <w:pStyle w:val="MdHeading3"/>
      </w:pPr>
      <w:r>
        <w:t>3.4. Casos de Uso do Zé das Couves</w:t>
      </w:r>
    </w:p>
    <w:p w14:paraId="1E53C8BB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Controlar o estoque</w:t>
      </w:r>
      <w:r>
        <w:t>: Zé das Couves gerencia os níveis de estoque dos produtos.</w:t>
      </w:r>
    </w:p>
    <w:p w14:paraId="0F486FCD" w14:textId="77777777" w:rsidR="00F71D9E" w:rsidRDefault="008F002A">
      <w:pPr>
        <w:pStyle w:val="MdListItem"/>
        <w:numPr>
          <w:ilvl w:val="1"/>
          <w:numId w:val="2"/>
        </w:numPr>
      </w:pPr>
      <w:r>
        <w:rPr>
          <w:rStyle w:val="MdStrong"/>
        </w:rPr>
        <w:t>Realizar compra de estoque</w:t>
      </w:r>
      <w:r>
        <w:t xml:space="preserve"> (&lt;</w:t>
      </w:r>
      <w:r>
        <w:rPr>
          <w:rStyle w:val="MdTag"/>
        </w:rPr>
        <w:t>&lt;</w:t>
      </w:r>
      <w:proofErr w:type="spellStart"/>
      <w:r>
        <w:rPr>
          <w:rStyle w:val="MdTag"/>
        </w:rPr>
        <w:t>extend</w:t>
      </w:r>
      <w:proofErr w:type="spellEnd"/>
      <w:r>
        <w:rPr>
          <w:rStyle w:val="MdTag"/>
        </w:rPr>
        <w:t>&gt;</w:t>
      </w:r>
      <w:r>
        <w:t>&gt;): Este caso de uso estend</w:t>
      </w:r>
      <w:r>
        <w:t>e 'Controlar o estoque'. A nota indica que "só realizada na falta de produtos", ou seja, a compra de estoque é acionada apenas quando há necessidade.</w:t>
      </w:r>
    </w:p>
    <w:p w14:paraId="68F5B1FC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Gerar relatórios de vendas</w:t>
      </w:r>
      <w:r>
        <w:t>: Zé das Couves também pode gerar relatórios de vendas, possivelmente para fins de gestão ou contabilidade.</w:t>
      </w:r>
    </w:p>
    <w:p w14:paraId="34B9F853" w14:textId="77777777" w:rsidR="00F71D9E" w:rsidRDefault="00F71D9E">
      <w:pPr>
        <w:pStyle w:val="MdSpace"/>
        <w:spacing w:after="60"/>
      </w:pPr>
    </w:p>
    <w:p w14:paraId="5D785195" w14:textId="77777777" w:rsidR="00F71D9E" w:rsidRDefault="008F002A">
      <w:pPr>
        <w:pStyle w:val="MdHeading2"/>
      </w:pPr>
      <w:r>
        <w:t>4. Relacionamentos entre Casos de Uso</w:t>
      </w:r>
    </w:p>
    <w:p w14:paraId="6BDE9B44" w14:textId="77777777" w:rsidR="00F71D9E" w:rsidRDefault="008F002A">
      <w:pPr>
        <w:pStyle w:val="MdParagraph"/>
      </w:pPr>
      <w:r>
        <w:t>O diagrama apresenta dois tipos principais de relacionamentos entre os casos de uso:</w:t>
      </w:r>
    </w:p>
    <w:p w14:paraId="55F76D3F" w14:textId="77777777" w:rsidR="00F71D9E" w:rsidRDefault="00F71D9E">
      <w:pPr>
        <w:pStyle w:val="MdSpace"/>
        <w:spacing w:after="60"/>
      </w:pPr>
    </w:p>
    <w:p w14:paraId="1026F94F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&lt;</w:t>
      </w:r>
      <w:r>
        <w:rPr>
          <w:rStyle w:val="MdTag"/>
          <w:b/>
          <w:bCs/>
        </w:rPr>
        <w:t>&lt;include&gt;</w:t>
      </w:r>
      <w:r>
        <w:rPr>
          <w:rStyle w:val="MdStrong"/>
        </w:rPr>
        <w:t>&gt;</w:t>
      </w:r>
      <w:r>
        <w:t>: Indica que</w:t>
      </w:r>
      <w:r>
        <w:t xml:space="preserve"> um caso de uso base incorpora o comportamento de outro caso de uso. O caso de uso incluído é obrigatório para a execução do caso de uso base.</w:t>
      </w:r>
    </w:p>
    <w:p w14:paraId="423702FF" w14:textId="77777777" w:rsidR="00F71D9E" w:rsidRDefault="008F002A">
      <w:pPr>
        <w:pStyle w:val="MdListItem"/>
        <w:numPr>
          <w:ilvl w:val="1"/>
          <w:numId w:val="2"/>
        </w:numPr>
      </w:pPr>
      <w:r>
        <w:rPr>
          <w:u w:val="single"/>
        </w:rPr>
        <w:t>Fazer pedido</w:t>
      </w:r>
      <w:r>
        <w:t xml:space="preserve"> &lt;</w:t>
      </w:r>
      <w:r>
        <w:rPr>
          <w:rStyle w:val="MdTag"/>
        </w:rPr>
        <w:t>&lt;include&gt;</w:t>
      </w:r>
      <w:r>
        <w:t xml:space="preserve">&gt; </w:t>
      </w:r>
      <w:r>
        <w:rPr>
          <w:u w:val="single"/>
        </w:rPr>
        <w:t>Realizar pagamento</w:t>
      </w:r>
    </w:p>
    <w:p w14:paraId="537ACC6C" w14:textId="77777777" w:rsidR="00F71D9E" w:rsidRDefault="008F002A">
      <w:pPr>
        <w:pStyle w:val="MdListItem"/>
        <w:numPr>
          <w:ilvl w:val="1"/>
          <w:numId w:val="2"/>
        </w:numPr>
      </w:pPr>
      <w:r>
        <w:rPr>
          <w:u w:val="single"/>
        </w:rPr>
        <w:t>Visualizar pedidos</w:t>
      </w:r>
      <w:r>
        <w:t xml:space="preserve"> &lt;</w:t>
      </w:r>
      <w:r>
        <w:rPr>
          <w:rStyle w:val="MdTag"/>
        </w:rPr>
        <w:t>&lt;include&gt;</w:t>
      </w:r>
      <w:r>
        <w:t xml:space="preserve">&gt; </w:t>
      </w:r>
      <w:r>
        <w:rPr>
          <w:u w:val="single"/>
        </w:rPr>
        <w:t>Registrar pedido</w:t>
      </w:r>
    </w:p>
    <w:p w14:paraId="290138A2" w14:textId="77777777" w:rsidR="00F71D9E" w:rsidRDefault="008F002A">
      <w:pPr>
        <w:pStyle w:val="MdListItem"/>
        <w:numPr>
          <w:ilvl w:val="1"/>
          <w:numId w:val="2"/>
        </w:numPr>
      </w:pPr>
      <w:r>
        <w:rPr>
          <w:u w:val="single"/>
        </w:rPr>
        <w:t>Receber pagamento</w:t>
      </w:r>
      <w:r>
        <w:t xml:space="preserve"> &lt;</w:t>
      </w:r>
      <w:r>
        <w:rPr>
          <w:rStyle w:val="MdTag"/>
        </w:rPr>
        <w:t>&lt;i</w:t>
      </w:r>
      <w:r>
        <w:rPr>
          <w:rStyle w:val="MdTag"/>
        </w:rPr>
        <w:t>nclude&gt;</w:t>
      </w:r>
      <w:r>
        <w:t xml:space="preserve">&gt; </w:t>
      </w:r>
      <w:r>
        <w:rPr>
          <w:u w:val="single"/>
        </w:rPr>
        <w:t>Atualizar status do pedido</w:t>
      </w:r>
    </w:p>
    <w:p w14:paraId="2EE659D2" w14:textId="77777777" w:rsidR="00F71D9E" w:rsidRDefault="008F002A">
      <w:pPr>
        <w:pStyle w:val="MdListItem"/>
        <w:numPr>
          <w:ilvl w:val="0"/>
          <w:numId w:val="2"/>
        </w:numPr>
      </w:pPr>
      <w:r>
        <w:rPr>
          <w:rStyle w:val="MdStrong"/>
        </w:rPr>
        <w:t>&lt;</w:t>
      </w:r>
      <w:r>
        <w:rPr>
          <w:rStyle w:val="MdTag"/>
          <w:b/>
          <w:bCs/>
        </w:rPr>
        <w:t>&lt;</w:t>
      </w:r>
      <w:proofErr w:type="spellStart"/>
      <w:r>
        <w:rPr>
          <w:rStyle w:val="MdTag"/>
          <w:b/>
          <w:bCs/>
        </w:rPr>
        <w:t>extend</w:t>
      </w:r>
      <w:proofErr w:type="spellEnd"/>
      <w:r>
        <w:rPr>
          <w:rStyle w:val="MdTag"/>
          <w:b/>
          <w:bCs/>
        </w:rPr>
        <w:t>&gt;</w:t>
      </w:r>
      <w:r>
        <w:rPr>
          <w:rStyle w:val="MdStrong"/>
        </w:rPr>
        <w:t>&gt;</w:t>
      </w:r>
      <w:r>
        <w:t>: Indica que um caso de uso estende o comportamento de outro caso de uso em um ponto específico. O caso de uso de extensão é opcional e condicional.</w:t>
      </w:r>
    </w:p>
    <w:p w14:paraId="5610A541" w14:textId="77777777" w:rsidR="00F71D9E" w:rsidRDefault="008F002A">
      <w:pPr>
        <w:pStyle w:val="MdListItem"/>
        <w:numPr>
          <w:ilvl w:val="1"/>
          <w:numId w:val="2"/>
        </w:numPr>
      </w:pPr>
      <w:r>
        <w:rPr>
          <w:u w:val="single"/>
        </w:rPr>
        <w:t>Fazer pedido</w:t>
      </w:r>
      <w:r>
        <w:t xml:space="preserve"> &lt;</w:t>
      </w:r>
      <w:r>
        <w:rPr>
          <w:rStyle w:val="MdTag"/>
        </w:rPr>
        <w:t>&lt;</w:t>
      </w:r>
      <w:proofErr w:type="spellStart"/>
      <w:r>
        <w:rPr>
          <w:rStyle w:val="MdTag"/>
        </w:rPr>
        <w:t>extend</w:t>
      </w:r>
      <w:proofErr w:type="spellEnd"/>
      <w:r>
        <w:rPr>
          <w:rStyle w:val="MdTag"/>
        </w:rPr>
        <w:t>&gt;</w:t>
      </w:r>
      <w:r>
        <w:t xml:space="preserve">&gt; </w:t>
      </w:r>
      <w:r>
        <w:rPr>
          <w:u w:val="single"/>
        </w:rPr>
        <w:t>Preparar pedidos</w:t>
      </w:r>
      <w:r>
        <w:t xml:space="preserve"> (Condição: "Só acont</w:t>
      </w:r>
      <w:r>
        <w:t>ece quando já tem o pedido")</w:t>
      </w:r>
    </w:p>
    <w:p w14:paraId="57A091E4" w14:textId="77777777" w:rsidR="00F71D9E" w:rsidRDefault="008F002A">
      <w:pPr>
        <w:pStyle w:val="MdListItem"/>
        <w:numPr>
          <w:ilvl w:val="1"/>
          <w:numId w:val="2"/>
        </w:numPr>
      </w:pPr>
      <w:r>
        <w:rPr>
          <w:u w:val="single"/>
        </w:rPr>
        <w:lastRenderedPageBreak/>
        <w:t>Controlar o estoque</w:t>
      </w:r>
      <w:r>
        <w:t xml:space="preserve"> &lt;</w:t>
      </w:r>
      <w:r>
        <w:rPr>
          <w:rStyle w:val="MdTag"/>
        </w:rPr>
        <w:t>&lt;</w:t>
      </w:r>
      <w:proofErr w:type="spellStart"/>
      <w:r>
        <w:rPr>
          <w:rStyle w:val="MdTag"/>
        </w:rPr>
        <w:t>extend</w:t>
      </w:r>
      <w:proofErr w:type="spellEnd"/>
      <w:r>
        <w:rPr>
          <w:rStyle w:val="MdTag"/>
        </w:rPr>
        <w:t>&gt;</w:t>
      </w:r>
      <w:r>
        <w:t xml:space="preserve">&gt; </w:t>
      </w:r>
      <w:r>
        <w:rPr>
          <w:u w:val="single"/>
        </w:rPr>
        <w:t>Realizar compra de estoque</w:t>
      </w:r>
      <w:r>
        <w:t xml:space="preserve"> (Condição: "só realizada na falta de produtos")</w:t>
      </w:r>
    </w:p>
    <w:p w14:paraId="4609CB84" w14:textId="77777777" w:rsidR="00F71D9E" w:rsidRDefault="00F71D9E">
      <w:pPr>
        <w:pStyle w:val="MdSpace"/>
        <w:spacing w:after="60"/>
      </w:pPr>
    </w:p>
    <w:p w14:paraId="00D1722E" w14:textId="77777777" w:rsidR="00F71D9E" w:rsidRDefault="008F002A">
      <w:pPr>
        <w:pStyle w:val="MdHeading2"/>
      </w:pPr>
      <w:r>
        <w:t>5. Conclusão</w:t>
      </w:r>
    </w:p>
    <w:p w14:paraId="7E15FF69" w14:textId="4111AFC3" w:rsidR="00F71D9E" w:rsidRDefault="008F002A">
      <w:pPr>
        <w:pStyle w:val="MdParagraph"/>
      </w:pPr>
      <w:r>
        <w:t xml:space="preserve">O diagrama de casos de uso analisado descreve um sistema de pedidos com funcionalidades bem definidas para </w:t>
      </w:r>
      <w:r>
        <w:t>diferentes perfis de usuários. A clareza dos atores e casos de uso, juntamente com os relacionamentos de inclusão e extensão, fornece uma base sólida para o desenvolvimento e compreensão do sistema. A separação de responsabilidades entre Cliente, Produção,</w:t>
      </w:r>
      <w:r>
        <w:t xml:space="preserve"> Atendimento e Zé das Couves é evidente, indicando um fluxo de trabalho organizado para o gerenciamento de pedidos e estoque.</w:t>
      </w:r>
    </w:p>
    <w:p w14:paraId="5E90A5FA" w14:textId="2DF2A5B4" w:rsidR="008F002A" w:rsidRDefault="008F002A">
      <w:pPr>
        <w:pStyle w:val="MdParagraph"/>
      </w:pPr>
    </w:p>
    <w:p w14:paraId="50CBB8FD" w14:textId="151EBF68" w:rsidR="008F002A" w:rsidRDefault="008F002A">
      <w:pPr>
        <w:pStyle w:val="MdParagraph"/>
      </w:pPr>
      <w:r>
        <w:t xml:space="preserve">Segue em anexo o modelo da explicação acima feito no </w:t>
      </w:r>
      <w:proofErr w:type="spellStart"/>
      <w:r>
        <w:t>astah</w:t>
      </w:r>
      <w:proofErr w:type="spellEnd"/>
      <w:r>
        <w:t>:</w:t>
      </w:r>
    </w:p>
    <w:p w14:paraId="1BA3C00E" w14:textId="79427B4C" w:rsidR="008F002A" w:rsidRDefault="008F002A">
      <w:pPr>
        <w:pStyle w:val="MdParagraph"/>
      </w:pPr>
      <w:r>
        <w:rPr>
          <w:noProof/>
        </w:rPr>
        <w:drawing>
          <wp:inline distT="0" distB="0" distL="0" distR="0" wp14:anchorId="1995E723" wp14:editId="6F6E65C0">
            <wp:extent cx="5715000" cy="2914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0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50EC8"/>
    <w:multiLevelType w:val="multilevel"/>
    <w:tmpl w:val="B980D24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4094023"/>
    <w:multiLevelType w:val="hybridMultilevel"/>
    <w:tmpl w:val="8BACE408"/>
    <w:lvl w:ilvl="0" w:tplc="C9B4A6E6">
      <w:start w:val="1"/>
      <w:numFmt w:val="bullet"/>
      <w:lvlText w:val="•"/>
      <w:lvlJc w:val="left"/>
      <w:pPr>
        <w:ind w:left="720" w:hanging="360"/>
      </w:pPr>
    </w:lvl>
    <w:lvl w:ilvl="1" w:tplc="759EA912">
      <w:start w:val="1"/>
      <w:numFmt w:val="bullet"/>
      <w:lvlText w:val="◦"/>
      <w:lvlJc w:val="left"/>
      <w:pPr>
        <w:ind w:left="1440" w:hanging="360"/>
      </w:pPr>
    </w:lvl>
    <w:lvl w:ilvl="2" w:tplc="81FE5344">
      <w:start w:val="1"/>
      <w:numFmt w:val="bullet"/>
      <w:lvlText w:val="•"/>
      <w:lvlJc w:val="left"/>
      <w:pPr>
        <w:ind w:left="2160" w:hanging="360"/>
      </w:pPr>
    </w:lvl>
    <w:lvl w:ilvl="3" w:tplc="B560C32C">
      <w:start w:val="1"/>
      <w:numFmt w:val="bullet"/>
      <w:lvlText w:val="◦"/>
      <w:lvlJc w:val="left"/>
      <w:pPr>
        <w:ind w:left="2880" w:hanging="360"/>
      </w:pPr>
    </w:lvl>
    <w:lvl w:ilvl="4" w:tplc="27E4D076">
      <w:start w:val="1"/>
      <w:numFmt w:val="bullet"/>
      <w:lvlText w:val="•"/>
      <w:lvlJc w:val="left"/>
      <w:pPr>
        <w:ind w:left="3600" w:hanging="360"/>
      </w:pPr>
    </w:lvl>
    <w:lvl w:ilvl="5" w:tplc="C9DA6E44">
      <w:start w:val="1"/>
      <w:numFmt w:val="bullet"/>
      <w:lvlText w:val="◦"/>
      <w:lvlJc w:val="left"/>
      <w:pPr>
        <w:ind w:left="4320" w:hanging="360"/>
      </w:pPr>
    </w:lvl>
    <w:lvl w:ilvl="6" w:tplc="9592A0BA">
      <w:start w:val="1"/>
      <w:numFmt w:val="bullet"/>
      <w:lvlText w:val="•"/>
      <w:lvlJc w:val="left"/>
      <w:pPr>
        <w:ind w:left="5040" w:hanging="360"/>
      </w:pPr>
    </w:lvl>
    <w:lvl w:ilvl="7" w:tplc="8676D7B6">
      <w:numFmt w:val="decimal"/>
      <w:lvlText w:val=""/>
      <w:lvlJc w:val="left"/>
    </w:lvl>
    <w:lvl w:ilvl="8" w:tplc="F14457DE">
      <w:numFmt w:val="decimal"/>
      <w:lvlText w:val=""/>
      <w:lvlJc w:val="left"/>
    </w:lvl>
  </w:abstractNum>
  <w:abstractNum w:abstractNumId="2" w15:restartNumberingAfterBreak="0">
    <w:nsid w:val="73A0248D"/>
    <w:multiLevelType w:val="hybridMultilevel"/>
    <w:tmpl w:val="E5A0BCB8"/>
    <w:lvl w:ilvl="0" w:tplc="52A057CC">
      <w:start w:val="1"/>
      <w:numFmt w:val="bullet"/>
      <w:lvlText w:val="●"/>
      <w:lvlJc w:val="left"/>
      <w:pPr>
        <w:ind w:left="720" w:hanging="360"/>
      </w:pPr>
    </w:lvl>
    <w:lvl w:ilvl="1" w:tplc="9EA8FB5A">
      <w:start w:val="1"/>
      <w:numFmt w:val="bullet"/>
      <w:lvlText w:val="○"/>
      <w:lvlJc w:val="left"/>
      <w:pPr>
        <w:ind w:left="1440" w:hanging="360"/>
      </w:pPr>
    </w:lvl>
    <w:lvl w:ilvl="2" w:tplc="38DA52BC">
      <w:start w:val="1"/>
      <w:numFmt w:val="bullet"/>
      <w:lvlText w:val="■"/>
      <w:lvlJc w:val="left"/>
      <w:pPr>
        <w:ind w:left="2160" w:hanging="360"/>
      </w:pPr>
    </w:lvl>
    <w:lvl w:ilvl="3" w:tplc="67DCBA5A">
      <w:start w:val="1"/>
      <w:numFmt w:val="bullet"/>
      <w:lvlText w:val="●"/>
      <w:lvlJc w:val="left"/>
      <w:pPr>
        <w:ind w:left="2880" w:hanging="360"/>
      </w:pPr>
    </w:lvl>
    <w:lvl w:ilvl="4" w:tplc="8CBC7026">
      <w:start w:val="1"/>
      <w:numFmt w:val="bullet"/>
      <w:lvlText w:val="○"/>
      <w:lvlJc w:val="left"/>
      <w:pPr>
        <w:ind w:left="3600" w:hanging="360"/>
      </w:pPr>
    </w:lvl>
    <w:lvl w:ilvl="5" w:tplc="DD3CE972">
      <w:start w:val="1"/>
      <w:numFmt w:val="bullet"/>
      <w:lvlText w:val="■"/>
      <w:lvlJc w:val="left"/>
      <w:pPr>
        <w:ind w:left="4320" w:hanging="360"/>
      </w:pPr>
    </w:lvl>
    <w:lvl w:ilvl="6" w:tplc="7BA4B28E">
      <w:start w:val="1"/>
      <w:numFmt w:val="bullet"/>
      <w:lvlText w:val="●"/>
      <w:lvlJc w:val="left"/>
      <w:pPr>
        <w:ind w:left="5040" w:hanging="360"/>
      </w:pPr>
    </w:lvl>
    <w:lvl w:ilvl="7" w:tplc="9D902308">
      <w:start w:val="1"/>
      <w:numFmt w:val="bullet"/>
      <w:lvlText w:val="●"/>
      <w:lvlJc w:val="left"/>
      <w:pPr>
        <w:ind w:left="5760" w:hanging="360"/>
      </w:pPr>
    </w:lvl>
    <w:lvl w:ilvl="8" w:tplc="637A9A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9E"/>
    <w:rsid w:val="008F002A"/>
    <w:rsid w:val="00F7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C7239"/>
  <w15:docId w15:val="{7AA3BB2B-ED44-489A-A605-056E8282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683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Gustavo Ramos de Azevedo</cp:lastModifiedBy>
  <cp:revision>2</cp:revision>
  <dcterms:created xsi:type="dcterms:W3CDTF">2026-04-01T13:54:00Z</dcterms:created>
  <dcterms:modified xsi:type="dcterms:W3CDTF">2026-04-01T13:54:00Z</dcterms:modified>
</cp:coreProperties>
</file>