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color w:val="546421" w:themeColor="accent6" w:themeShade="80"/>
          <w:sz w:val="36"/>
        </w:rPr>
        <w:id w:val="-1177646497"/>
        <w:docPartObj>
          <w:docPartGallery w:val="Cover Pages"/>
          <w:docPartUnique/>
        </w:docPartObj>
      </w:sdtPr>
      <w:sdtContent>
        <w:p w14:paraId="3476AE7C" w14:textId="60794364" w:rsidR="0016386A" w:rsidRDefault="0016386A">
          <w:pPr>
            <w:rPr>
              <w:rFonts w:asciiTheme="majorHAnsi" w:eastAsiaTheme="majorEastAsia" w:hAnsiTheme="majorHAnsi" w:cstheme="majorHAnsi"/>
              <w:color w:val="546421" w:themeColor="accent6" w:themeShade="80"/>
              <w:sz w:val="36"/>
              <w:szCs w:val="32"/>
            </w:rPr>
          </w:pPr>
          <w:r>
            <w:rPr>
              <w:rFonts w:asciiTheme="majorHAnsi" w:eastAsiaTheme="majorEastAsia" w:hAnsiTheme="majorHAnsi" w:cstheme="majorHAnsi"/>
              <w:noProof/>
              <w:color w:val="546421" w:themeColor="accent6" w:themeShade="80"/>
              <w:sz w:val="36"/>
              <w:szCs w:val="32"/>
              <w:lang w:eastAsia="es-ES"/>
            </w:rPr>
            <mc:AlternateContent>
              <mc:Choice Requires="wps">
                <w:drawing>
                  <wp:anchor distT="0" distB="0" distL="114300" distR="114300" simplePos="0" relativeHeight="251660288" behindDoc="0" locked="0" layoutInCell="1" allowOverlap="1" wp14:anchorId="271B2E5E" wp14:editId="42896923">
                    <wp:simplePos x="0" y="0"/>
                    <wp:positionH relativeFrom="column">
                      <wp:posOffset>3045298</wp:posOffset>
                    </wp:positionH>
                    <wp:positionV relativeFrom="paragraph">
                      <wp:posOffset>4714195</wp:posOffset>
                    </wp:positionV>
                    <wp:extent cx="2966483" cy="3072809"/>
                    <wp:effectExtent l="0" t="0" r="5715" b="0"/>
                    <wp:wrapNone/>
                    <wp:docPr id="2" name="Cuadro de texto 2"/>
                    <wp:cNvGraphicFramePr/>
                    <a:graphic xmlns:a="http://schemas.openxmlformats.org/drawingml/2006/main">
                      <a:graphicData uri="http://schemas.microsoft.com/office/word/2010/wordprocessingShape">
                        <wps:wsp>
                          <wps:cNvSpPr txBox="1"/>
                          <wps:spPr>
                            <a:xfrm>
                              <a:off x="0" y="0"/>
                              <a:ext cx="2966483" cy="3072809"/>
                            </a:xfrm>
                            <a:prstGeom prst="rect">
                              <a:avLst/>
                            </a:prstGeom>
                            <a:solidFill>
                              <a:schemeClr val="lt1"/>
                            </a:solidFill>
                            <a:ln w="6350">
                              <a:noFill/>
                            </a:ln>
                          </wps:spPr>
                          <wps:txbx>
                            <w:txbxContent>
                              <w:p w14:paraId="4FAEF0A4" w14:textId="2A231317" w:rsidR="0016386A" w:rsidRPr="009D1398" w:rsidRDefault="009D1398">
                                <w:r w:rsidRPr="009D1398">
                                  <w:t>${</w:t>
                                </w:r>
                                <w:proofErr w:type="spellStart"/>
                                <w:r w:rsidRPr="009D1398">
                                  <w:t>razon</w:t>
                                </w:r>
                                <w:proofErr w:type="spellEnd"/>
                                <w:r w:rsidRPr="009D1398">
                                  <w:t>}</w:t>
                                </w:r>
                              </w:p>
                              <w:p w14:paraId="270EBB65" w14:textId="3489ED53" w:rsidR="0016386A" w:rsidRDefault="009D1398">
                                <w:r>
                                  <w:t>${</w:t>
                                </w:r>
                                <w:proofErr w:type="spellStart"/>
                                <w:r>
                                  <w:t>cif</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1B2E5E" id="_x0000_t202" coordsize="21600,21600" o:spt="202" path="m,l,21600r21600,l21600,xe">
                    <v:stroke joinstyle="miter"/>
                    <v:path gradientshapeok="t" o:connecttype="rect"/>
                  </v:shapetype>
                  <v:shape id="Cuadro de texto 2" o:spid="_x0000_s1026" type="#_x0000_t202" style="position:absolute;margin-left:239.8pt;margin-top:371.2pt;width:233.6pt;height:24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" fillcolor="white [3201]" stroked="f" strokeweight=".5pt">
                    <v:textbox>
                      <w:txbxContent>
                        <w:p w14:paraId="4FAEF0A4" w14:textId="2A231317" w:rsidR="0016386A" w:rsidRPr="009D1398" w:rsidRDefault="009D1398">
                          <w:r w:rsidRPr="009D1398">
                            <w:t>${</w:t>
                          </w:r>
                          <w:proofErr w:type="spellStart"/>
                          <w:r w:rsidRPr="009D1398">
                            <w:t>razon</w:t>
                          </w:r>
                          <w:proofErr w:type="spellEnd"/>
                          <w:r w:rsidRPr="009D1398">
                            <w:t>}</w:t>
                          </w:r>
                        </w:p>
                        <w:p w14:paraId="270EBB65" w14:textId="3489ED53" w:rsidR="0016386A" w:rsidRDefault="009D1398">
                          <w:r>
                            <w:t>${</w:t>
                          </w:r>
                          <w:proofErr w:type="spellStart"/>
                          <w:r>
                            <w:t>cif</w:t>
                          </w:r>
                          <w:proofErr w:type="spellEnd"/>
                          <w:r>
                            <w:t>}</w:t>
                          </w:r>
                        </w:p>
                      </w:txbxContent>
                    </v:textbox>
                  </v:shape>
                </w:pict>
              </mc:Fallback>
            </mc:AlternateContent>
          </w:r>
          <w:r w:rsidRPr="0016386A">
            <w:rPr>
              <w:rFonts w:asciiTheme="majorHAnsi" w:eastAsiaTheme="majorEastAsia" w:hAnsiTheme="majorHAnsi" w:cstheme="majorHAnsi"/>
              <w:noProof/>
              <w:color w:val="546421" w:themeColor="accent6" w:themeShade="80"/>
              <w:sz w:val="36"/>
              <w:szCs w:val="32"/>
              <w:lang w:eastAsia="es-ES"/>
            </w:rPr>
            <mc:AlternateContent>
              <mc:Choice Requires="wps">
                <w:drawing>
                  <wp:anchor distT="0" distB="0" distL="114300" distR="114300" simplePos="0" relativeHeight="251659264" behindDoc="0" locked="0" layoutInCell="1" allowOverlap="1" wp14:anchorId="56184D20" wp14:editId="6C76CE98">
                    <wp:simplePos x="0" y="0"/>
                    <wp:positionH relativeFrom="page">
                      <wp:align>center</wp:align>
                    </wp:positionH>
                    <wp:positionV relativeFrom="page">
                      <wp:align>center</wp:align>
                    </wp:positionV>
                    <wp:extent cx="1712890" cy="3840480"/>
                    <wp:effectExtent l="0" t="0" r="0" b="254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009DD9" w:themeColor="accent2"/>
                                  </w:tblBorders>
                                  <w:tblCellMar>
                                    <w:top w:w="1296" w:type="dxa"/>
                                    <w:left w:w="360" w:type="dxa"/>
                                    <w:bottom w:w="1296" w:type="dxa"/>
                                    <w:right w:w="360" w:type="dxa"/>
                                  </w:tblCellMar>
                                  <w:tblLook w:val="04A0" w:firstRow="1" w:lastRow="0" w:firstColumn="1" w:lastColumn="0" w:noHBand="0" w:noVBand="1"/>
                                </w:tblPr>
                                <w:tblGrid>
                                  <w:gridCol w:w="5700"/>
                                  <w:gridCol w:w="1770"/>
                                </w:tblGrid>
                                <w:tr w:rsidR="0016386A" w14:paraId="7E2A2BCC" w14:textId="77777777" w:rsidTr="0016386A">
                                  <w:trPr>
                                    <w:jc w:val="center"/>
                                  </w:trPr>
                                  <w:tc>
                                    <w:tcPr>
                                      <w:tcW w:w="2568" w:type="pct"/>
                                      <w:tcBorders>
                                        <w:right w:val="single" w:sz="12" w:space="0" w:color="A5C249" w:themeColor="accent6"/>
                                      </w:tcBorders>
                                      <w:vAlign w:val="center"/>
                                    </w:tcPr>
                                    <w:p w14:paraId="3EEC08A8" w14:textId="5CFB52D7" w:rsidR="0016386A" w:rsidRPr="006544EC" w:rsidRDefault="0016386A">
                                      <w:pPr>
                                        <w:jc w:val="right"/>
                                        <w:rPr>
                                          <w:color w:val="004E6C" w:themeColor="accent2" w:themeShade="80"/>
                                        </w:rPr>
                                      </w:pPr>
                                      <w:r w:rsidRPr="006544EC">
                                        <w:rPr>
                                          <w:noProof/>
                                          <w:color w:val="004E6C" w:themeColor="accent2" w:themeShade="80"/>
                                          <w:lang w:eastAsia="es-ES"/>
                                        </w:rPr>
                                        <w:drawing>
                                          <wp:inline distT="0" distB="0" distL="0" distR="0" wp14:anchorId="30A5F56C" wp14:editId="247EE37A">
                                            <wp:extent cx="3161734" cy="1733107"/>
                                            <wp:effectExtent l="0" t="0" r="63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3202278" cy="1755331"/>
                                                    </a:xfrm>
                                                    <a:prstGeom prst="rect">
                                                      <a:avLst/>
                                                    </a:prstGeom>
                                                  </pic:spPr>
                                                </pic:pic>
                                              </a:graphicData>
                                            </a:graphic>
                                          </wp:inline>
                                        </w:drawing>
                                      </w:r>
                                    </w:p>
                                    <w:sdt>
                                      <w:sdtPr>
                                        <w:rPr>
                                          <w:caps/>
                                          <w:color w:val="546421" w:themeColor="accent6" w:themeShade="80"/>
                                          <w:sz w:val="52"/>
                                          <w:szCs w:val="5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0014FBE9" w14:textId="4D933393" w:rsidR="0016386A" w:rsidRPr="006544EC" w:rsidRDefault="0016386A">
                                          <w:pPr>
                                            <w:pStyle w:val="Sinespaciado"/>
                                            <w:spacing w:line="312" w:lineRule="auto"/>
                                            <w:jc w:val="right"/>
                                            <w:rPr>
                                              <w:caps/>
                                              <w:color w:val="546421" w:themeColor="accent6" w:themeShade="80"/>
                                              <w:sz w:val="72"/>
                                              <w:szCs w:val="72"/>
                                            </w:rPr>
                                          </w:pPr>
                                          <w:r w:rsidRPr="006544EC">
                                            <w:rPr>
                                              <w:caps/>
                                              <w:color w:val="546421" w:themeColor="accent6" w:themeShade="80"/>
                                              <w:sz w:val="52"/>
                                              <w:szCs w:val="52"/>
                                            </w:rPr>
                                            <w:t>maNUAL PARA LA IMPLANTACIÓN D</w:t>
                                          </w:r>
                                          <w:r w:rsidR="00955467">
                                            <w:rPr>
                                              <w:caps/>
                                              <w:color w:val="546421" w:themeColor="accent6" w:themeShade="80"/>
                                              <w:sz w:val="52"/>
                                              <w:szCs w:val="52"/>
                                            </w:rPr>
                                            <w:t>E LA NORMATIVA DE ENVASES Y RESI</w:t>
                                          </w:r>
                                          <w:r w:rsidRPr="006544EC">
                                            <w:rPr>
                                              <w:caps/>
                                              <w:color w:val="546421" w:themeColor="accent6" w:themeShade="80"/>
                                              <w:sz w:val="52"/>
                                              <w:szCs w:val="52"/>
                                            </w:rPr>
                                            <w:t>DUOS DE ENVASES</w:t>
                                          </w:r>
                                        </w:p>
                                      </w:sdtContent>
                                    </w:sdt>
                                    <w:sdt>
                                      <w:sdtPr>
                                        <w:rPr>
                                          <w:color w:val="004E6C" w:themeColor="accent2" w:themeShade="80"/>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010DC2E" w14:textId="3B66A17E" w:rsidR="0016386A" w:rsidRPr="006544EC" w:rsidRDefault="0016386A">
                                          <w:pPr>
                                            <w:jc w:val="right"/>
                                            <w:rPr>
                                              <w:color w:val="004E6C" w:themeColor="accent2" w:themeShade="80"/>
                                              <w:sz w:val="24"/>
                                              <w:szCs w:val="24"/>
                                            </w:rPr>
                                          </w:pPr>
                                          <w:r w:rsidRPr="006544EC">
                                            <w:rPr>
                                              <w:color w:val="004E6C" w:themeColor="accent2" w:themeShade="80"/>
                                              <w:sz w:val="24"/>
                                              <w:szCs w:val="24"/>
                                            </w:rPr>
                                            <w:t xml:space="preserve">     </w:t>
                                          </w:r>
                                        </w:p>
                                      </w:sdtContent>
                                    </w:sdt>
                                  </w:tc>
                                  <w:tc>
                                    <w:tcPr>
                                      <w:tcW w:w="2432" w:type="pct"/>
                                      <w:tcBorders>
                                        <w:left w:val="single" w:sz="12" w:space="0" w:color="A5C249" w:themeColor="accent6"/>
                                      </w:tcBorders>
                                      <w:vAlign w:val="center"/>
                                    </w:tcPr>
                                    <w:sdt>
                                      <w:sdtPr>
                                        <w:rPr>
                                          <w:rFonts w:asciiTheme="majorHAnsi" w:hAnsiTheme="majorHAnsi" w:cstheme="majorHAnsi"/>
                                          <w:b/>
                                          <w:color w:val="546421" w:themeColor="accent6" w:themeShade="80"/>
                                        </w:rPr>
                                        <w:alias w:val="Descripción breve"/>
                                        <w:tag w:val=""/>
                                        <w:id w:val="-2036181933"/>
                                        <w:dataBinding w:prefixMappings="xmlns:ns0='http://schemas.microsoft.com/office/2006/coverPageProps' " w:xpath="/ns0:CoverPageProperties[1]/ns0:Abstract[1]" w:storeItemID="{55AF091B-3C7A-41E3-B477-F2FDAA23CFDA}"/>
                                        <w:text/>
                                      </w:sdtPr>
                                      <w:sdtContent>
                                        <w:p w14:paraId="44DFAEE0" w14:textId="0DA94EB9" w:rsidR="0016386A" w:rsidRPr="00C97D71" w:rsidRDefault="0016386A">
                                          <w:pPr>
                                            <w:rPr>
                                              <w:rFonts w:asciiTheme="majorHAnsi" w:hAnsiTheme="majorHAnsi" w:cstheme="majorHAnsi"/>
                                              <w:b/>
                                              <w:color w:val="546421" w:themeColor="accent6" w:themeShade="80"/>
                                            </w:rPr>
                                          </w:pPr>
                                          <w:r w:rsidRPr="00C97D71">
                                            <w:rPr>
                                              <w:rFonts w:asciiTheme="majorHAnsi" w:hAnsiTheme="majorHAnsi" w:cstheme="majorHAnsi"/>
                                              <w:b/>
                                              <w:color w:val="546421" w:themeColor="accent6" w:themeShade="80"/>
                                            </w:rPr>
                                            <w:t>REAL DECRETO 1055/2022, DE 27 DE DICIEMBRE, DE ENVASES Y RESIDUOS DE ENVASES</w:t>
                                          </w:r>
                                        </w:p>
                                      </w:sdtContent>
                                    </w:sdt>
                                    <w:p w14:paraId="5444966C" w14:textId="5003725E" w:rsidR="0016386A" w:rsidRDefault="0016386A">
                                      <w:pPr>
                                        <w:pStyle w:val="Sinespaciado"/>
                                        <w:rPr>
                                          <w:color w:val="009DD9" w:themeColor="accent2"/>
                                          <w:sz w:val="26"/>
                                          <w:szCs w:val="26"/>
                                        </w:rPr>
                                      </w:pPr>
                                    </w:p>
                                    <w:p w14:paraId="664B9F46" w14:textId="2A4C830B" w:rsidR="0016386A" w:rsidRDefault="00000000">
                                      <w:pPr>
                                        <w:pStyle w:val="Sinespaciado"/>
                                      </w:pPr>
                                      <w:sdt>
                                        <w:sdtPr>
                                          <w:rPr>
                                            <w:color w:val="17406D"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16386A">
                                            <w:rPr>
                                              <w:color w:val="17406D" w:themeColor="text2"/>
                                            </w:rPr>
                                            <w:t xml:space="preserve">     </w:t>
                                          </w:r>
                                        </w:sdtContent>
                                      </w:sdt>
                                    </w:p>
                                  </w:tc>
                                </w:tr>
                              </w:tbl>
                              <w:p w14:paraId="32DF3C7A" w14:textId="77777777" w:rsidR="0016386A" w:rsidRDefault="0016386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56184D20" id="Cuadro de texto 138" o:spid="_x0000_s1027"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" fillcolor="white [3201]" stroked="f" strokeweight=".5pt">
                    <v:textbox inset="0,0,0,0">
                      <w:txbxContent>
                        <w:tbl>
                          <w:tblPr>
                            <w:tblW w:w="5000" w:type="pct"/>
                            <w:jc w:val="center"/>
                            <w:tblBorders>
                              <w:insideV w:val="single" w:sz="12" w:space="0" w:color="009DD9" w:themeColor="accent2"/>
                            </w:tblBorders>
                            <w:tblCellMar>
                              <w:top w:w="1296" w:type="dxa"/>
                              <w:left w:w="360" w:type="dxa"/>
                              <w:bottom w:w="1296" w:type="dxa"/>
                              <w:right w:w="360" w:type="dxa"/>
                            </w:tblCellMar>
                            <w:tblLook w:val="04A0" w:firstRow="1" w:lastRow="0" w:firstColumn="1" w:lastColumn="0" w:noHBand="0" w:noVBand="1"/>
                          </w:tblPr>
                          <w:tblGrid>
                            <w:gridCol w:w="5700"/>
                            <w:gridCol w:w="1770"/>
                          </w:tblGrid>
                          <w:tr w:rsidR="0016386A" w14:paraId="7E2A2BCC" w14:textId="77777777" w:rsidTr="0016386A">
                            <w:trPr>
                              <w:jc w:val="center"/>
                            </w:trPr>
                            <w:tc>
                              <w:tcPr>
                                <w:tcW w:w="2568" w:type="pct"/>
                                <w:tcBorders>
                                  <w:right w:val="single" w:sz="12" w:space="0" w:color="A5C249" w:themeColor="accent6"/>
                                </w:tcBorders>
                                <w:vAlign w:val="center"/>
                              </w:tcPr>
                              <w:p w14:paraId="3EEC08A8" w14:textId="5CFB52D7" w:rsidR="0016386A" w:rsidRPr="006544EC" w:rsidRDefault="0016386A">
                                <w:pPr>
                                  <w:jc w:val="right"/>
                                  <w:rPr>
                                    <w:color w:val="004E6C" w:themeColor="accent2" w:themeShade="80"/>
                                  </w:rPr>
                                </w:pPr>
                                <w:r w:rsidRPr="006544EC">
                                  <w:rPr>
                                    <w:noProof/>
                                    <w:color w:val="004E6C" w:themeColor="accent2" w:themeShade="80"/>
                                    <w:lang w:eastAsia="es-ES"/>
                                  </w:rPr>
                                  <w:drawing>
                                    <wp:inline distT="0" distB="0" distL="0" distR="0" wp14:anchorId="30A5F56C" wp14:editId="247EE37A">
                                      <wp:extent cx="3161734" cy="1733107"/>
                                      <wp:effectExtent l="0" t="0" r="63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3202278" cy="1755331"/>
                                              </a:xfrm>
                                              <a:prstGeom prst="rect">
                                                <a:avLst/>
                                              </a:prstGeom>
                                            </pic:spPr>
                                          </pic:pic>
                                        </a:graphicData>
                                      </a:graphic>
                                    </wp:inline>
                                  </w:drawing>
                                </w:r>
                              </w:p>
                              <w:sdt>
                                <w:sdtPr>
                                  <w:rPr>
                                    <w:caps/>
                                    <w:color w:val="546421" w:themeColor="accent6" w:themeShade="80"/>
                                    <w:sz w:val="52"/>
                                    <w:szCs w:val="5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0014FBE9" w14:textId="4D933393" w:rsidR="0016386A" w:rsidRPr="006544EC" w:rsidRDefault="0016386A">
                                    <w:pPr>
                                      <w:pStyle w:val="Sinespaciado"/>
                                      <w:spacing w:line="312" w:lineRule="auto"/>
                                      <w:jc w:val="right"/>
                                      <w:rPr>
                                        <w:caps/>
                                        <w:color w:val="546421" w:themeColor="accent6" w:themeShade="80"/>
                                        <w:sz w:val="72"/>
                                        <w:szCs w:val="72"/>
                                      </w:rPr>
                                    </w:pPr>
                                    <w:r w:rsidRPr="006544EC">
                                      <w:rPr>
                                        <w:caps/>
                                        <w:color w:val="546421" w:themeColor="accent6" w:themeShade="80"/>
                                        <w:sz w:val="52"/>
                                        <w:szCs w:val="52"/>
                                      </w:rPr>
                                      <w:t>maNUAL PARA LA IMPLANTACIÓN D</w:t>
                                    </w:r>
                                    <w:r w:rsidR="00955467">
                                      <w:rPr>
                                        <w:caps/>
                                        <w:color w:val="546421" w:themeColor="accent6" w:themeShade="80"/>
                                        <w:sz w:val="52"/>
                                        <w:szCs w:val="52"/>
                                      </w:rPr>
                                      <w:t>E LA NORMATIVA DE ENVASES Y RESI</w:t>
                                    </w:r>
                                    <w:r w:rsidRPr="006544EC">
                                      <w:rPr>
                                        <w:caps/>
                                        <w:color w:val="546421" w:themeColor="accent6" w:themeShade="80"/>
                                        <w:sz w:val="52"/>
                                        <w:szCs w:val="52"/>
                                      </w:rPr>
                                      <w:t>DUOS DE ENVASES</w:t>
                                    </w:r>
                                  </w:p>
                                </w:sdtContent>
                              </w:sdt>
                              <w:sdt>
                                <w:sdtPr>
                                  <w:rPr>
                                    <w:color w:val="004E6C" w:themeColor="accent2" w:themeShade="80"/>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010DC2E" w14:textId="3B66A17E" w:rsidR="0016386A" w:rsidRPr="006544EC" w:rsidRDefault="0016386A">
                                    <w:pPr>
                                      <w:jc w:val="right"/>
                                      <w:rPr>
                                        <w:color w:val="004E6C" w:themeColor="accent2" w:themeShade="80"/>
                                        <w:sz w:val="24"/>
                                        <w:szCs w:val="24"/>
                                      </w:rPr>
                                    </w:pPr>
                                    <w:r w:rsidRPr="006544EC">
                                      <w:rPr>
                                        <w:color w:val="004E6C" w:themeColor="accent2" w:themeShade="80"/>
                                        <w:sz w:val="24"/>
                                        <w:szCs w:val="24"/>
                                      </w:rPr>
                                      <w:t xml:space="preserve">     </w:t>
                                    </w:r>
                                  </w:p>
                                </w:sdtContent>
                              </w:sdt>
                            </w:tc>
                            <w:tc>
                              <w:tcPr>
                                <w:tcW w:w="2432" w:type="pct"/>
                                <w:tcBorders>
                                  <w:left w:val="single" w:sz="12" w:space="0" w:color="A5C249" w:themeColor="accent6"/>
                                </w:tcBorders>
                                <w:vAlign w:val="center"/>
                              </w:tcPr>
                              <w:sdt>
                                <w:sdtPr>
                                  <w:rPr>
                                    <w:rFonts w:asciiTheme="majorHAnsi" w:hAnsiTheme="majorHAnsi" w:cstheme="majorHAnsi"/>
                                    <w:b/>
                                    <w:color w:val="546421" w:themeColor="accent6" w:themeShade="80"/>
                                  </w:rPr>
                                  <w:alias w:val="Descripción breve"/>
                                  <w:tag w:val=""/>
                                  <w:id w:val="-2036181933"/>
                                  <w:dataBinding w:prefixMappings="xmlns:ns0='http://schemas.microsoft.com/office/2006/coverPageProps' " w:xpath="/ns0:CoverPageProperties[1]/ns0:Abstract[1]" w:storeItemID="{55AF091B-3C7A-41E3-B477-F2FDAA23CFDA}"/>
                                  <w:text/>
                                </w:sdtPr>
                                <w:sdtContent>
                                  <w:p w14:paraId="44DFAEE0" w14:textId="0DA94EB9" w:rsidR="0016386A" w:rsidRPr="00C97D71" w:rsidRDefault="0016386A">
                                    <w:pPr>
                                      <w:rPr>
                                        <w:rFonts w:asciiTheme="majorHAnsi" w:hAnsiTheme="majorHAnsi" w:cstheme="majorHAnsi"/>
                                        <w:b/>
                                        <w:color w:val="546421" w:themeColor="accent6" w:themeShade="80"/>
                                      </w:rPr>
                                    </w:pPr>
                                    <w:r w:rsidRPr="00C97D71">
                                      <w:rPr>
                                        <w:rFonts w:asciiTheme="majorHAnsi" w:hAnsiTheme="majorHAnsi" w:cstheme="majorHAnsi"/>
                                        <w:b/>
                                        <w:color w:val="546421" w:themeColor="accent6" w:themeShade="80"/>
                                      </w:rPr>
                                      <w:t>REAL DECRETO 1055/2022, DE 27 DE DICIEMBRE, DE ENVASES Y RESIDUOS DE ENVASES</w:t>
                                    </w:r>
                                  </w:p>
                                </w:sdtContent>
                              </w:sdt>
                              <w:p w14:paraId="5444966C" w14:textId="5003725E" w:rsidR="0016386A" w:rsidRDefault="0016386A">
                                <w:pPr>
                                  <w:pStyle w:val="Sinespaciado"/>
                                  <w:rPr>
                                    <w:color w:val="009DD9" w:themeColor="accent2"/>
                                    <w:sz w:val="26"/>
                                    <w:szCs w:val="26"/>
                                  </w:rPr>
                                </w:pPr>
                              </w:p>
                              <w:p w14:paraId="664B9F46" w14:textId="2A4C830B" w:rsidR="0016386A" w:rsidRDefault="00000000">
                                <w:pPr>
                                  <w:pStyle w:val="Sinespaciado"/>
                                </w:pPr>
                                <w:sdt>
                                  <w:sdtPr>
                                    <w:rPr>
                                      <w:color w:val="17406D"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16386A">
                                      <w:rPr>
                                        <w:color w:val="17406D" w:themeColor="text2"/>
                                      </w:rPr>
                                      <w:t xml:space="preserve">     </w:t>
                                    </w:r>
                                  </w:sdtContent>
                                </w:sdt>
                              </w:p>
                            </w:tc>
                          </w:tr>
                        </w:tbl>
                        <w:p w14:paraId="32DF3C7A" w14:textId="77777777" w:rsidR="0016386A" w:rsidRDefault="0016386A"/>
                      </w:txbxContent>
                    </v:textbox>
                    <w10:wrap anchorx="page" anchory="page"/>
                  </v:shape>
                </w:pict>
              </mc:Fallback>
            </mc:AlternateContent>
          </w:r>
          <w:r>
            <w:rPr>
              <w:rFonts w:asciiTheme="majorHAnsi" w:hAnsiTheme="majorHAnsi" w:cstheme="majorHAnsi"/>
              <w:color w:val="546421" w:themeColor="accent6" w:themeShade="80"/>
              <w:sz w:val="36"/>
            </w:rPr>
            <w:br w:type="page"/>
          </w:r>
        </w:p>
      </w:sdtContent>
    </w:sdt>
    <w:p w14:paraId="68C45565" w14:textId="59AD6A55" w:rsidR="006544EC" w:rsidRDefault="006544EC" w:rsidP="0016386A">
      <w:pPr>
        <w:pStyle w:val="Estilo1"/>
        <w:jc w:val="both"/>
        <w:rPr>
          <w:rFonts w:asciiTheme="majorHAnsi" w:hAnsiTheme="majorHAnsi" w:cstheme="majorHAnsi"/>
          <w:color w:val="546421" w:themeColor="accent6" w:themeShade="80"/>
          <w:sz w:val="36"/>
        </w:rPr>
      </w:pPr>
    </w:p>
    <w:tbl>
      <w:tblPr>
        <w:tblStyle w:val="Tablanormal1"/>
        <w:tblW w:w="0" w:type="auto"/>
        <w:tblLook w:val="04A0" w:firstRow="1" w:lastRow="0" w:firstColumn="1" w:lastColumn="0" w:noHBand="0" w:noVBand="1"/>
      </w:tblPr>
      <w:tblGrid>
        <w:gridCol w:w="8494"/>
      </w:tblGrid>
      <w:tr w:rsidR="006544EC" w14:paraId="1634B2A1" w14:textId="77777777" w:rsidTr="00654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shd w:val="clear" w:color="auto" w:fill="546421" w:themeFill="accent6" w:themeFillShade="80"/>
          </w:tcPr>
          <w:p w14:paraId="20E1EC58" w14:textId="6CD51C9D" w:rsidR="006544EC" w:rsidRDefault="006544EC" w:rsidP="006544EC">
            <w:pPr>
              <w:pStyle w:val="Estilo1"/>
              <w:jc w:val="left"/>
              <w:rPr>
                <w:rFonts w:asciiTheme="majorHAnsi" w:hAnsiTheme="majorHAnsi" w:cstheme="majorHAnsi"/>
                <w:color w:val="546421" w:themeColor="accent6" w:themeShade="80"/>
                <w:sz w:val="36"/>
              </w:rPr>
            </w:pPr>
            <w:r w:rsidRPr="006544EC">
              <w:rPr>
                <w:rFonts w:asciiTheme="majorHAnsi" w:hAnsiTheme="majorHAnsi" w:cstheme="majorHAnsi"/>
                <w:color w:val="FFFFFF" w:themeColor="background1"/>
                <w:sz w:val="48"/>
                <w:szCs w:val="44"/>
              </w:rPr>
              <w:t>Índice</w:t>
            </w:r>
          </w:p>
        </w:tc>
      </w:tr>
    </w:tbl>
    <w:p w14:paraId="77F607FE" w14:textId="77777777" w:rsidR="006544EC" w:rsidRDefault="006544EC" w:rsidP="0016386A">
      <w:pPr>
        <w:pStyle w:val="Estilo1"/>
        <w:jc w:val="both"/>
        <w:rPr>
          <w:rFonts w:asciiTheme="majorHAnsi" w:hAnsiTheme="majorHAnsi" w:cstheme="majorHAnsi"/>
          <w:color w:val="546421" w:themeColor="accent6" w:themeShade="80"/>
          <w:sz w:val="36"/>
        </w:rPr>
      </w:pPr>
    </w:p>
    <w:p w14:paraId="51A2E672" w14:textId="22E93C8B" w:rsidR="0016386A" w:rsidRDefault="0016386A" w:rsidP="0016386A">
      <w:pPr>
        <w:pStyle w:val="Estilo1"/>
        <w:jc w:val="both"/>
        <w:rPr>
          <w:rFonts w:asciiTheme="majorHAnsi" w:hAnsiTheme="majorHAnsi" w:cstheme="majorHAnsi"/>
          <w:color w:val="546421" w:themeColor="accent6" w:themeShade="80"/>
          <w:sz w:val="36"/>
        </w:rPr>
      </w:pPr>
      <w:r>
        <w:rPr>
          <w:rFonts w:asciiTheme="majorHAnsi" w:hAnsiTheme="majorHAnsi" w:cstheme="majorHAnsi"/>
          <w:color w:val="546421" w:themeColor="accent6" w:themeShade="80"/>
          <w:sz w:val="36"/>
        </w:rPr>
        <w:t>Introducción</w:t>
      </w:r>
    </w:p>
    <w:p w14:paraId="716F8E42" w14:textId="77777777" w:rsidR="0016386A" w:rsidRDefault="0016386A" w:rsidP="0016386A">
      <w:pPr>
        <w:pStyle w:val="Estilo1"/>
        <w:jc w:val="both"/>
        <w:rPr>
          <w:rFonts w:asciiTheme="majorHAnsi" w:hAnsiTheme="majorHAnsi" w:cstheme="majorHAnsi"/>
          <w:color w:val="546421" w:themeColor="accent6" w:themeShade="80"/>
          <w:sz w:val="36"/>
        </w:rPr>
      </w:pPr>
      <w:r>
        <w:rPr>
          <w:rFonts w:asciiTheme="majorHAnsi" w:hAnsiTheme="majorHAnsi" w:cstheme="majorHAnsi"/>
          <w:color w:val="546421" w:themeColor="accent6" w:themeShade="80"/>
          <w:sz w:val="36"/>
        </w:rPr>
        <w:t>Objetivos</w:t>
      </w:r>
    </w:p>
    <w:p w14:paraId="5C7673C4" w14:textId="721D77EF" w:rsidR="0016386A" w:rsidRDefault="0016386A" w:rsidP="006544EC">
      <w:pPr>
        <w:pStyle w:val="Estilo1"/>
        <w:jc w:val="both"/>
        <w:rPr>
          <w:rFonts w:asciiTheme="majorHAnsi" w:hAnsiTheme="majorHAnsi" w:cstheme="majorHAnsi"/>
          <w:color w:val="546421" w:themeColor="accent6" w:themeShade="80"/>
          <w:sz w:val="36"/>
        </w:rPr>
      </w:pPr>
      <w:r>
        <w:rPr>
          <w:rFonts w:asciiTheme="majorHAnsi" w:hAnsiTheme="majorHAnsi" w:cstheme="majorHAnsi"/>
          <w:color w:val="546421" w:themeColor="accent6" w:themeShade="80"/>
          <w:sz w:val="36"/>
        </w:rPr>
        <w:t>Ámbito de aplicación y conceptos</w:t>
      </w:r>
    </w:p>
    <w:p w14:paraId="47441A6B" w14:textId="77777777" w:rsidR="0016386A" w:rsidRPr="00875E59" w:rsidRDefault="0016386A" w:rsidP="0016386A">
      <w:pPr>
        <w:pStyle w:val="Estilo1"/>
        <w:jc w:val="both"/>
        <w:rPr>
          <w:rFonts w:asciiTheme="majorHAnsi" w:hAnsiTheme="majorHAnsi" w:cstheme="majorHAnsi"/>
          <w:iCs/>
          <w:color w:val="546421" w:themeColor="accent6" w:themeShade="80"/>
          <w:sz w:val="36"/>
        </w:rPr>
      </w:pPr>
      <w:r w:rsidRPr="00875E59">
        <w:rPr>
          <w:rFonts w:asciiTheme="majorHAnsi" w:hAnsiTheme="majorHAnsi" w:cstheme="majorHAnsi"/>
          <w:iCs/>
          <w:color w:val="546421" w:themeColor="accent6" w:themeShade="80"/>
          <w:sz w:val="36"/>
        </w:rPr>
        <w:t>Obligaciones de comerciantes y distribuidores</w:t>
      </w:r>
    </w:p>
    <w:p w14:paraId="5E474E06" w14:textId="77777777" w:rsidR="0016386A" w:rsidRDefault="0016386A" w:rsidP="0016386A">
      <w:pPr>
        <w:pStyle w:val="Estilo1"/>
        <w:jc w:val="both"/>
        <w:rPr>
          <w:rFonts w:asciiTheme="majorHAnsi" w:hAnsiTheme="majorHAnsi" w:cstheme="majorHAnsi"/>
          <w:color w:val="546421" w:themeColor="accent6" w:themeShade="80"/>
          <w:sz w:val="36"/>
        </w:rPr>
      </w:pPr>
      <w:r>
        <w:rPr>
          <w:rFonts w:asciiTheme="majorHAnsi" w:hAnsiTheme="majorHAnsi" w:cstheme="majorHAnsi"/>
          <w:color w:val="546421" w:themeColor="accent6" w:themeShade="80"/>
          <w:sz w:val="36"/>
        </w:rPr>
        <w:t>Control e Inspección</w:t>
      </w:r>
    </w:p>
    <w:p w14:paraId="70891B30" w14:textId="77777777" w:rsidR="0016386A" w:rsidRDefault="0016386A" w:rsidP="0016386A">
      <w:pPr>
        <w:pStyle w:val="Estilo1"/>
        <w:jc w:val="both"/>
        <w:rPr>
          <w:rFonts w:asciiTheme="majorHAnsi" w:hAnsiTheme="majorHAnsi" w:cstheme="majorHAnsi"/>
          <w:color w:val="546421" w:themeColor="accent6" w:themeShade="80"/>
          <w:sz w:val="36"/>
        </w:rPr>
      </w:pPr>
      <w:r>
        <w:rPr>
          <w:rFonts w:asciiTheme="majorHAnsi" w:hAnsiTheme="majorHAnsi" w:cstheme="majorHAnsi"/>
          <w:color w:val="546421" w:themeColor="accent6" w:themeShade="80"/>
          <w:sz w:val="36"/>
        </w:rPr>
        <w:t>Régimen Sancionador</w:t>
      </w:r>
    </w:p>
    <w:p w14:paraId="56E4E690" w14:textId="77777777" w:rsidR="0016386A" w:rsidRDefault="0016386A" w:rsidP="0016386A">
      <w:pPr>
        <w:pStyle w:val="Estilo1"/>
        <w:jc w:val="both"/>
        <w:rPr>
          <w:rFonts w:asciiTheme="majorHAnsi" w:hAnsiTheme="majorHAnsi" w:cstheme="majorHAnsi"/>
          <w:color w:val="546421" w:themeColor="accent6" w:themeShade="80"/>
          <w:sz w:val="36"/>
        </w:rPr>
      </w:pPr>
    </w:p>
    <w:p w14:paraId="5E293626" w14:textId="77777777" w:rsidR="006544EC" w:rsidRDefault="006544EC" w:rsidP="0016386A">
      <w:pPr>
        <w:pStyle w:val="Estilo1"/>
        <w:jc w:val="both"/>
        <w:rPr>
          <w:rFonts w:asciiTheme="majorHAnsi" w:hAnsiTheme="majorHAnsi" w:cstheme="majorHAnsi"/>
          <w:color w:val="546421" w:themeColor="accent6" w:themeShade="80"/>
          <w:sz w:val="36"/>
        </w:rPr>
      </w:pPr>
    </w:p>
    <w:p w14:paraId="5AF63FFC" w14:textId="77777777" w:rsidR="006544EC" w:rsidRDefault="006544EC" w:rsidP="0016386A">
      <w:pPr>
        <w:pStyle w:val="Estilo1"/>
        <w:jc w:val="both"/>
        <w:rPr>
          <w:rFonts w:asciiTheme="majorHAnsi" w:hAnsiTheme="majorHAnsi" w:cstheme="majorHAnsi"/>
          <w:color w:val="546421" w:themeColor="accent6" w:themeShade="80"/>
          <w:sz w:val="36"/>
        </w:rPr>
      </w:pPr>
    </w:p>
    <w:p w14:paraId="3C1C7FCE" w14:textId="77777777" w:rsidR="006544EC" w:rsidRDefault="006544EC" w:rsidP="0016386A">
      <w:pPr>
        <w:pStyle w:val="Estilo1"/>
        <w:jc w:val="both"/>
        <w:rPr>
          <w:rFonts w:asciiTheme="majorHAnsi" w:hAnsiTheme="majorHAnsi" w:cstheme="majorHAnsi"/>
          <w:color w:val="546421" w:themeColor="accent6" w:themeShade="80"/>
          <w:sz w:val="36"/>
        </w:rPr>
      </w:pPr>
    </w:p>
    <w:p w14:paraId="73EB93FC" w14:textId="77777777" w:rsidR="006544EC" w:rsidRDefault="006544EC" w:rsidP="0016386A">
      <w:pPr>
        <w:pStyle w:val="Estilo1"/>
        <w:jc w:val="both"/>
        <w:rPr>
          <w:rFonts w:asciiTheme="majorHAnsi" w:hAnsiTheme="majorHAnsi" w:cstheme="majorHAnsi"/>
          <w:color w:val="546421" w:themeColor="accent6" w:themeShade="80"/>
          <w:sz w:val="36"/>
        </w:rPr>
      </w:pPr>
    </w:p>
    <w:p w14:paraId="1E5B03EB" w14:textId="77777777" w:rsidR="006544EC" w:rsidRDefault="006544EC" w:rsidP="0016386A">
      <w:pPr>
        <w:pStyle w:val="Estilo1"/>
        <w:jc w:val="both"/>
        <w:rPr>
          <w:rFonts w:asciiTheme="majorHAnsi" w:hAnsiTheme="majorHAnsi" w:cstheme="majorHAnsi"/>
          <w:color w:val="546421" w:themeColor="accent6" w:themeShade="80"/>
          <w:sz w:val="36"/>
        </w:rPr>
      </w:pPr>
    </w:p>
    <w:p w14:paraId="5E50B8BB" w14:textId="77777777" w:rsidR="006544EC" w:rsidRDefault="006544EC" w:rsidP="0016386A">
      <w:pPr>
        <w:pStyle w:val="Estilo1"/>
        <w:jc w:val="both"/>
        <w:rPr>
          <w:rFonts w:asciiTheme="majorHAnsi" w:hAnsiTheme="majorHAnsi" w:cstheme="majorHAnsi"/>
          <w:color w:val="546421" w:themeColor="accent6" w:themeShade="80"/>
          <w:sz w:val="36"/>
        </w:rPr>
      </w:pPr>
    </w:p>
    <w:p w14:paraId="7BA8A6CF" w14:textId="77777777" w:rsidR="006544EC" w:rsidRDefault="006544EC" w:rsidP="0016386A">
      <w:pPr>
        <w:pStyle w:val="Estilo1"/>
        <w:jc w:val="both"/>
        <w:rPr>
          <w:rFonts w:asciiTheme="majorHAnsi" w:hAnsiTheme="majorHAnsi" w:cstheme="majorHAnsi"/>
          <w:color w:val="546421" w:themeColor="accent6" w:themeShade="80"/>
          <w:sz w:val="36"/>
        </w:rPr>
      </w:pPr>
    </w:p>
    <w:p w14:paraId="266E1255" w14:textId="5FAA2EB7" w:rsidR="0016386A" w:rsidRDefault="0016386A" w:rsidP="0016386A">
      <w:pPr>
        <w:pStyle w:val="Estilo1"/>
        <w:jc w:val="both"/>
        <w:rPr>
          <w:rFonts w:asciiTheme="majorHAnsi" w:hAnsiTheme="majorHAnsi" w:cstheme="majorHAnsi"/>
          <w:color w:val="546421" w:themeColor="accent6" w:themeShade="80"/>
          <w:sz w:val="36"/>
        </w:rPr>
      </w:pPr>
    </w:p>
    <w:p w14:paraId="1ECF0B02" w14:textId="77777777" w:rsidR="00875E59" w:rsidRDefault="00875E59" w:rsidP="0016386A">
      <w:pPr>
        <w:pStyle w:val="Estilo1"/>
        <w:jc w:val="both"/>
        <w:rPr>
          <w:rFonts w:asciiTheme="majorHAnsi" w:hAnsiTheme="majorHAnsi" w:cstheme="majorHAnsi"/>
          <w:color w:val="546421" w:themeColor="accent6" w:themeShade="80"/>
          <w:sz w:val="36"/>
        </w:rPr>
      </w:pPr>
    </w:p>
    <w:tbl>
      <w:tblPr>
        <w:tblStyle w:val="Tablaconcuadrcula"/>
        <w:tblW w:w="0" w:type="auto"/>
        <w:tblLook w:val="04A0" w:firstRow="1" w:lastRow="0" w:firstColumn="1" w:lastColumn="0" w:noHBand="0" w:noVBand="1"/>
      </w:tblPr>
      <w:tblGrid>
        <w:gridCol w:w="8494"/>
      </w:tblGrid>
      <w:tr w:rsidR="006544EC" w14:paraId="62EA1215" w14:textId="77777777" w:rsidTr="000D26AB">
        <w:trPr>
          <w:trHeight w:val="421"/>
        </w:trPr>
        <w:tc>
          <w:tcPr>
            <w:tcW w:w="8494" w:type="dxa"/>
            <w:tcBorders>
              <w:top w:val="nil"/>
              <w:left w:val="nil"/>
              <w:bottom w:val="single" w:sz="4" w:space="0" w:color="auto"/>
              <w:right w:val="nil"/>
            </w:tcBorders>
            <w:shd w:val="clear" w:color="auto" w:fill="ECF2DA" w:themeFill="accent6" w:themeFillTint="33"/>
          </w:tcPr>
          <w:p w14:paraId="6B778304" w14:textId="130F4384" w:rsidR="006544EC" w:rsidRDefault="006544EC" w:rsidP="006544EC">
            <w:pPr>
              <w:pStyle w:val="Estilo1"/>
              <w:rPr>
                <w:rFonts w:asciiTheme="majorHAnsi" w:hAnsiTheme="majorHAnsi" w:cstheme="majorHAnsi"/>
                <w:color w:val="546421" w:themeColor="accent6" w:themeShade="80"/>
                <w:sz w:val="36"/>
              </w:rPr>
            </w:pPr>
            <w:r w:rsidRPr="00FC6260">
              <w:rPr>
                <w:rFonts w:asciiTheme="majorHAnsi" w:hAnsiTheme="majorHAnsi" w:cstheme="majorHAnsi"/>
                <w:color w:val="546421" w:themeColor="accent6" w:themeShade="80"/>
                <w:sz w:val="36"/>
              </w:rPr>
              <w:lastRenderedPageBreak/>
              <w:t>INTRODUCCION</w:t>
            </w:r>
          </w:p>
        </w:tc>
      </w:tr>
    </w:tbl>
    <w:p w14:paraId="45667E51" w14:textId="77777777" w:rsidR="006544EC" w:rsidRPr="00FC6260" w:rsidRDefault="006544EC" w:rsidP="0016386A">
      <w:pPr>
        <w:pStyle w:val="Estilo1"/>
        <w:jc w:val="both"/>
        <w:rPr>
          <w:rFonts w:asciiTheme="majorHAnsi" w:hAnsiTheme="majorHAnsi" w:cstheme="majorHAnsi"/>
          <w:color w:val="546421" w:themeColor="accent6" w:themeShade="80"/>
          <w:sz w:val="36"/>
        </w:rPr>
      </w:pPr>
    </w:p>
    <w:p w14:paraId="67C20F8F" w14:textId="77777777" w:rsidR="0016386A" w:rsidRDefault="0016386A" w:rsidP="0016386A">
      <w:pPr>
        <w:jc w:val="both"/>
        <w:rPr>
          <w:rFonts w:asciiTheme="majorHAnsi" w:hAnsiTheme="majorHAnsi" w:cstheme="majorHAnsi"/>
          <w:sz w:val="24"/>
        </w:rPr>
      </w:pPr>
      <w:r w:rsidRPr="00FC6260">
        <w:rPr>
          <w:rFonts w:asciiTheme="majorHAnsi" w:hAnsiTheme="majorHAnsi" w:cstheme="majorHAnsi"/>
          <w:sz w:val="24"/>
        </w:rPr>
        <w:t>El 28 de diciembre se publicó en el BOE el Real Decreto 1055/2022, de 27 de diciembre, de envases y residuos de envases. Transpone la revisión operada en 2018 de la Directiva de Envases y Residuos de Envases y algunos aspectos pendientes de la Directiva de Plásticos de un solo Uso (Directiva (UE) 2019/904).</w:t>
      </w:r>
    </w:p>
    <w:p w14:paraId="1ADBC222" w14:textId="77777777" w:rsidR="0016386A" w:rsidRPr="00FC6260" w:rsidRDefault="0016386A" w:rsidP="0016386A">
      <w:pPr>
        <w:jc w:val="both"/>
        <w:rPr>
          <w:rFonts w:asciiTheme="majorHAnsi" w:hAnsiTheme="majorHAnsi" w:cstheme="majorHAnsi"/>
          <w:sz w:val="24"/>
        </w:rPr>
      </w:pPr>
      <w:r>
        <w:rPr>
          <w:rFonts w:asciiTheme="majorHAnsi" w:hAnsiTheme="majorHAnsi" w:cstheme="majorHAnsi"/>
          <w:sz w:val="24"/>
        </w:rPr>
        <w:t xml:space="preserve">La normativa europea imponía </w:t>
      </w:r>
      <w:r w:rsidRPr="00257A03">
        <w:rPr>
          <w:rFonts w:asciiTheme="majorHAnsi" w:hAnsiTheme="majorHAnsi" w:cstheme="majorHAnsi"/>
          <w:sz w:val="24"/>
        </w:rPr>
        <w:t>obligaci</w:t>
      </w:r>
      <w:r>
        <w:rPr>
          <w:rFonts w:asciiTheme="majorHAnsi" w:hAnsiTheme="majorHAnsi" w:cstheme="majorHAnsi"/>
          <w:sz w:val="24"/>
        </w:rPr>
        <w:t xml:space="preserve">ones para cada una de las naciones </w:t>
      </w:r>
      <w:r w:rsidRPr="00257A03">
        <w:rPr>
          <w:rFonts w:asciiTheme="majorHAnsi" w:hAnsiTheme="majorHAnsi" w:cstheme="majorHAnsi"/>
          <w:sz w:val="24"/>
        </w:rPr>
        <w:t>de establecer medidas abiertas a la participación de todos los sectores sociales y económicos afectados, de devolución, recogida y recuperación de residuos de envases y envases usados, con el fin de dirigirlos a las alternativas de gestión más adecuadas</w:t>
      </w:r>
    </w:p>
    <w:p w14:paraId="7BB35C61" w14:textId="799C182A" w:rsidR="0016386A" w:rsidRDefault="0016386A" w:rsidP="0016386A">
      <w:pPr>
        <w:jc w:val="both"/>
        <w:rPr>
          <w:rFonts w:asciiTheme="majorHAnsi" w:hAnsiTheme="majorHAnsi" w:cstheme="majorHAnsi"/>
          <w:sz w:val="24"/>
        </w:rPr>
      </w:pPr>
      <w:r>
        <w:rPr>
          <w:rFonts w:asciiTheme="majorHAnsi" w:hAnsiTheme="majorHAnsi" w:cstheme="majorHAnsi"/>
          <w:sz w:val="24"/>
        </w:rPr>
        <w:t>El resultado de la transposición es e</w:t>
      </w:r>
      <w:r w:rsidRPr="00FC6260">
        <w:rPr>
          <w:rFonts w:asciiTheme="majorHAnsi" w:hAnsiTheme="majorHAnsi" w:cstheme="majorHAnsi"/>
          <w:sz w:val="24"/>
        </w:rPr>
        <w:t>sta nueva normativa</w:t>
      </w:r>
      <w:r>
        <w:rPr>
          <w:rFonts w:asciiTheme="majorHAnsi" w:hAnsiTheme="majorHAnsi" w:cstheme="majorHAnsi"/>
          <w:sz w:val="24"/>
        </w:rPr>
        <w:t xml:space="preserve"> </w:t>
      </w:r>
      <w:r w:rsidRPr="00FC6260">
        <w:rPr>
          <w:rFonts w:asciiTheme="majorHAnsi" w:hAnsiTheme="majorHAnsi" w:cstheme="majorHAnsi"/>
          <w:sz w:val="24"/>
        </w:rPr>
        <w:t>recoge importantes novedades en el régimen jurídico aplicable a los envases y residuos. La finalidad de la misma es prevenir y reducir su impacto en el medio ambiente a lo largo de todo su ciclo de vida, para lo cual se establecen una serie de medidas destinadas a la prevención de la producción de residuos de envases y a la reutilización de envases, al reciclado y, por tanto, a la reducción de dichos residuos.</w:t>
      </w:r>
    </w:p>
    <w:p w14:paraId="2AEBE0C3" w14:textId="77777777" w:rsidR="0016386A" w:rsidRPr="00FC6260" w:rsidRDefault="0016386A" w:rsidP="0016386A">
      <w:pPr>
        <w:jc w:val="both"/>
        <w:rPr>
          <w:rFonts w:asciiTheme="majorHAnsi" w:hAnsiTheme="majorHAnsi" w:cstheme="majorHAnsi"/>
          <w:sz w:val="24"/>
        </w:rPr>
      </w:pPr>
      <w:r w:rsidRPr="00257A03">
        <w:rPr>
          <w:rFonts w:asciiTheme="majorHAnsi" w:hAnsiTheme="majorHAnsi" w:cstheme="majorHAnsi"/>
          <w:sz w:val="24"/>
        </w:rPr>
        <w:t>Asimismo, regula los mecanismos necesarios para incrementar la transparencia y el adecuado seguimiento y control de las obligaciones de los productores tanto en lo que respecta a la puesta en el mercado de productos como en lo que respecta a la gestión de sus residuos.</w:t>
      </w:r>
    </w:p>
    <w:p w14:paraId="361A657E" w14:textId="77777777" w:rsidR="0016386A" w:rsidRDefault="0016386A" w:rsidP="0016386A">
      <w:pPr>
        <w:jc w:val="both"/>
        <w:rPr>
          <w:rFonts w:asciiTheme="majorHAnsi" w:hAnsiTheme="majorHAnsi" w:cstheme="majorHAnsi"/>
          <w:sz w:val="24"/>
        </w:rPr>
      </w:pPr>
      <w:r w:rsidRPr="00FC6260">
        <w:rPr>
          <w:rFonts w:asciiTheme="majorHAnsi" w:hAnsiTheme="majorHAnsi" w:cstheme="majorHAnsi"/>
          <w:sz w:val="24"/>
        </w:rPr>
        <w:t>Estas nuevas obligaciones entran en vigor el 29 de diciembre de 2022, aunque hay unas medidas concretas que se emplazan hasta el 1 de enero de 2025.</w:t>
      </w:r>
    </w:p>
    <w:p w14:paraId="2DB465A5" w14:textId="77777777" w:rsidR="0016386A" w:rsidRDefault="0016386A" w:rsidP="0016386A">
      <w:pPr>
        <w:jc w:val="both"/>
        <w:rPr>
          <w:rFonts w:asciiTheme="majorHAnsi" w:hAnsiTheme="majorHAnsi" w:cstheme="majorHAnsi"/>
          <w:sz w:val="24"/>
        </w:rPr>
      </w:pPr>
    </w:p>
    <w:p w14:paraId="727604EA" w14:textId="77777777" w:rsidR="006544EC" w:rsidRDefault="006544EC" w:rsidP="0016386A">
      <w:pPr>
        <w:jc w:val="both"/>
        <w:rPr>
          <w:rFonts w:asciiTheme="majorHAnsi" w:eastAsiaTheme="majorEastAsia" w:hAnsiTheme="majorHAnsi" w:cstheme="majorHAnsi"/>
          <w:color w:val="546421" w:themeColor="accent6" w:themeShade="80"/>
          <w:sz w:val="36"/>
          <w:szCs w:val="32"/>
        </w:rPr>
      </w:pPr>
    </w:p>
    <w:p w14:paraId="185DE993" w14:textId="77777777" w:rsidR="006544EC" w:rsidRDefault="006544EC" w:rsidP="0016386A">
      <w:pPr>
        <w:jc w:val="both"/>
        <w:rPr>
          <w:rFonts w:asciiTheme="majorHAnsi" w:eastAsiaTheme="majorEastAsia" w:hAnsiTheme="majorHAnsi" w:cstheme="majorHAnsi"/>
          <w:color w:val="546421" w:themeColor="accent6" w:themeShade="80"/>
          <w:sz w:val="36"/>
          <w:szCs w:val="32"/>
        </w:rPr>
      </w:pPr>
    </w:p>
    <w:p w14:paraId="6BB331B6" w14:textId="77777777" w:rsidR="006544EC" w:rsidRDefault="006544EC" w:rsidP="0016386A">
      <w:pPr>
        <w:jc w:val="both"/>
        <w:rPr>
          <w:rFonts w:asciiTheme="majorHAnsi" w:eastAsiaTheme="majorEastAsia" w:hAnsiTheme="majorHAnsi" w:cstheme="majorHAnsi"/>
          <w:color w:val="546421" w:themeColor="accent6" w:themeShade="80"/>
          <w:sz w:val="36"/>
          <w:szCs w:val="32"/>
        </w:rPr>
      </w:pPr>
    </w:p>
    <w:p w14:paraId="597F0AAE" w14:textId="77777777" w:rsidR="006544EC" w:rsidRDefault="006544EC" w:rsidP="0016386A">
      <w:pPr>
        <w:jc w:val="both"/>
        <w:rPr>
          <w:rFonts w:asciiTheme="majorHAnsi" w:eastAsiaTheme="majorEastAsia" w:hAnsiTheme="majorHAnsi" w:cstheme="majorHAnsi"/>
          <w:color w:val="546421" w:themeColor="accent6" w:themeShade="80"/>
          <w:sz w:val="36"/>
          <w:szCs w:val="32"/>
        </w:rPr>
      </w:pPr>
    </w:p>
    <w:p w14:paraId="46C93D24" w14:textId="77777777" w:rsidR="006544EC" w:rsidRDefault="006544EC" w:rsidP="0016386A">
      <w:pPr>
        <w:jc w:val="both"/>
        <w:rPr>
          <w:rFonts w:asciiTheme="majorHAnsi" w:eastAsiaTheme="majorEastAsia" w:hAnsiTheme="majorHAnsi" w:cstheme="majorHAnsi"/>
          <w:color w:val="546421" w:themeColor="accent6" w:themeShade="80"/>
          <w:sz w:val="36"/>
          <w:szCs w:val="32"/>
        </w:rPr>
      </w:pPr>
    </w:p>
    <w:p w14:paraId="501CA7E3" w14:textId="77777777" w:rsidR="006544EC" w:rsidRDefault="006544EC" w:rsidP="0016386A">
      <w:pPr>
        <w:jc w:val="both"/>
        <w:rPr>
          <w:rFonts w:asciiTheme="majorHAnsi" w:eastAsiaTheme="majorEastAsia" w:hAnsiTheme="majorHAnsi" w:cstheme="majorHAnsi"/>
          <w:color w:val="546421" w:themeColor="accent6" w:themeShade="80"/>
          <w:sz w:val="36"/>
          <w:szCs w:val="32"/>
        </w:rPr>
      </w:pPr>
    </w:p>
    <w:p w14:paraId="163C4E41" w14:textId="77777777" w:rsidR="006544EC" w:rsidRDefault="006544EC" w:rsidP="0016386A">
      <w:pPr>
        <w:jc w:val="both"/>
        <w:rPr>
          <w:rFonts w:asciiTheme="majorHAnsi" w:eastAsiaTheme="majorEastAsia" w:hAnsiTheme="majorHAnsi" w:cstheme="majorHAnsi"/>
          <w:color w:val="546421" w:themeColor="accent6" w:themeShade="80"/>
          <w:sz w:val="36"/>
          <w:szCs w:val="32"/>
        </w:rPr>
      </w:pPr>
    </w:p>
    <w:p w14:paraId="73F80E82" w14:textId="77777777" w:rsidR="006544EC" w:rsidRDefault="006544EC" w:rsidP="0016386A">
      <w:pPr>
        <w:jc w:val="both"/>
        <w:rPr>
          <w:rFonts w:asciiTheme="majorHAnsi" w:eastAsiaTheme="majorEastAsia" w:hAnsiTheme="majorHAnsi" w:cstheme="majorHAnsi"/>
          <w:color w:val="546421" w:themeColor="accent6" w:themeShade="80"/>
          <w:sz w:val="36"/>
          <w:szCs w:val="32"/>
        </w:rPr>
      </w:pPr>
    </w:p>
    <w:tbl>
      <w:tblPr>
        <w:tblStyle w:val="Tablaconcuadrcula"/>
        <w:tblW w:w="0" w:type="auto"/>
        <w:tblLook w:val="04A0" w:firstRow="1" w:lastRow="0" w:firstColumn="1" w:lastColumn="0" w:noHBand="0" w:noVBand="1"/>
      </w:tblPr>
      <w:tblGrid>
        <w:gridCol w:w="8494"/>
      </w:tblGrid>
      <w:tr w:rsidR="006544EC" w14:paraId="62BEF7D0" w14:textId="77777777" w:rsidTr="006544EC">
        <w:tc>
          <w:tcPr>
            <w:tcW w:w="8494" w:type="dxa"/>
            <w:tcBorders>
              <w:top w:val="nil"/>
              <w:left w:val="nil"/>
              <w:right w:val="nil"/>
            </w:tcBorders>
            <w:shd w:val="clear" w:color="auto" w:fill="ECF2DA" w:themeFill="accent6" w:themeFillTint="33"/>
          </w:tcPr>
          <w:p w14:paraId="76B6ED6A" w14:textId="5694E8BE" w:rsidR="006544EC" w:rsidRDefault="006544EC" w:rsidP="006544EC">
            <w:pPr>
              <w:jc w:val="center"/>
              <w:rPr>
                <w:rFonts w:asciiTheme="majorHAnsi" w:eastAsiaTheme="majorEastAsia" w:hAnsiTheme="majorHAnsi" w:cstheme="majorHAnsi"/>
                <w:color w:val="546421" w:themeColor="accent6" w:themeShade="80"/>
                <w:sz w:val="36"/>
                <w:szCs w:val="32"/>
              </w:rPr>
            </w:pPr>
            <w:r w:rsidRPr="00FC6260">
              <w:rPr>
                <w:rFonts w:asciiTheme="majorHAnsi" w:eastAsiaTheme="majorEastAsia" w:hAnsiTheme="majorHAnsi" w:cstheme="majorHAnsi"/>
                <w:color w:val="546421" w:themeColor="accent6" w:themeShade="80"/>
                <w:sz w:val="36"/>
                <w:szCs w:val="32"/>
              </w:rPr>
              <w:lastRenderedPageBreak/>
              <w:t>OBJETIVOS</w:t>
            </w:r>
          </w:p>
        </w:tc>
      </w:tr>
    </w:tbl>
    <w:p w14:paraId="67BB57EF" w14:textId="77777777" w:rsidR="006544EC" w:rsidRDefault="006544EC" w:rsidP="0016386A">
      <w:pPr>
        <w:jc w:val="both"/>
        <w:rPr>
          <w:rFonts w:asciiTheme="majorHAnsi" w:eastAsiaTheme="majorEastAsia" w:hAnsiTheme="majorHAnsi" w:cstheme="majorHAnsi"/>
          <w:color w:val="546421" w:themeColor="accent6" w:themeShade="80"/>
          <w:sz w:val="36"/>
          <w:szCs w:val="32"/>
        </w:rPr>
      </w:pPr>
    </w:p>
    <w:p w14:paraId="773C454F" w14:textId="77777777" w:rsidR="0016386A" w:rsidRPr="00FC6260" w:rsidRDefault="0016386A" w:rsidP="0016386A">
      <w:pPr>
        <w:jc w:val="both"/>
        <w:rPr>
          <w:rFonts w:asciiTheme="majorHAnsi" w:hAnsiTheme="majorHAnsi" w:cstheme="majorHAnsi"/>
          <w:sz w:val="24"/>
        </w:rPr>
      </w:pPr>
      <w:r w:rsidRPr="00FC6260">
        <w:rPr>
          <w:rFonts w:asciiTheme="majorHAnsi" w:hAnsiTheme="majorHAnsi" w:cstheme="majorHAnsi"/>
          <w:sz w:val="24"/>
        </w:rPr>
        <w:t>Con la finalidad de reducir la cantidad y el impacto de los residuos de envases sobre el medio ambiente, se avanzará con la consecución de los siguientes objetivos:</w:t>
      </w:r>
    </w:p>
    <w:p w14:paraId="5E3BDFCF" w14:textId="77777777" w:rsidR="0016386A" w:rsidRPr="00FC6260" w:rsidRDefault="0016386A" w:rsidP="0016386A">
      <w:pPr>
        <w:jc w:val="both"/>
        <w:rPr>
          <w:rFonts w:asciiTheme="majorHAnsi" w:hAnsiTheme="majorHAnsi" w:cstheme="majorHAnsi"/>
          <w:b/>
          <w:color w:val="546421" w:themeColor="accent6" w:themeShade="80"/>
          <w:sz w:val="28"/>
        </w:rPr>
      </w:pPr>
      <w:r w:rsidRPr="00FC6260">
        <w:rPr>
          <w:rFonts w:asciiTheme="majorHAnsi" w:hAnsiTheme="majorHAnsi" w:cstheme="majorHAnsi"/>
          <w:b/>
          <w:color w:val="546421" w:themeColor="accent6" w:themeShade="80"/>
          <w:sz w:val="28"/>
        </w:rPr>
        <w:t>Prevención</w:t>
      </w:r>
    </w:p>
    <w:p w14:paraId="3A05E8A2" w14:textId="77777777" w:rsidR="0016386A" w:rsidRDefault="0016386A" w:rsidP="0016386A">
      <w:pPr>
        <w:jc w:val="both"/>
        <w:rPr>
          <w:rFonts w:asciiTheme="majorHAnsi" w:hAnsiTheme="majorHAnsi" w:cstheme="majorHAnsi"/>
          <w:sz w:val="24"/>
        </w:rPr>
      </w:pPr>
      <w:r w:rsidRPr="004E598C">
        <w:rPr>
          <w:rFonts w:asciiTheme="majorHAnsi" w:hAnsiTheme="majorHAnsi" w:cstheme="majorHAnsi"/>
          <w:sz w:val="24"/>
        </w:rPr>
        <w:t xml:space="preserve">La Ley de Residuos define la </w:t>
      </w:r>
      <w:r w:rsidRPr="004E598C">
        <w:rPr>
          <w:rFonts w:asciiTheme="majorHAnsi" w:hAnsiTheme="majorHAnsi" w:cstheme="majorHAnsi"/>
          <w:b/>
          <w:bCs/>
          <w:sz w:val="24"/>
        </w:rPr>
        <w:t xml:space="preserve">prevención </w:t>
      </w:r>
      <w:r w:rsidRPr="004E598C">
        <w:rPr>
          <w:rFonts w:asciiTheme="majorHAnsi" w:hAnsiTheme="majorHAnsi" w:cstheme="majorHAnsi"/>
          <w:sz w:val="24"/>
        </w:rPr>
        <w:t>como el conjunto de medidas adoptadas en la fase de concepción y diseño, de producción, de distribución y de consumo de una sustancia, material o producto, para reducir:</w:t>
      </w:r>
    </w:p>
    <w:p w14:paraId="0FBA5FED" w14:textId="77777777" w:rsidR="0016386A" w:rsidRDefault="0016386A" w:rsidP="0016386A">
      <w:pPr>
        <w:pStyle w:val="Prrafodelista"/>
        <w:numPr>
          <w:ilvl w:val="0"/>
          <w:numId w:val="3"/>
        </w:numPr>
        <w:jc w:val="both"/>
        <w:rPr>
          <w:rFonts w:asciiTheme="majorHAnsi" w:hAnsiTheme="majorHAnsi" w:cstheme="majorHAnsi"/>
          <w:sz w:val="24"/>
        </w:rPr>
      </w:pPr>
      <w:r w:rsidRPr="004E598C">
        <w:rPr>
          <w:rFonts w:asciiTheme="majorHAnsi" w:hAnsiTheme="majorHAnsi" w:cstheme="majorHAnsi"/>
          <w:sz w:val="24"/>
        </w:rPr>
        <w:t>La cantidad de residuo, incluso mediante la reutilización de los productos o el alargamiento de la vida útil de los productos.</w:t>
      </w:r>
    </w:p>
    <w:p w14:paraId="7BFECF1A" w14:textId="77777777" w:rsidR="0016386A" w:rsidRDefault="0016386A" w:rsidP="0016386A">
      <w:pPr>
        <w:pStyle w:val="Prrafodelista"/>
        <w:numPr>
          <w:ilvl w:val="0"/>
          <w:numId w:val="3"/>
        </w:numPr>
        <w:jc w:val="both"/>
        <w:rPr>
          <w:rFonts w:asciiTheme="majorHAnsi" w:hAnsiTheme="majorHAnsi" w:cstheme="majorHAnsi"/>
          <w:sz w:val="24"/>
        </w:rPr>
      </w:pPr>
      <w:r w:rsidRPr="004E598C">
        <w:rPr>
          <w:rFonts w:asciiTheme="majorHAnsi" w:hAnsiTheme="majorHAnsi" w:cstheme="majorHAnsi"/>
          <w:sz w:val="24"/>
        </w:rPr>
        <w:t>Los impactos adversos sobre el medio ambiente y la salud humana de los residuos generados, incluyendo el ahorro en el uso de materiales o energía.</w:t>
      </w:r>
    </w:p>
    <w:p w14:paraId="795C07A3" w14:textId="77777777" w:rsidR="0016386A" w:rsidRPr="004E598C" w:rsidRDefault="0016386A" w:rsidP="0016386A">
      <w:pPr>
        <w:pStyle w:val="Prrafodelista"/>
        <w:numPr>
          <w:ilvl w:val="0"/>
          <w:numId w:val="3"/>
        </w:numPr>
        <w:jc w:val="both"/>
        <w:rPr>
          <w:rFonts w:asciiTheme="majorHAnsi" w:hAnsiTheme="majorHAnsi" w:cstheme="majorHAnsi"/>
          <w:sz w:val="24"/>
        </w:rPr>
      </w:pPr>
      <w:r w:rsidRPr="004E598C">
        <w:rPr>
          <w:rFonts w:asciiTheme="majorHAnsi" w:hAnsiTheme="majorHAnsi" w:cstheme="majorHAnsi"/>
          <w:sz w:val="24"/>
        </w:rPr>
        <w:t>El contenido de sustancias nocivas en materiales y productos.</w:t>
      </w:r>
    </w:p>
    <w:p w14:paraId="5A9DE755" w14:textId="77777777" w:rsidR="0016386A" w:rsidRDefault="0016386A" w:rsidP="0016386A">
      <w:pPr>
        <w:jc w:val="both"/>
        <w:rPr>
          <w:rFonts w:asciiTheme="majorHAnsi" w:hAnsiTheme="majorHAnsi" w:cstheme="majorHAnsi"/>
          <w:sz w:val="24"/>
        </w:rPr>
      </w:pPr>
      <w:r w:rsidRPr="004E598C">
        <w:rPr>
          <w:rFonts w:asciiTheme="majorHAnsi" w:hAnsiTheme="majorHAnsi" w:cstheme="majorHAnsi"/>
          <w:sz w:val="24"/>
        </w:rPr>
        <w:t>Existen varias etapas en el proceso de concepción, producción, distribución, uso de un bien o producto y gestión como residuo en las que se puede realizar prevención y reutilización</w:t>
      </w:r>
      <w:r>
        <w:rPr>
          <w:rFonts w:asciiTheme="majorHAnsi" w:hAnsiTheme="majorHAnsi" w:cstheme="majorHAnsi"/>
          <w:sz w:val="24"/>
        </w:rPr>
        <w:t xml:space="preserve">. </w:t>
      </w:r>
      <w:r w:rsidRPr="004E598C">
        <w:rPr>
          <w:rFonts w:asciiTheme="majorHAnsi" w:hAnsiTheme="majorHAnsi" w:cstheme="majorHAnsi"/>
          <w:sz w:val="24"/>
        </w:rPr>
        <w:t>En función de estas etapas se pueden definir cuatro tipos de acciones para fomentar la prevención:</w:t>
      </w:r>
    </w:p>
    <w:p w14:paraId="76C0901A" w14:textId="77777777" w:rsidR="0016386A" w:rsidRDefault="0016386A" w:rsidP="0016386A">
      <w:pPr>
        <w:pStyle w:val="Prrafodelista"/>
        <w:numPr>
          <w:ilvl w:val="0"/>
          <w:numId w:val="4"/>
        </w:numPr>
        <w:jc w:val="both"/>
        <w:rPr>
          <w:rFonts w:asciiTheme="majorHAnsi" w:hAnsiTheme="majorHAnsi" w:cstheme="majorHAnsi"/>
          <w:sz w:val="24"/>
        </w:rPr>
      </w:pPr>
      <w:r w:rsidRPr="004E598C">
        <w:rPr>
          <w:rFonts w:asciiTheme="majorHAnsi" w:hAnsiTheme="majorHAnsi" w:cstheme="majorHAnsi"/>
          <w:sz w:val="24"/>
        </w:rPr>
        <w:t>Acciones a favor de una producción y venta eco-responsable, en el ámbito empresarial y comercial: introducción de planes empresariales de prevención, del eco-diseño, de las mejores técnicas disponibles y de los sistemas de gestión medioambiental acreditables, regulación de la producción de publicidad, revistas y prensa, organización de acontecimientos eco-responsables, gestión y donación de excedentes alimentarios, etc.</w:t>
      </w:r>
    </w:p>
    <w:p w14:paraId="546528AF" w14:textId="77777777" w:rsidR="0016386A" w:rsidRDefault="0016386A" w:rsidP="0016386A">
      <w:pPr>
        <w:pStyle w:val="Prrafodelista"/>
        <w:numPr>
          <w:ilvl w:val="0"/>
          <w:numId w:val="4"/>
        </w:numPr>
        <w:jc w:val="both"/>
        <w:rPr>
          <w:rFonts w:asciiTheme="majorHAnsi" w:hAnsiTheme="majorHAnsi" w:cstheme="majorHAnsi"/>
          <w:sz w:val="24"/>
        </w:rPr>
      </w:pPr>
      <w:r w:rsidRPr="004E598C">
        <w:rPr>
          <w:rFonts w:asciiTheme="majorHAnsi" w:hAnsiTheme="majorHAnsi" w:cstheme="majorHAnsi"/>
          <w:sz w:val="24"/>
        </w:rPr>
        <w:t>Acciones a favor de una compra responsable: consumo desmaterializado (servicios o bienes inmateriales), de productos duraderos y reutilizables, consumo de productos a granel o en envases reutilizables, ordenación de la publicidad no nominal, solicitud de eco-etiquetajes, introducción de cláusulas ecológicas en las compras públicas, etc.</w:t>
      </w:r>
    </w:p>
    <w:p w14:paraId="47D6A980" w14:textId="77777777" w:rsidR="0016386A" w:rsidRDefault="0016386A" w:rsidP="0016386A">
      <w:pPr>
        <w:pStyle w:val="Prrafodelista"/>
        <w:numPr>
          <w:ilvl w:val="0"/>
          <w:numId w:val="4"/>
        </w:numPr>
        <w:jc w:val="both"/>
        <w:rPr>
          <w:rFonts w:asciiTheme="majorHAnsi" w:hAnsiTheme="majorHAnsi" w:cstheme="majorHAnsi"/>
          <w:sz w:val="24"/>
        </w:rPr>
      </w:pPr>
      <w:r w:rsidRPr="004E598C">
        <w:rPr>
          <w:rFonts w:asciiTheme="majorHAnsi" w:hAnsiTheme="majorHAnsi" w:cstheme="majorHAnsi"/>
          <w:sz w:val="24"/>
        </w:rPr>
        <w:t>Acciones a favor de un uso responsable de los productos: utilización de las tecnologías de la información y de la comunicación (TIC) y uso responsable del papel, compra y consumo de envases reutilizables, reutilización de productos y preparación para la reutilización con acciones a favor de la reparación y los centros de segunda mano, reducción del despilfarro alimentario, etc.</w:t>
      </w:r>
    </w:p>
    <w:p w14:paraId="11316ADF" w14:textId="77777777" w:rsidR="0016386A" w:rsidRPr="004E598C" w:rsidRDefault="0016386A" w:rsidP="0016386A">
      <w:pPr>
        <w:pStyle w:val="Prrafodelista"/>
        <w:numPr>
          <w:ilvl w:val="0"/>
          <w:numId w:val="4"/>
        </w:numPr>
        <w:jc w:val="both"/>
        <w:rPr>
          <w:rFonts w:asciiTheme="majorHAnsi" w:hAnsiTheme="majorHAnsi" w:cstheme="majorHAnsi"/>
          <w:sz w:val="24"/>
        </w:rPr>
      </w:pPr>
      <w:r w:rsidRPr="004E598C">
        <w:rPr>
          <w:rFonts w:asciiTheme="majorHAnsi" w:hAnsiTheme="majorHAnsi" w:cstheme="majorHAnsi"/>
          <w:sz w:val="24"/>
        </w:rPr>
        <w:t>Acciones para evitar que los residuos, una vez generados, entren en los circuitos de recogida: donación, intercambio, segundo uso y compostaje doméstico.</w:t>
      </w:r>
    </w:p>
    <w:p w14:paraId="2FDD988C" w14:textId="77777777" w:rsidR="0016386A" w:rsidRPr="004E598C" w:rsidRDefault="0016386A" w:rsidP="0016386A">
      <w:pPr>
        <w:jc w:val="both"/>
        <w:rPr>
          <w:rFonts w:asciiTheme="majorHAnsi" w:hAnsiTheme="majorHAnsi" w:cstheme="majorHAnsi"/>
          <w:sz w:val="24"/>
        </w:rPr>
      </w:pPr>
      <w:r>
        <w:rPr>
          <w:rFonts w:asciiTheme="majorHAnsi" w:hAnsiTheme="majorHAnsi" w:cstheme="majorHAnsi"/>
          <w:sz w:val="24"/>
        </w:rPr>
        <w:t>Para lograr la contribución el logro de estas metas, se</w:t>
      </w:r>
      <w:r w:rsidRPr="004E598C">
        <w:rPr>
          <w:rFonts w:asciiTheme="majorHAnsi" w:hAnsiTheme="majorHAnsi" w:cstheme="majorHAnsi"/>
          <w:sz w:val="24"/>
        </w:rPr>
        <w:t xml:space="preserve"> implantan una serie de objetivos nacionales de carácter orientador, como son la reducción del peso de los residuos de envases producidos del 13% en 2025, y del 15% en 2023, respecto a los generados en </w:t>
      </w:r>
      <w:r w:rsidRPr="004E598C">
        <w:rPr>
          <w:rFonts w:asciiTheme="majorHAnsi" w:hAnsiTheme="majorHAnsi" w:cstheme="majorHAnsi"/>
          <w:sz w:val="24"/>
        </w:rPr>
        <w:lastRenderedPageBreak/>
        <w:t>2010, y conseguir que todos los envases puestos en el mercado sean reciclables en 2023, y siempre que sea posible, reutilizables.</w:t>
      </w:r>
    </w:p>
    <w:p w14:paraId="6331FACA" w14:textId="77777777" w:rsidR="0016386A" w:rsidRPr="00FC6260" w:rsidRDefault="0016386A" w:rsidP="0016386A">
      <w:pPr>
        <w:jc w:val="both"/>
        <w:rPr>
          <w:rFonts w:asciiTheme="majorHAnsi" w:hAnsiTheme="majorHAnsi" w:cstheme="majorHAnsi"/>
          <w:sz w:val="24"/>
        </w:rPr>
      </w:pPr>
      <w:r w:rsidRPr="00FC6260">
        <w:rPr>
          <w:rFonts w:asciiTheme="majorHAnsi" w:hAnsiTheme="majorHAnsi" w:cstheme="majorHAnsi"/>
          <w:sz w:val="24"/>
        </w:rPr>
        <w:t>De modo que se pone el foco en la prevención, como vía más adecuada para mejorar la eficiencia en la utilización de los recursos y reducir el impacto medioambiental de los residuos de envases.</w:t>
      </w:r>
    </w:p>
    <w:p w14:paraId="0F6EFF9D" w14:textId="77777777" w:rsidR="0016386A" w:rsidRPr="00FC6260" w:rsidRDefault="0016386A" w:rsidP="0016386A">
      <w:pPr>
        <w:rPr>
          <w:rFonts w:asciiTheme="majorHAnsi" w:hAnsiTheme="majorHAnsi" w:cstheme="majorHAnsi"/>
          <w:b/>
          <w:color w:val="546421" w:themeColor="accent6" w:themeShade="80"/>
          <w:sz w:val="28"/>
        </w:rPr>
      </w:pPr>
      <w:r w:rsidRPr="00FC6260">
        <w:rPr>
          <w:rFonts w:asciiTheme="majorHAnsi" w:hAnsiTheme="majorHAnsi" w:cstheme="majorHAnsi"/>
          <w:b/>
          <w:color w:val="546421" w:themeColor="accent6" w:themeShade="80"/>
          <w:sz w:val="28"/>
        </w:rPr>
        <w:t>Reutilización</w:t>
      </w:r>
    </w:p>
    <w:p w14:paraId="3050D08D" w14:textId="77777777" w:rsidR="0016386A" w:rsidRPr="00FC6260" w:rsidRDefault="0016386A" w:rsidP="0016386A">
      <w:pPr>
        <w:jc w:val="both"/>
        <w:rPr>
          <w:rFonts w:asciiTheme="majorHAnsi" w:hAnsiTheme="majorHAnsi" w:cstheme="majorHAnsi"/>
          <w:sz w:val="24"/>
        </w:rPr>
      </w:pPr>
      <w:r w:rsidRPr="00FC6260">
        <w:rPr>
          <w:rFonts w:asciiTheme="majorHAnsi" w:hAnsiTheme="majorHAnsi" w:cstheme="majorHAnsi"/>
          <w:sz w:val="24"/>
        </w:rPr>
        <w:t xml:space="preserve">En consonancia con el principio de jerarquía de residuos, a fin de fomentar el aumento de la proporción de envases reutilizables comercializados y de los sistemas de reutilización de envases de manera respetuosa con el medio ambiente, se avanzará en alcanzar los siguientes objetivos de </w:t>
      </w:r>
      <w:r w:rsidRPr="00EE0FEB">
        <w:rPr>
          <w:rFonts w:asciiTheme="majorHAnsi" w:hAnsiTheme="majorHAnsi" w:cstheme="majorHAnsi"/>
          <w:b/>
          <w:sz w:val="24"/>
        </w:rPr>
        <w:t>reutilización</w:t>
      </w:r>
      <w:r w:rsidRPr="00FC6260">
        <w:rPr>
          <w:rFonts w:asciiTheme="majorHAnsi" w:hAnsiTheme="majorHAnsi" w:cstheme="majorHAnsi"/>
          <w:sz w:val="24"/>
        </w:rPr>
        <w:t xml:space="preserve"> a nivel estatal:</w:t>
      </w:r>
    </w:p>
    <w:p w14:paraId="275D72A3" w14:textId="77777777" w:rsidR="0016386A" w:rsidRPr="00FC6260" w:rsidRDefault="0016386A" w:rsidP="0016386A">
      <w:pPr>
        <w:pStyle w:val="Prrafodelista"/>
        <w:numPr>
          <w:ilvl w:val="0"/>
          <w:numId w:val="1"/>
        </w:numPr>
        <w:jc w:val="both"/>
        <w:rPr>
          <w:rFonts w:asciiTheme="majorHAnsi" w:hAnsiTheme="majorHAnsi" w:cstheme="majorHAnsi"/>
          <w:sz w:val="24"/>
        </w:rPr>
      </w:pPr>
      <w:r w:rsidRPr="00FC6260">
        <w:rPr>
          <w:rFonts w:asciiTheme="majorHAnsi" w:hAnsiTheme="majorHAnsi" w:cstheme="majorHAnsi"/>
          <w:sz w:val="24"/>
        </w:rPr>
        <w:t>Para las bebidas comercializadas en el sector de la hostelería y la restauración (canal HORECA)</w:t>
      </w:r>
    </w:p>
    <w:p w14:paraId="4703A0A5" w14:textId="77777777" w:rsidR="0016386A" w:rsidRPr="00FC6260" w:rsidRDefault="0016386A" w:rsidP="0016386A">
      <w:pPr>
        <w:pStyle w:val="Prrafodelista"/>
        <w:numPr>
          <w:ilvl w:val="1"/>
          <w:numId w:val="1"/>
        </w:numPr>
        <w:jc w:val="both"/>
        <w:rPr>
          <w:rFonts w:asciiTheme="majorHAnsi" w:hAnsiTheme="majorHAnsi" w:cstheme="majorHAnsi"/>
          <w:sz w:val="24"/>
        </w:rPr>
      </w:pPr>
      <w:r w:rsidRPr="00FC6260">
        <w:rPr>
          <w:rFonts w:asciiTheme="majorHAnsi" w:hAnsiTheme="majorHAnsi" w:cstheme="majorHAnsi"/>
          <w:sz w:val="24"/>
        </w:rPr>
        <w:t>Aguas envasadas: puesta en el mercado del 30% en envases reutilizables en 2025, del 40% en 2023, y del 50% en 2023.</w:t>
      </w:r>
    </w:p>
    <w:p w14:paraId="7136B414" w14:textId="77777777" w:rsidR="0016386A" w:rsidRPr="00FC6260" w:rsidRDefault="0016386A" w:rsidP="0016386A">
      <w:pPr>
        <w:pStyle w:val="Prrafodelista"/>
        <w:numPr>
          <w:ilvl w:val="1"/>
          <w:numId w:val="1"/>
        </w:numPr>
        <w:jc w:val="both"/>
        <w:rPr>
          <w:rFonts w:asciiTheme="majorHAnsi" w:hAnsiTheme="majorHAnsi" w:cstheme="majorHAnsi"/>
          <w:sz w:val="24"/>
        </w:rPr>
      </w:pPr>
      <w:r w:rsidRPr="00FC6260">
        <w:rPr>
          <w:rFonts w:asciiTheme="majorHAnsi" w:hAnsiTheme="majorHAnsi" w:cstheme="majorHAnsi"/>
          <w:sz w:val="24"/>
        </w:rPr>
        <w:t>Cerveza: 80% en envases reutilizables en 2025, del 85% en 2030 y del 90% en 2035.</w:t>
      </w:r>
    </w:p>
    <w:p w14:paraId="5AA750CF" w14:textId="77777777" w:rsidR="0016386A" w:rsidRPr="00FC6260" w:rsidRDefault="0016386A" w:rsidP="0016386A">
      <w:pPr>
        <w:pStyle w:val="Prrafodelista"/>
        <w:numPr>
          <w:ilvl w:val="1"/>
          <w:numId w:val="1"/>
        </w:numPr>
        <w:jc w:val="both"/>
        <w:rPr>
          <w:rFonts w:asciiTheme="majorHAnsi" w:hAnsiTheme="majorHAnsi" w:cstheme="majorHAnsi"/>
          <w:sz w:val="24"/>
        </w:rPr>
      </w:pPr>
      <w:r w:rsidRPr="00FC6260">
        <w:rPr>
          <w:rFonts w:asciiTheme="majorHAnsi" w:hAnsiTheme="majorHAnsi" w:cstheme="majorHAnsi"/>
          <w:sz w:val="24"/>
        </w:rPr>
        <w:t>Bebidas refrescantes: 60% en envases reutilizables en 2025, del 70% en 2030 y del 80% en 2035</w:t>
      </w:r>
    </w:p>
    <w:p w14:paraId="5FD4049E" w14:textId="77777777" w:rsidR="0016386A" w:rsidRPr="00FC6260" w:rsidRDefault="0016386A" w:rsidP="0016386A">
      <w:pPr>
        <w:pStyle w:val="Prrafodelista"/>
        <w:numPr>
          <w:ilvl w:val="1"/>
          <w:numId w:val="1"/>
        </w:numPr>
        <w:jc w:val="both"/>
        <w:rPr>
          <w:rFonts w:asciiTheme="majorHAnsi" w:hAnsiTheme="majorHAnsi" w:cstheme="majorHAnsi"/>
          <w:sz w:val="24"/>
        </w:rPr>
      </w:pPr>
      <w:r w:rsidRPr="00FC6260">
        <w:rPr>
          <w:rFonts w:asciiTheme="majorHAnsi" w:hAnsiTheme="majorHAnsi" w:cstheme="majorHAnsi"/>
          <w:sz w:val="24"/>
        </w:rPr>
        <w:t>Otras: 20% en envases reutilizables en 2025, del 25% en 2030 y del 30% en 2035.</w:t>
      </w:r>
    </w:p>
    <w:p w14:paraId="63C1FF0F" w14:textId="77777777" w:rsidR="0016386A" w:rsidRPr="00FC6260" w:rsidRDefault="0016386A" w:rsidP="0016386A">
      <w:pPr>
        <w:pStyle w:val="Prrafodelista"/>
        <w:numPr>
          <w:ilvl w:val="0"/>
          <w:numId w:val="1"/>
        </w:numPr>
        <w:jc w:val="both"/>
        <w:rPr>
          <w:rFonts w:asciiTheme="majorHAnsi" w:hAnsiTheme="majorHAnsi" w:cstheme="majorHAnsi"/>
          <w:sz w:val="24"/>
        </w:rPr>
      </w:pPr>
      <w:r w:rsidRPr="00FC6260">
        <w:rPr>
          <w:rFonts w:asciiTheme="majorHAnsi" w:hAnsiTheme="majorHAnsi" w:cstheme="majorHAnsi"/>
          <w:sz w:val="24"/>
        </w:rPr>
        <w:t xml:space="preserve">Para las bebidas comercializadas en canal doméstico, al menos el 10% del volumen puesto en el mercado en 2030 deberá ser en envases reutilizables. </w:t>
      </w:r>
    </w:p>
    <w:p w14:paraId="2462BE3D" w14:textId="77777777" w:rsidR="0016386A" w:rsidRDefault="0016386A" w:rsidP="0016386A">
      <w:pPr>
        <w:jc w:val="both"/>
        <w:rPr>
          <w:rFonts w:asciiTheme="majorHAnsi" w:hAnsiTheme="majorHAnsi" w:cstheme="majorHAnsi"/>
          <w:sz w:val="24"/>
        </w:rPr>
      </w:pPr>
      <w:r w:rsidRPr="00FC6260">
        <w:rPr>
          <w:rFonts w:asciiTheme="majorHAnsi" w:hAnsiTheme="majorHAnsi" w:cstheme="majorHAnsi"/>
          <w:sz w:val="24"/>
        </w:rPr>
        <w:t>En todo caso, para articular la reutilización de envases habrán de establecerse sistemas de depósito, devolución y retorno o mecanismos análogos.</w:t>
      </w:r>
    </w:p>
    <w:p w14:paraId="7B28F130" w14:textId="77777777" w:rsidR="0016386A" w:rsidRDefault="0016386A" w:rsidP="0016386A">
      <w:pPr>
        <w:jc w:val="both"/>
        <w:rPr>
          <w:rFonts w:asciiTheme="majorHAnsi" w:hAnsiTheme="majorHAnsi" w:cstheme="majorHAnsi"/>
          <w:sz w:val="24"/>
        </w:rPr>
      </w:pPr>
      <w:r w:rsidRPr="00A37417">
        <w:rPr>
          <w:rFonts w:asciiTheme="majorHAnsi" w:hAnsiTheme="majorHAnsi" w:cstheme="majorHAnsi"/>
          <w:sz w:val="24"/>
        </w:rPr>
        <w:t>Dentro de sus respectivos ámbitos de competencias, las administraciones públicas podrán establecer medidas para favorecer la reutilización de los envases usados de manera respetuosa con el medio ambiente, en particular, medidas de carácter económico, y acuerdos voluntarios con los agentes económicos.</w:t>
      </w:r>
      <w:r>
        <w:rPr>
          <w:rFonts w:asciiTheme="majorHAnsi" w:hAnsiTheme="majorHAnsi" w:cstheme="majorHAnsi"/>
          <w:sz w:val="24"/>
        </w:rPr>
        <w:t xml:space="preserve"> </w:t>
      </w:r>
      <w:r w:rsidRPr="00A37417">
        <w:rPr>
          <w:rFonts w:asciiTheme="majorHAnsi" w:hAnsiTheme="majorHAnsi" w:cstheme="majorHAnsi"/>
          <w:sz w:val="24"/>
        </w:rPr>
        <w:t>Entre estas medidas, se priorizarán las iniciativas para la normalización y estandarización de envases y la sustitución de envases de un solo uso por envases reutilizables y reutilizados en el marco de contratación de las compras públicas.</w:t>
      </w:r>
    </w:p>
    <w:p w14:paraId="6CB9C621" w14:textId="77777777" w:rsidR="0016386A" w:rsidRPr="00FC6260" w:rsidRDefault="0016386A" w:rsidP="0016386A">
      <w:pPr>
        <w:jc w:val="both"/>
        <w:rPr>
          <w:rFonts w:asciiTheme="majorHAnsi" w:hAnsiTheme="majorHAnsi" w:cstheme="majorHAnsi"/>
          <w:sz w:val="24"/>
        </w:rPr>
      </w:pPr>
      <w:r w:rsidRPr="00A37417">
        <w:rPr>
          <w:rFonts w:asciiTheme="majorHAnsi" w:hAnsiTheme="majorHAnsi" w:cstheme="majorHAnsi"/>
          <w:sz w:val="24"/>
        </w:rPr>
        <w:t xml:space="preserve">Las medidas que se adopten con el objetivo de promover la reutilización </w:t>
      </w:r>
      <w:r>
        <w:rPr>
          <w:rFonts w:asciiTheme="majorHAnsi" w:hAnsiTheme="majorHAnsi" w:cstheme="majorHAnsi"/>
          <w:sz w:val="24"/>
        </w:rPr>
        <w:t>s</w:t>
      </w:r>
      <w:r w:rsidRPr="00A37417">
        <w:rPr>
          <w:rFonts w:asciiTheme="majorHAnsi" w:hAnsiTheme="majorHAnsi" w:cstheme="majorHAnsi"/>
          <w:sz w:val="24"/>
        </w:rPr>
        <w:t>erán medidas no discriminatorias y proporcionadas desde el punto de vista ambiental, técnico, económico y social en relación con los objetivos que se desea conseguir</w:t>
      </w:r>
      <w:r>
        <w:rPr>
          <w:rFonts w:asciiTheme="majorHAnsi" w:hAnsiTheme="majorHAnsi" w:cstheme="majorHAnsi"/>
          <w:sz w:val="24"/>
        </w:rPr>
        <w:t>.</w:t>
      </w:r>
    </w:p>
    <w:p w14:paraId="2DF2DE65" w14:textId="77777777" w:rsidR="0016386A" w:rsidRPr="00FC6260" w:rsidRDefault="0016386A" w:rsidP="0016386A">
      <w:pPr>
        <w:jc w:val="both"/>
        <w:rPr>
          <w:rFonts w:asciiTheme="majorHAnsi" w:hAnsiTheme="majorHAnsi" w:cstheme="majorHAnsi"/>
          <w:b/>
          <w:color w:val="546421" w:themeColor="accent6" w:themeShade="80"/>
          <w:sz w:val="28"/>
        </w:rPr>
      </w:pPr>
      <w:r w:rsidRPr="00FC6260">
        <w:rPr>
          <w:rFonts w:asciiTheme="majorHAnsi" w:hAnsiTheme="majorHAnsi" w:cstheme="majorHAnsi"/>
          <w:b/>
          <w:color w:val="546421" w:themeColor="accent6" w:themeShade="80"/>
          <w:sz w:val="28"/>
        </w:rPr>
        <w:t>Reciclado</w:t>
      </w:r>
    </w:p>
    <w:p w14:paraId="594A8CA6" w14:textId="77777777" w:rsidR="0016386A" w:rsidRPr="00FC6260" w:rsidRDefault="0016386A" w:rsidP="0016386A">
      <w:pPr>
        <w:jc w:val="both"/>
        <w:rPr>
          <w:rFonts w:asciiTheme="majorHAnsi" w:hAnsiTheme="majorHAnsi" w:cstheme="majorHAnsi"/>
          <w:sz w:val="24"/>
        </w:rPr>
      </w:pPr>
      <w:r w:rsidRPr="00FC6260">
        <w:rPr>
          <w:rFonts w:asciiTheme="majorHAnsi" w:hAnsiTheme="majorHAnsi" w:cstheme="majorHAnsi"/>
          <w:sz w:val="24"/>
        </w:rPr>
        <w:t xml:space="preserve">Se incorporan una serie de medidas para la promoción del reciclado de residuos de envases, pretendiendo reducir al máximo el vertido e incineración de los residuos de envases, maximizando su recuperación de la fracción resto y de otras fracciones de residuos mezcladas, siempre que sea técnica, económica y ambientalmente viable. </w:t>
      </w:r>
    </w:p>
    <w:p w14:paraId="1C02B2D8" w14:textId="77777777" w:rsidR="0016386A" w:rsidRDefault="0016386A" w:rsidP="0016386A">
      <w:pPr>
        <w:jc w:val="both"/>
        <w:rPr>
          <w:rFonts w:asciiTheme="majorHAnsi" w:hAnsiTheme="majorHAnsi" w:cstheme="majorHAnsi"/>
          <w:sz w:val="24"/>
        </w:rPr>
      </w:pPr>
      <w:r w:rsidRPr="00FC6260">
        <w:rPr>
          <w:rFonts w:asciiTheme="majorHAnsi" w:hAnsiTheme="majorHAnsi" w:cstheme="majorHAnsi"/>
          <w:sz w:val="24"/>
        </w:rPr>
        <w:lastRenderedPageBreak/>
        <w:t>En concreto, se prevé que en 2025 se recicle al menos el 65% de los envases, y se establecen objetivos específicos por materiales a 2025 y 2030.</w:t>
      </w:r>
    </w:p>
    <w:p w14:paraId="2E93C995" w14:textId="77777777" w:rsidR="0016386A" w:rsidRPr="00505F55" w:rsidRDefault="0016386A" w:rsidP="0016386A">
      <w:pPr>
        <w:jc w:val="both"/>
        <w:rPr>
          <w:rFonts w:asciiTheme="majorHAnsi" w:hAnsiTheme="majorHAnsi" w:cstheme="majorHAnsi"/>
          <w:sz w:val="24"/>
        </w:rPr>
      </w:pPr>
      <w:r w:rsidRPr="00505F55">
        <w:rPr>
          <w:rFonts w:asciiTheme="majorHAnsi" w:hAnsiTheme="majorHAnsi" w:cstheme="majorHAnsi"/>
          <w:sz w:val="24"/>
        </w:rPr>
        <w:t>Para promover el reciclado de alta calidad de los residuos de envases y para alcanzar los niveles de calidad necesarios en los sectores de reciclado pertinentes, se garantizará la recogida separada por materiales de los residuos de envases domésticos, comerciales e industriales, considerando al menos las siguientes fracciones: papel, plástico, madera, metales ferrosos, aluminio, vidrio y papel-cartón.</w:t>
      </w:r>
    </w:p>
    <w:p w14:paraId="76A92D0C" w14:textId="77777777" w:rsidR="0016386A" w:rsidRDefault="0016386A" w:rsidP="0016386A">
      <w:pPr>
        <w:jc w:val="both"/>
        <w:rPr>
          <w:rFonts w:asciiTheme="majorHAnsi" w:hAnsiTheme="majorHAnsi" w:cstheme="majorHAnsi"/>
          <w:sz w:val="24"/>
        </w:rPr>
      </w:pPr>
    </w:p>
    <w:p w14:paraId="61F49ED0" w14:textId="77777777" w:rsidR="006544EC" w:rsidRDefault="006544EC" w:rsidP="0016386A">
      <w:pPr>
        <w:jc w:val="both"/>
        <w:rPr>
          <w:rFonts w:asciiTheme="majorHAnsi" w:eastAsiaTheme="majorEastAsia" w:hAnsiTheme="majorHAnsi" w:cstheme="majorHAnsi"/>
          <w:color w:val="546421" w:themeColor="accent6" w:themeShade="80"/>
          <w:sz w:val="36"/>
          <w:szCs w:val="32"/>
        </w:rPr>
      </w:pPr>
    </w:p>
    <w:p w14:paraId="68CA265A" w14:textId="77777777" w:rsidR="006544EC" w:rsidRDefault="006544EC" w:rsidP="0016386A">
      <w:pPr>
        <w:jc w:val="both"/>
        <w:rPr>
          <w:rFonts w:asciiTheme="majorHAnsi" w:eastAsiaTheme="majorEastAsia" w:hAnsiTheme="majorHAnsi" w:cstheme="majorHAnsi"/>
          <w:color w:val="546421" w:themeColor="accent6" w:themeShade="80"/>
          <w:sz w:val="36"/>
          <w:szCs w:val="32"/>
        </w:rPr>
      </w:pPr>
    </w:p>
    <w:p w14:paraId="3EC0306D" w14:textId="77777777" w:rsidR="006544EC" w:rsidRDefault="006544EC" w:rsidP="0016386A">
      <w:pPr>
        <w:jc w:val="both"/>
        <w:rPr>
          <w:rFonts w:asciiTheme="majorHAnsi" w:eastAsiaTheme="majorEastAsia" w:hAnsiTheme="majorHAnsi" w:cstheme="majorHAnsi"/>
          <w:color w:val="546421" w:themeColor="accent6" w:themeShade="80"/>
          <w:sz w:val="36"/>
          <w:szCs w:val="32"/>
        </w:rPr>
      </w:pPr>
    </w:p>
    <w:p w14:paraId="42ED5303" w14:textId="77777777" w:rsidR="006544EC" w:rsidRDefault="006544EC" w:rsidP="0016386A">
      <w:pPr>
        <w:jc w:val="both"/>
        <w:rPr>
          <w:rFonts w:asciiTheme="majorHAnsi" w:eastAsiaTheme="majorEastAsia" w:hAnsiTheme="majorHAnsi" w:cstheme="majorHAnsi"/>
          <w:color w:val="546421" w:themeColor="accent6" w:themeShade="80"/>
          <w:sz w:val="36"/>
          <w:szCs w:val="32"/>
        </w:rPr>
      </w:pPr>
    </w:p>
    <w:p w14:paraId="1A34A8C1" w14:textId="77777777" w:rsidR="006544EC" w:rsidRDefault="006544EC" w:rsidP="0016386A">
      <w:pPr>
        <w:jc w:val="both"/>
        <w:rPr>
          <w:rFonts w:asciiTheme="majorHAnsi" w:eastAsiaTheme="majorEastAsia" w:hAnsiTheme="majorHAnsi" w:cstheme="majorHAnsi"/>
          <w:color w:val="546421" w:themeColor="accent6" w:themeShade="80"/>
          <w:sz w:val="36"/>
          <w:szCs w:val="32"/>
        </w:rPr>
      </w:pPr>
    </w:p>
    <w:p w14:paraId="72A9589C" w14:textId="77777777" w:rsidR="006544EC" w:rsidRDefault="006544EC" w:rsidP="0016386A">
      <w:pPr>
        <w:jc w:val="both"/>
        <w:rPr>
          <w:rFonts w:asciiTheme="majorHAnsi" w:eastAsiaTheme="majorEastAsia" w:hAnsiTheme="majorHAnsi" w:cstheme="majorHAnsi"/>
          <w:color w:val="546421" w:themeColor="accent6" w:themeShade="80"/>
          <w:sz w:val="36"/>
          <w:szCs w:val="32"/>
        </w:rPr>
      </w:pPr>
    </w:p>
    <w:p w14:paraId="12096155" w14:textId="77777777" w:rsidR="006544EC" w:rsidRDefault="006544EC" w:rsidP="0016386A">
      <w:pPr>
        <w:jc w:val="both"/>
        <w:rPr>
          <w:rFonts w:asciiTheme="majorHAnsi" w:eastAsiaTheme="majorEastAsia" w:hAnsiTheme="majorHAnsi" w:cstheme="majorHAnsi"/>
          <w:color w:val="546421" w:themeColor="accent6" w:themeShade="80"/>
          <w:sz w:val="36"/>
          <w:szCs w:val="32"/>
        </w:rPr>
      </w:pPr>
    </w:p>
    <w:p w14:paraId="30D25822" w14:textId="77777777" w:rsidR="006544EC" w:rsidRDefault="006544EC" w:rsidP="0016386A">
      <w:pPr>
        <w:jc w:val="both"/>
        <w:rPr>
          <w:rFonts w:asciiTheme="majorHAnsi" w:eastAsiaTheme="majorEastAsia" w:hAnsiTheme="majorHAnsi" w:cstheme="majorHAnsi"/>
          <w:color w:val="546421" w:themeColor="accent6" w:themeShade="80"/>
          <w:sz w:val="36"/>
          <w:szCs w:val="32"/>
        </w:rPr>
      </w:pPr>
    </w:p>
    <w:p w14:paraId="62EC083D" w14:textId="77777777" w:rsidR="006544EC" w:rsidRDefault="006544EC" w:rsidP="0016386A">
      <w:pPr>
        <w:jc w:val="both"/>
        <w:rPr>
          <w:rFonts w:asciiTheme="majorHAnsi" w:eastAsiaTheme="majorEastAsia" w:hAnsiTheme="majorHAnsi" w:cstheme="majorHAnsi"/>
          <w:color w:val="546421" w:themeColor="accent6" w:themeShade="80"/>
          <w:sz w:val="36"/>
          <w:szCs w:val="32"/>
        </w:rPr>
      </w:pPr>
    </w:p>
    <w:p w14:paraId="1CB5EBA1" w14:textId="77777777" w:rsidR="006544EC" w:rsidRDefault="006544EC" w:rsidP="0016386A">
      <w:pPr>
        <w:jc w:val="both"/>
        <w:rPr>
          <w:rFonts w:asciiTheme="majorHAnsi" w:eastAsiaTheme="majorEastAsia" w:hAnsiTheme="majorHAnsi" w:cstheme="majorHAnsi"/>
          <w:color w:val="546421" w:themeColor="accent6" w:themeShade="80"/>
          <w:sz w:val="36"/>
          <w:szCs w:val="32"/>
        </w:rPr>
      </w:pPr>
    </w:p>
    <w:p w14:paraId="1F2A4908" w14:textId="77777777" w:rsidR="006544EC" w:rsidRDefault="006544EC" w:rsidP="0016386A">
      <w:pPr>
        <w:jc w:val="both"/>
        <w:rPr>
          <w:rFonts w:asciiTheme="majorHAnsi" w:eastAsiaTheme="majorEastAsia" w:hAnsiTheme="majorHAnsi" w:cstheme="majorHAnsi"/>
          <w:color w:val="546421" w:themeColor="accent6" w:themeShade="80"/>
          <w:sz w:val="36"/>
          <w:szCs w:val="32"/>
        </w:rPr>
      </w:pPr>
    </w:p>
    <w:p w14:paraId="28B76581" w14:textId="77777777" w:rsidR="006544EC" w:rsidRDefault="006544EC" w:rsidP="0016386A">
      <w:pPr>
        <w:jc w:val="both"/>
        <w:rPr>
          <w:rFonts w:asciiTheme="majorHAnsi" w:eastAsiaTheme="majorEastAsia" w:hAnsiTheme="majorHAnsi" w:cstheme="majorHAnsi"/>
          <w:color w:val="546421" w:themeColor="accent6" w:themeShade="80"/>
          <w:sz w:val="36"/>
          <w:szCs w:val="32"/>
        </w:rPr>
      </w:pPr>
    </w:p>
    <w:p w14:paraId="73CEBE7C" w14:textId="77777777" w:rsidR="006544EC" w:rsidRDefault="006544EC" w:rsidP="0016386A">
      <w:pPr>
        <w:jc w:val="both"/>
        <w:rPr>
          <w:rFonts w:asciiTheme="majorHAnsi" w:eastAsiaTheme="majorEastAsia" w:hAnsiTheme="majorHAnsi" w:cstheme="majorHAnsi"/>
          <w:color w:val="546421" w:themeColor="accent6" w:themeShade="80"/>
          <w:sz w:val="36"/>
          <w:szCs w:val="32"/>
        </w:rPr>
      </w:pPr>
    </w:p>
    <w:p w14:paraId="75277083" w14:textId="77777777" w:rsidR="006544EC" w:rsidRDefault="006544EC" w:rsidP="0016386A">
      <w:pPr>
        <w:jc w:val="both"/>
        <w:rPr>
          <w:rFonts w:asciiTheme="majorHAnsi" w:eastAsiaTheme="majorEastAsia" w:hAnsiTheme="majorHAnsi" w:cstheme="majorHAnsi"/>
          <w:color w:val="546421" w:themeColor="accent6" w:themeShade="80"/>
          <w:sz w:val="36"/>
          <w:szCs w:val="32"/>
        </w:rPr>
      </w:pPr>
    </w:p>
    <w:p w14:paraId="7595E175" w14:textId="77777777" w:rsidR="006544EC" w:rsidRDefault="006544EC" w:rsidP="0016386A">
      <w:pPr>
        <w:jc w:val="both"/>
        <w:rPr>
          <w:rFonts w:asciiTheme="majorHAnsi" w:eastAsiaTheme="majorEastAsia" w:hAnsiTheme="majorHAnsi" w:cstheme="majorHAnsi"/>
          <w:color w:val="546421" w:themeColor="accent6" w:themeShade="80"/>
          <w:sz w:val="36"/>
          <w:szCs w:val="32"/>
        </w:rPr>
      </w:pPr>
    </w:p>
    <w:p w14:paraId="5293CC9B" w14:textId="77777777" w:rsidR="006544EC" w:rsidRDefault="006544EC" w:rsidP="0016386A">
      <w:pPr>
        <w:jc w:val="both"/>
        <w:rPr>
          <w:rFonts w:asciiTheme="majorHAnsi" w:eastAsiaTheme="majorEastAsia" w:hAnsiTheme="majorHAnsi" w:cstheme="majorHAnsi"/>
          <w:color w:val="546421" w:themeColor="accent6" w:themeShade="80"/>
          <w:sz w:val="36"/>
          <w:szCs w:val="32"/>
        </w:rPr>
      </w:pPr>
    </w:p>
    <w:p w14:paraId="7B510204" w14:textId="77777777" w:rsidR="006544EC" w:rsidRDefault="006544EC" w:rsidP="0016386A">
      <w:pPr>
        <w:jc w:val="both"/>
        <w:rPr>
          <w:rFonts w:asciiTheme="majorHAnsi" w:eastAsiaTheme="majorEastAsia" w:hAnsiTheme="majorHAnsi" w:cstheme="majorHAnsi"/>
          <w:color w:val="546421" w:themeColor="accent6" w:themeShade="80"/>
          <w:sz w:val="36"/>
          <w:szCs w:val="32"/>
        </w:rPr>
      </w:pPr>
    </w:p>
    <w:tbl>
      <w:tblPr>
        <w:tblStyle w:val="Tablaconcuadrcula"/>
        <w:tblW w:w="0" w:type="auto"/>
        <w:tblLook w:val="04A0" w:firstRow="1" w:lastRow="0" w:firstColumn="1" w:lastColumn="0" w:noHBand="0" w:noVBand="1"/>
      </w:tblPr>
      <w:tblGrid>
        <w:gridCol w:w="8494"/>
      </w:tblGrid>
      <w:tr w:rsidR="000D26AB" w14:paraId="67DDA7D8" w14:textId="77777777" w:rsidTr="000D26AB">
        <w:tc>
          <w:tcPr>
            <w:tcW w:w="8494" w:type="dxa"/>
            <w:tcBorders>
              <w:top w:val="nil"/>
              <w:left w:val="nil"/>
              <w:bottom w:val="single" w:sz="4" w:space="0" w:color="auto"/>
              <w:right w:val="nil"/>
            </w:tcBorders>
            <w:shd w:val="clear" w:color="auto" w:fill="ECF2DA" w:themeFill="accent6" w:themeFillTint="33"/>
          </w:tcPr>
          <w:p w14:paraId="13A97AEE" w14:textId="27F3684F" w:rsidR="000D26AB" w:rsidRDefault="000D26AB" w:rsidP="000D26AB">
            <w:pPr>
              <w:jc w:val="center"/>
              <w:rPr>
                <w:rFonts w:asciiTheme="majorHAnsi" w:eastAsiaTheme="majorEastAsia" w:hAnsiTheme="majorHAnsi" w:cstheme="majorHAnsi"/>
                <w:color w:val="546421" w:themeColor="accent6" w:themeShade="80"/>
                <w:sz w:val="36"/>
                <w:szCs w:val="32"/>
              </w:rPr>
            </w:pPr>
            <w:r w:rsidRPr="00FC6260">
              <w:rPr>
                <w:rFonts w:asciiTheme="majorHAnsi" w:eastAsiaTheme="majorEastAsia" w:hAnsiTheme="majorHAnsi" w:cstheme="majorHAnsi"/>
                <w:color w:val="546421" w:themeColor="accent6" w:themeShade="80"/>
                <w:sz w:val="36"/>
                <w:szCs w:val="32"/>
              </w:rPr>
              <w:lastRenderedPageBreak/>
              <w:t>AMBITO DE APLICACIÓN</w:t>
            </w:r>
            <w:r>
              <w:rPr>
                <w:rFonts w:asciiTheme="majorHAnsi" w:eastAsiaTheme="majorEastAsia" w:hAnsiTheme="majorHAnsi" w:cstheme="majorHAnsi"/>
                <w:color w:val="546421" w:themeColor="accent6" w:themeShade="80"/>
                <w:sz w:val="36"/>
                <w:szCs w:val="32"/>
              </w:rPr>
              <w:t xml:space="preserve"> Y CONCEPTOS</w:t>
            </w:r>
          </w:p>
        </w:tc>
      </w:tr>
    </w:tbl>
    <w:p w14:paraId="0FED27B8" w14:textId="77777777" w:rsidR="006544EC" w:rsidRDefault="006544EC" w:rsidP="0016386A">
      <w:pPr>
        <w:jc w:val="both"/>
        <w:rPr>
          <w:rFonts w:asciiTheme="majorHAnsi" w:eastAsiaTheme="majorEastAsia" w:hAnsiTheme="majorHAnsi" w:cstheme="majorHAnsi"/>
          <w:color w:val="546421" w:themeColor="accent6" w:themeShade="80"/>
          <w:sz w:val="36"/>
          <w:szCs w:val="32"/>
        </w:rPr>
      </w:pPr>
    </w:p>
    <w:p w14:paraId="3F3728CD" w14:textId="77777777" w:rsidR="000D26AB" w:rsidRPr="000D26AB" w:rsidRDefault="000D26AB" w:rsidP="0016386A">
      <w:pPr>
        <w:jc w:val="both"/>
        <w:rPr>
          <w:rFonts w:asciiTheme="majorHAnsi" w:eastAsiaTheme="majorEastAsia" w:hAnsiTheme="majorHAnsi" w:cstheme="majorHAnsi"/>
          <w:color w:val="546421" w:themeColor="accent6" w:themeShade="80"/>
          <w:sz w:val="32"/>
          <w:szCs w:val="28"/>
        </w:rPr>
      </w:pPr>
      <w:r w:rsidRPr="000D26AB">
        <w:rPr>
          <w:rFonts w:asciiTheme="majorHAnsi" w:eastAsiaTheme="majorEastAsia" w:hAnsiTheme="majorHAnsi" w:cstheme="majorHAnsi"/>
          <w:color w:val="546421" w:themeColor="accent6" w:themeShade="80"/>
          <w:sz w:val="32"/>
          <w:szCs w:val="28"/>
        </w:rPr>
        <w:t>Ámbito de aplicación</w:t>
      </w:r>
    </w:p>
    <w:p w14:paraId="429BFC4E" w14:textId="095A01AF" w:rsidR="0016386A" w:rsidRDefault="0016386A" w:rsidP="0016386A">
      <w:pPr>
        <w:jc w:val="both"/>
        <w:rPr>
          <w:rFonts w:asciiTheme="majorHAnsi" w:hAnsiTheme="majorHAnsi" w:cstheme="majorHAnsi"/>
          <w:sz w:val="24"/>
        </w:rPr>
      </w:pPr>
      <w:r>
        <w:rPr>
          <w:rFonts w:asciiTheme="majorHAnsi" w:hAnsiTheme="majorHAnsi" w:cstheme="majorHAnsi"/>
          <w:sz w:val="24"/>
        </w:rPr>
        <w:t xml:space="preserve">Para definir el </w:t>
      </w:r>
      <w:r w:rsidRPr="00376FEB">
        <w:rPr>
          <w:rFonts w:asciiTheme="majorHAnsi" w:hAnsiTheme="majorHAnsi" w:cstheme="majorHAnsi"/>
          <w:b/>
          <w:bCs/>
          <w:sz w:val="24"/>
        </w:rPr>
        <w:t>ámbito de aplicación</w:t>
      </w:r>
      <w:r>
        <w:rPr>
          <w:rFonts w:asciiTheme="majorHAnsi" w:hAnsiTheme="majorHAnsi" w:cstheme="majorHAnsi"/>
          <w:sz w:val="24"/>
        </w:rPr>
        <w:t xml:space="preserve"> del Real Decreto</w:t>
      </w:r>
      <w:r w:rsidRPr="00780FEF">
        <w:rPr>
          <w:rFonts w:asciiTheme="majorHAnsi" w:hAnsiTheme="majorHAnsi" w:cstheme="majorHAnsi"/>
          <w:sz w:val="24"/>
        </w:rPr>
        <w:t xml:space="preserve"> 1055/2022, </w:t>
      </w:r>
      <w:r>
        <w:rPr>
          <w:rFonts w:asciiTheme="majorHAnsi" w:hAnsiTheme="majorHAnsi" w:cstheme="majorHAnsi"/>
          <w:sz w:val="24"/>
        </w:rPr>
        <w:t>de</w:t>
      </w:r>
      <w:r w:rsidRPr="00780FEF">
        <w:rPr>
          <w:rFonts w:asciiTheme="majorHAnsi" w:hAnsiTheme="majorHAnsi" w:cstheme="majorHAnsi"/>
          <w:sz w:val="24"/>
        </w:rPr>
        <w:t xml:space="preserve"> 27 </w:t>
      </w:r>
      <w:r>
        <w:rPr>
          <w:rFonts w:asciiTheme="majorHAnsi" w:hAnsiTheme="majorHAnsi" w:cstheme="majorHAnsi"/>
          <w:sz w:val="24"/>
        </w:rPr>
        <w:t xml:space="preserve">de diciembre, de envases y residuos de envases, debemos hacer referencia, en primer lugar, a los envases y a los residuos de envases a los que se dirige, </w:t>
      </w:r>
      <w:r w:rsidR="00EE0FEB">
        <w:rPr>
          <w:rFonts w:asciiTheme="majorHAnsi" w:hAnsiTheme="majorHAnsi" w:cstheme="majorHAnsi"/>
          <w:sz w:val="24"/>
        </w:rPr>
        <w:t xml:space="preserve">y, </w:t>
      </w:r>
      <w:r>
        <w:rPr>
          <w:rFonts w:asciiTheme="majorHAnsi" w:hAnsiTheme="majorHAnsi" w:cstheme="majorHAnsi"/>
          <w:sz w:val="24"/>
        </w:rPr>
        <w:t>por otro lado, a los sujetos que se consideran implicados.</w:t>
      </w:r>
    </w:p>
    <w:p w14:paraId="752B1A4B" w14:textId="785E2BD8" w:rsidR="0016386A" w:rsidRPr="000D26AB" w:rsidRDefault="0016386A" w:rsidP="0016386A">
      <w:pPr>
        <w:jc w:val="both"/>
        <w:rPr>
          <w:rFonts w:asciiTheme="majorHAnsi" w:hAnsiTheme="majorHAnsi" w:cstheme="majorHAnsi"/>
          <w:b/>
          <w:bCs/>
          <w:sz w:val="28"/>
          <w:szCs w:val="24"/>
        </w:rPr>
      </w:pPr>
      <w:r w:rsidRPr="000D26AB">
        <w:rPr>
          <w:rFonts w:asciiTheme="majorHAnsi" w:hAnsiTheme="majorHAnsi" w:cstheme="majorHAnsi"/>
          <w:b/>
          <w:bCs/>
          <w:sz w:val="28"/>
          <w:szCs w:val="24"/>
        </w:rPr>
        <w:t>E</w:t>
      </w:r>
      <w:r w:rsidR="000D26AB">
        <w:rPr>
          <w:rFonts w:asciiTheme="majorHAnsi" w:hAnsiTheme="majorHAnsi" w:cstheme="majorHAnsi"/>
          <w:b/>
          <w:bCs/>
          <w:sz w:val="28"/>
          <w:szCs w:val="24"/>
        </w:rPr>
        <w:t>nvases</w:t>
      </w:r>
    </w:p>
    <w:p w14:paraId="119CA6E9" w14:textId="77777777" w:rsidR="0016386A" w:rsidRDefault="0016386A" w:rsidP="0016386A">
      <w:pPr>
        <w:jc w:val="both"/>
        <w:rPr>
          <w:rFonts w:asciiTheme="majorHAnsi" w:hAnsiTheme="majorHAnsi" w:cstheme="majorHAnsi"/>
          <w:sz w:val="24"/>
        </w:rPr>
      </w:pPr>
      <w:r w:rsidRPr="00FC6260">
        <w:rPr>
          <w:rFonts w:asciiTheme="majorHAnsi" w:hAnsiTheme="majorHAnsi" w:cstheme="majorHAnsi"/>
          <w:sz w:val="24"/>
        </w:rPr>
        <w:t xml:space="preserve">Quedan dentro del ámbito de aplicación de esta normativa todos los envases puestos en el mercado y residuos de envases generados en el territorio del Estado, independientemente de que se usen o produzcan en la industria, comercio, oficinas, establecimientos comerciales, servicios, hogares, o en cualquier otro lugar, sean cuales fueren los materiales utilizados. </w:t>
      </w:r>
    </w:p>
    <w:p w14:paraId="41BBEF44" w14:textId="52760E33" w:rsidR="0016386A" w:rsidRPr="000D26AB" w:rsidRDefault="0016386A" w:rsidP="0016386A">
      <w:pPr>
        <w:jc w:val="both"/>
        <w:rPr>
          <w:rFonts w:asciiTheme="majorHAnsi" w:hAnsiTheme="majorHAnsi" w:cstheme="majorHAnsi"/>
          <w:b/>
          <w:bCs/>
          <w:sz w:val="28"/>
          <w:szCs w:val="24"/>
        </w:rPr>
      </w:pPr>
      <w:r w:rsidRPr="000D26AB">
        <w:rPr>
          <w:rFonts w:asciiTheme="majorHAnsi" w:hAnsiTheme="majorHAnsi" w:cstheme="majorHAnsi"/>
          <w:b/>
          <w:bCs/>
          <w:sz w:val="28"/>
          <w:szCs w:val="24"/>
        </w:rPr>
        <w:t>S</w:t>
      </w:r>
      <w:r w:rsidR="000D26AB">
        <w:rPr>
          <w:rFonts w:asciiTheme="majorHAnsi" w:hAnsiTheme="majorHAnsi" w:cstheme="majorHAnsi"/>
          <w:b/>
          <w:bCs/>
          <w:sz w:val="28"/>
          <w:szCs w:val="24"/>
        </w:rPr>
        <w:t>ujetos implicados</w:t>
      </w:r>
    </w:p>
    <w:p w14:paraId="61D6ED80" w14:textId="77777777" w:rsidR="0016386A" w:rsidRDefault="0016386A" w:rsidP="0016386A">
      <w:pPr>
        <w:jc w:val="both"/>
        <w:rPr>
          <w:rFonts w:asciiTheme="majorHAnsi" w:hAnsiTheme="majorHAnsi" w:cstheme="majorHAnsi"/>
          <w:sz w:val="24"/>
        </w:rPr>
      </w:pPr>
      <w:r>
        <w:rPr>
          <w:rFonts w:asciiTheme="majorHAnsi" w:hAnsiTheme="majorHAnsi" w:cstheme="majorHAnsi"/>
          <w:sz w:val="24"/>
        </w:rPr>
        <w:t>El Real Decreto</w:t>
      </w:r>
      <w:r w:rsidRPr="00780FEF">
        <w:rPr>
          <w:rFonts w:asciiTheme="majorHAnsi" w:hAnsiTheme="majorHAnsi" w:cstheme="majorHAnsi"/>
          <w:sz w:val="24"/>
        </w:rPr>
        <w:t xml:space="preserve"> 1055/2022, </w:t>
      </w:r>
      <w:r>
        <w:rPr>
          <w:rFonts w:asciiTheme="majorHAnsi" w:hAnsiTheme="majorHAnsi" w:cstheme="majorHAnsi"/>
          <w:sz w:val="24"/>
        </w:rPr>
        <w:t>de</w:t>
      </w:r>
      <w:r w:rsidRPr="00780FEF">
        <w:rPr>
          <w:rFonts w:asciiTheme="majorHAnsi" w:hAnsiTheme="majorHAnsi" w:cstheme="majorHAnsi"/>
          <w:sz w:val="24"/>
        </w:rPr>
        <w:t xml:space="preserve"> 27 </w:t>
      </w:r>
      <w:r>
        <w:rPr>
          <w:rFonts w:asciiTheme="majorHAnsi" w:hAnsiTheme="majorHAnsi" w:cstheme="majorHAnsi"/>
          <w:sz w:val="24"/>
        </w:rPr>
        <w:t>de diciembre, de envases y residuos de envases establece obligaciones para productores, comerciantes y distribuidores, así como para los propios consumidores.</w:t>
      </w:r>
    </w:p>
    <w:p w14:paraId="0D6233A0" w14:textId="77777777" w:rsidR="0016386A" w:rsidRDefault="0016386A" w:rsidP="0016386A">
      <w:pPr>
        <w:jc w:val="both"/>
        <w:rPr>
          <w:rFonts w:asciiTheme="majorHAnsi" w:hAnsiTheme="majorHAnsi" w:cstheme="majorHAnsi"/>
          <w:sz w:val="24"/>
        </w:rPr>
      </w:pPr>
      <w:r>
        <w:rPr>
          <w:rFonts w:asciiTheme="majorHAnsi" w:hAnsiTheme="majorHAnsi" w:cstheme="majorHAnsi"/>
          <w:sz w:val="24"/>
        </w:rPr>
        <w:t>El objeto del presente manual es orientar la correcta implantación de la normativa para aquellos comerciantes y distribuidores que se puedan ver implicados, lo cual veremos a continuación en profundidad. No obstante, hay que definir las obligaciones que afectan a productores y consumidores para crear un marco normativo completo y comprender mejor los objetivos de la presente norma.</w:t>
      </w:r>
    </w:p>
    <w:p w14:paraId="0B6338BA" w14:textId="77777777" w:rsidR="0016386A" w:rsidRPr="000D26AB" w:rsidRDefault="0016386A" w:rsidP="0016386A">
      <w:pPr>
        <w:jc w:val="both"/>
        <w:rPr>
          <w:rFonts w:asciiTheme="majorHAnsi" w:hAnsiTheme="majorHAnsi" w:cstheme="majorHAnsi"/>
          <w:bCs/>
          <w:color w:val="546421" w:themeColor="accent6" w:themeShade="80"/>
          <w:sz w:val="24"/>
          <w:szCs w:val="20"/>
        </w:rPr>
      </w:pPr>
      <w:r w:rsidRPr="000D26AB">
        <w:rPr>
          <w:rFonts w:asciiTheme="majorHAnsi" w:hAnsiTheme="majorHAnsi" w:cstheme="majorHAnsi"/>
          <w:bCs/>
          <w:color w:val="546421" w:themeColor="accent6" w:themeShade="80"/>
          <w:sz w:val="24"/>
          <w:szCs w:val="20"/>
        </w:rPr>
        <w:t>Responsabilidad del productor</w:t>
      </w:r>
    </w:p>
    <w:p w14:paraId="7883E280" w14:textId="77777777" w:rsidR="0016386A" w:rsidRPr="00FC6260" w:rsidRDefault="0016386A" w:rsidP="0016386A">
      <w:pPr>
        <w:jc w:val="both"/>
        <w:rPr>
          <w:rFonts w:asciiTheme="majorHAnsi" w:hAnsiTheme="majorHAnsi" w:cstheme="majorHAnsi"/>
          <w:sz w:val="24"/>
        </w:rPr>
      </w:pPr>
      <w:r w:rsidRPr="00FC6260">
        <w:rPr>
          <w:rFonts w:asciiTheme="majorHAnsi" w:hAnsiTheme="majorHAnsi" w:cstheme="majorHAnsi"/>
          <w:sz w:val="24"/>
        </w:rPr>
        <w:t>Para adaptarse a los nuevos requisitos de la normativa de la UE, se desarrolla el régimen de responsabilidad ampliada del productor para los envases. En este sentido, se incluyen las obligaciones generales del productor, a las que en función de cada una de ellas deberá dar cumplimiento de forma individual o a través de la constitución de los correspondientes sistemas de responsabilidad ampliada del productor.</w:t>
      </w:r>
    </w:p>
    <w:p w14:paraId="76954BC5" w14:textId="77777777" w:rsidR="0016386A" w:rsidRPr="00FC6260" w:rsidRDefault="0016386A" w:rsidP="0016386A">
      <w:pPr>
        <w:jc w:val="both"/>
        <w:rPr>
          <w:rFonts w:asciiTheme="majorHAnsi" w:hAnsiTheme="majorHAnsi" w:cstheme="majorHAnsi"/>
          <w:sz w:val="24"/>
        </w:rPr>
      </w:pPr>
      <w:r w:rsidRPr="00FC6260">
        <w:rPr>
          <w:rFonts w:asciiTheme="majorHAnsi" w:hAnsiTheme="majorHAnsi" w:cstheme="majorHAnsi"/>
          <w:sz w:val="24"/>
        </w:rPr>
        <w:t xml:space="preserve">Asimismo, se introducen las contribuciones financieras de los productores, de forma que estos asuman el coste total de la gestión de los residuos de envases generados, tales como los costes de la recogida separada y su posterior transporte y tratamiento, los costes de información al usuario de los residuos de envases, los costes de las campañas de concienciación e información o cualquier otra medida para incentivar la entrega en los sistemas de recogida separada existentes, o los costes de recogida y comunicación de datos. </w:t>
      </w:r>
    </w:p>
    <w:p w14:paraId="5888CDC2" w14:textId="77777777" w:rsidR="0016386A" w:rsidRPr="00FC6260" w:rsidRDefault="0016386A" w:rsidP="0016386A">
      <w:pPr>
        <w:jc w:val="both"/>
        <w:rPr>
          <w:rFonts w:asciiTheme="majorHAnsi" w:hAnsiTheme="majorHAnsi" w:cstheme="majorHAnsi"/>
          <w:sz w:val="24"/>
        </w:rPr>
      </w:pPr>
      <w:r w:rsidRPr="00FC6260">
        <w:rPr>
          <w:rFonts w:asciiTheme="majorHAnsi" w:hAnsiTheme="majorHAnsi" w:cstheme="majorHAnsi"/>
          <w:sz w:val="24"/>
        </w:rPr>
        <w:lastRenderedPageBreak/>
        <w:t>Los requisitos que deben cumplir los envases para que sus fabricantes o importadores puedan introducirlos en el mercado, están previstos en los artículos 11, 12 y 13, así como las obligaciones generales están previstas en el artículo 17 y siguientes del RD 1055/2022.</w:t>
      </w:r>
    </w:p>
    <w:p w14:paraId="134A7BCC" w14:textId="77777777" w:rsidR="0016386A" w:rsidRPr="00FC6260" w:rsidRDefault="0016386A" w:rsidP="0016386A">
      <w:pPr>
        <w:jc w:val="both"/>
        <w:rPr>
          <w:rFonts w:asciiTheme="majorHAnsi" w:hAnsiTheme="majorHAnsi" w:cstheme="majorHAnsi"/>
          <w:sz w:val="24"/>
        </w:rPr>
      </w:pPr>
      <w:r w:rsidRPr="00FC6260">
        <w:rPr>
          <w:rFonts w:asciiTheme="majorHAnsi" w:hAnsiTheme="majorHAnsi" w:cstheme="majorHAnsi"/>
          <w:sz w:val="24"/>
        </w:rPr>
        <w:t>Entre las obligaciones previstas para el productor de los envases, debemos tener en cuenta:</w:t>
      </w:r>
    </w:p>
    <w:p w14:paraId="2B7BFF4D" w14:textId="77777777" w:rsidR="0016386A" w:rsidRPr="00FC6260" w:rsidRDefault="0016386A" w:rsidP="0016386A">
      <w:pPr>
        <w:jc w:val="both"/>
        <w:rPr>
          <w:rFonts w:asciiTheme="majorHAnsi" w:hAnsiTheme="majorHAnsi" w:cstheme="majorHAnsi"/>
          <w:sz w:val="24"/>
        </w:rPr>
      </w:pPr>
      <w:r w:rsidRPr="00FC6260">
        <w:rPr>
          <w:rFonts w:asciiTheme="majorHAnsi" w:hAnsiTheme="majorHAnsi" w:cstheme="majorHAnsi"/>
          <w:sz w:val="24"/>
        </w:rPr>
        <w:t xml:space="preserve">Las </w:t>
      </w:r>
      <w:r w:rsidRPr="00EE0FEB">
        <w:rPr>
          <w:rFonts w:asciiTheme="majorHAnsi" w:hAnsiTheme="majorHAnsi" w:cstheme="majorHAnsi"/>
          <w:sz w:val="24"/>
        </w:rPr>
        <w:t>obligaciones de diseño y marcado de envases, para</w:t>
      </w:r>
      <w:r w:rsidRPr="00FC6260">
        <w:rPr>
          <w:rFonts w:asciiTheme="majorHAnsi" w:hAnsiTheme="majorHAnsi" w:cstheme="majorHAnsi"/>
          <w:sz w:val="24"/>
        </w:rPr>
        <w:t xml:space="preserve"> que a lo largo de su ciclo de vida se reduzca su impacto ambiental y la generación de residuos, tanto en su fabricación como en su uso posterior, y de manera que se asegure la valorización y eliminación de los envases que se han convertido en residuos se desarrolle sin poner en peligro la salud humana y sin dañar al medio ambiente, y de conformidad con la jerarquía de residuos. </w:t>
      </w:r>
    </w:p>
    <w:p w14:paraId="4EFDFDAB" w14:textId="77777777" w:rsidR="0016386A" w:rsidRPr="00FC6260" w:rsidRDefault="0016386A" w:rsidP="0016386A">
      <w:pPr>
        <w:jc w:val="both"/>
        <w:rPr>
          <w:rFonts w:asciiTheme="majorHAnsi" w:hAnsiTheme="majorHAnsi" w:cstheme="majorHAnsi"/>
          <w:sz w:val="24"/>
        </w:rPr>
      </w:pPr>
      <w:r w:rsidRPr="00FC6260">
        <w:rPr>
          <w:rFonts w:asciiTheme="majorHAnsi" w:hAnsiTheme="majorHAnsi" w:cstheme="majorHAnsi"/>
          <w:sz w:val="24"/>
        </w:rPr>
        <w:t>Las medidas de diseño que se adopten para el cumplimiento de los objetivos previstos no deben comprometer las funciones esenciales del envase, ni los niveles de seguridad e higiene necesarios para el producto envasado y el consumidor. Para el cumplimiento de este fin, se deberá disponer de los documentos e información que permita acreditar y demostrar la conformidad de que los envases comercializados cumplen los requisitos básicos sobre fabricación y composición de los envases y sobre la naturaleza de los envases reutilizables y valorizables, incluidos los reciclables.</w:t>
      </w:r>
    </w:p>
    <w:p w14:paraId="00F97B04" w14:textId="77777777" w:rsidR="0016386A" w:rsidRPr="00FC6260" w:rsidRDefault="0016386A" w:rsidP="0016386A">
      <w:pPr>
        <w:jc w:val="both"/>
        <w:rPr>
          <w:rFonts w:asciiTheme="majorHAnsi" w:hAnsiTheme="majorHAnsi" w:cstheme="majorHAnsi"/>
          <w:sz w:val="24"/>
        </w:rPr>
      </w:pPr>
      <w:r w:rsidRPr="00FC6260">
        <w:rPr>
          <w:rFonts w:asciiTheme="majorHAnsi" w:hAnsiTheme="majorHAnsi" w:cstheme="majorHAnsi"/>
          <w:sz w:val="24"/>
        </w:rPr>
        <w:t xml:space="preserve">Entre las obligaciones de marcado podemos destacar la previsión de que los envases deberán indicar su condición de reutilizable, y el símbolo asociado al sistema de depósito, devolución y retorno. Asimismo, los envases podrán estar identificados mediante símbolos acreditativos de pertenencia al sistema de responsabilidad ampliada del productor. </w:t>
      </w:r>
    </w:p>
    <w:p w14:paraId="2187A4EE" w14:textId="6CCCDBCB" w:rsidR="0016386A" w:rsidRPr="00EE0FEB" w:rsidRDefault="0016386A" w:rsidP="0016386A">
      <w:pPr>
        <w:jc w:val="both"/>
        <w:rPr>
          <w:rFonts w:asciiTheme="majorHAnsi" w:hAnsiTheme="majorHAnsi" w:cstheme="majorHAnsi"/>
          <w:sz w:val="24"/>
        </w:rPr>
      </w:pPr>
      <w:r w:rsidRPr="00FC6260">
        <w:rPr>
          <w:rFonts w:asciiTheme="majorHAnsi" w:hAnsiTheme="majorHAnsi" w:cstheme="majorHAnsi"/>
          <w:sz w:val="24"/>
        </w:rPr>
        <w:t xml:space="preserve">Se prohíbe el marcado de los envases con las palabras “respetuoso para el medio ambiente”, o cualquier otro </w:t>
      </w:r>
      <w:r w:rsidRPr="00EE0FEB">
        <w:rPr>
          <w:rFonts w:asciiTheme="majorHAnsi" w:hAnsiTheme="majorHAnsi" w:cstheme="majorHAnsi"/>
          <w:sz w:val="24"/>
        </w:rPr>
        <w:t xml:space="preserve">equivalente que pueda inducir a su abandono en el entorno. </w:t>
      </w:r>
    </w:p>
    <w:p w14:paraId="6BCEF708" w14:textId="77777777" w:rsidR="0016386A" w:rsidRPr="00FC6260" w:rsidRDefault="0016386A" w:rsidP="0016386A">
      <w:pPr>
        <w:jc w:val="both"/>
        <w:rPr>
          <w:rFonts w:asciiTheme="majorHAnsi" w:hAnsiTheme="majorHAnsi" w:cstheme="majorHAnsi"/>
          <w:sz w:val="24"/>
        </w:rPr>
      </w:pPr>
      <w:r w:rsidRPr="00EE0FEB">
        <w:rPr>
          <w:rFonts w:asciiTheme="majorHAnsi" w:hAnsiTheme="majorHAnsi" w:cstheme="majorHAnsi"/>
          <w:sz w:val="24"/>
        </w:rPr>
        <w:t>Por otro lado, se prevén las obligaciones de información impuestas</w:t>
      </w:r>
      <w:r w:rsidRPr="00FC6260">
        <w:rPr>
          <w:rFonts w:asciiTheme="majorHAnsi" w:hAnsiTheme="majorHAnsi" w:cstheme="majorHAnsi"/>
          <w:sz w:val="24"/>
        </w:rPr>
        <w:t xml:space="preserve"> a los fabricantes y productores de envases. Distinguiendo la información que debe facilitarse a las administraciones públicas o a los consumidores, usuarios y público en general.</w:t>
      </w:r>
    </w:p>
    <w:p w14:paraId="7DE7CD10" w14:textId="77777777" w:rsidR="0016386A" w:rsidRPr="00FC6260" w:rsidRDefault="0016386A" w:rsidP="0016386A">
      <w:pPr>
        <w:jc w:val="both"/>
        <w:rPr>
          <w:rFonts w:asciiTheme="majorHAnsi" w:hAnsiTheme="majorHAnsi" w:cstheme="majorHAnsi"/>
          <w:sz w:val="24"/>
        </w:rPr>
      </w:pPr>
      <w:r w:rsidRPr="00FC6260">
        <w:rPr>
          <w:rFonts w:asciiTheme="majorHAnsi" w:hAnsiTheme="majorHAnsi" w:cstheme="majorHAnsi"/>
          <w:sz w:val="24"/>
        </w:rPr>
        <w:t>Sobre las obligaciones de información a las Administraciones Públicas sobre la puesta en el mercado de los envases. Para cumplir con este objetivo se crea la sección de envases en el Registro de Productores de Productos, en el cual se obliga a todos los envasadores a inscribirse y a remitir anualmente información correspondiente a los envases que hayan introducido en el mercado cada año natural.</w:t>
      </w:r>
    </w:p>
    <w:p w14:paraId="40B2D307" w14:textId="77777777" w:rsidR="0016386A" w:rsidRPr="00FC6260" w:rsidRDefault="0016386A" w:rsidP="0016386A">
      <w:pPr>
        <w:jc w:val="both"/>
        <w:rPr>
          <w:rFonts w:asciiTheme="majorHAnsi" w:hAnsiTheme="majorHAnsi" w:cstheme="majorHAnsi"/>
          <w:sz w:val="24"/>
        </w:rPr>
      </w:pPr>
      <w:r w:rsidRPr="00FC6260">
        <w:rPr>
          <w:rFonts w:asciiTheme="majorHAnsi" w:hAnsiTheme="majorHAnsi" w:cstheme="majorHAnsi"/>
          <w:sz w:val="24"/>
        </w:rPr>
        <w:t>Respecto de las obligaciones de información en materia de envases, tiene por objetivo mejorar la información del consumidor y facilitar la gestión. Así, los envases deberán indicar su condición de reutilizables o, por ejemplo, los contenedores en los que deben depositarse.</w:t>
      </w:r>
    </w:p>
    <w:p w14:paraId="275682E5" w14:textId="77777777" w:rsidR="0016386A" w:rsidRDefault="0016386A" w:rsidP="0016386A">
      <w:pPr>
        <w:jc w:val="both"/>
        <w:rPr>
          <w:rFonts w:asciiTheme="majorHAnsi" w:hAnsiTheme="majorHAnsi" w:cstheme="majorHAnsi"/>
          <w:sz w:val="24"/>
        </w:rPr>
      </w:pPr>
      <w:r w:rsidRPr="00FC6260">
        <w:rPr>
          <w:rFonts w:asciiTheme="majorHAnsi" w:hAnsiTheme="majorHAnsi" w:cstheme="majorHAnsi"/>
          <w:sz w:val="24"/>
        </w:rPr>
        <w:t xml:space="preserve">Como hemos mencionado, la finalidad es la de ayudar a la toma de decisiones informadas por parte de los consumidores en relación con la reciclabilidad de los envases, por ello, se regula la posibilidad de que estos puedan ir marcados con el porcentaje de material </w:t>
      </w:r>
      <w:r w:rsidRPr="00FC6260">
        <w:rPr>
          <w:rFonts w:asciiTheme="majorHAnsi" w:hAnsiTheme="majorHAnsi" w:cstheme="majorHAnsi"/>
          <w:sz w:val="24"/>
        </w:rPr>
        <w:lastRenderedPageBreak/>
        <w:t xml:space="preserve">del envase disponible para un reciclado de calidad, siempre y cuando esta información haya sido obtenida a través de una evaluación auditable y certificable, que deberá revisarse, al menos, cada cinco años. </w:t>
      </w:r>
    </w:p>
    <w:p w14:paraId="3CE84C61" w14:textId="77777777" w:rsidR="0016386A" w:rsidRPr="000D26AB" w:rsidRDefault="0016386A" w:rsidP="0016386A">
      <w:pPr>
        <w:jc w:val="both"/>
        <w:rPr>
          <w:rFonts w:asciiTheme="majorHAnsi" w:hAnsiTheme="majorHAnsi" w:cstheme="majorHAnsi"/>
          <w:bCs/>
          <w:color w:val="546421" w:themeColor="accent6" w:themeShade="80"/>
          <w:sz w:val="24"/>
          <w:szCs w:val="20"/>
        </w:rPr>
      </w:pPr>
      <w:r w:rsidRPr="000D26AB">
        <w:rPr>
          <w:rFonts w:asciiTheme="majorHAnsi" w:hAnsiTheme="majorHAnsi" w:cstheme="majorHAnsi"/>
          <w:bCs/>
          <w:color w:val="546421" w:themeColor="accent6" w:themeShade="80"/>
          <w:sz w:val="24"/>
          <w:szCs w:val="20"/>
        </w:rPr>
        <w:t>Obligaciones de consumidores</w:t>
      </w:r>
    </w:p>
    <w:p w14:paraId="36C70021" w14:textId="77777777" w:rsidR="0016386A" w:rsidRPr="00FC6260" w:rsidRDefault="0016386A" w:rsidP="0016386A">
      <w:pPr>
        <w:jc w:val="both"/>
        <w:rPr>
          <w:rFonts w:asciiTheme="majorHAnsi" w:hAnsiTheme="majorHAnsi" w:cstheme="majorHAnsi"/>
          <w:sz w:val="24"/>
        </w:rPr>
      </w:pPr>
      <w:r w:rsidRPr="00FC6260">
        <w:rPr>
          <w:rFonts w:asciiTheme="majorHAnsi" w:hAnsiTheme="majorHAnsi" w:cstheme="majorHAnsi"/>
          <w:sz w:val="24"/>
        </w:rPr>
        <w:t>Los consumidores de productos envasados deberán retornar a los comerciantes y distribuidores los residuos de envases sujetos al sistema de depósito, devolución y retorno, en las condiciones de conservación y limpieza definidas por los sistemas de responsabilidad ampliada del productor.</w:t>
      </w:r>
    </w:p>
    <w:p w14:paraId="0B5CB221" w14:textId="77777777" w:rsidR="0016386A" w:rsidRPr="00FC6260" w:rsidRDefault="0016386A" w:rsidP="0016386A">
      <w:pPr>
        <w:jc w:val="both"/>
        <w:rPr>
          <w:rFonts w:asciiTheme="majorHAnsi" w:hAnsiTheme="majorHAnsi" w:cstheme="majorHAnsi"/>
          <w:sz w:val="24"/>
        </w:rPr>
      </w:pPr>
      <w:r w:rsidRPr="00FC6260">
        <w:rPr>
          <w:rFonts w:asciiTheme="majorHAnsi" w:hAnsiTheme="majorHAnsi" w:cstheme="majorHAnsi"/>
          <w:sz w:val="24"/>
        </w:rPr>
        <w:t>Los consumidores deberán separar por materiales los residuos de envases no sujetos al sistema de depósito, devolución y retorno, y depositarlos en los contenedores u otros sistemas de aportación habilitados para su recogida separada periódica conforme a lo establecido en las ordenanzas de las entidades locales, o en su defecto, en los puntos de recogida establecidos por los propios sistemas de responsabilidad ampliada del productor, y según las condiciones definidas por los mismos.</w:t>
      </w:r>
    </w:p>
    <w:p w14:paraId="7E2A620B" w14:textId="77777777" w:rsidR="0016386A" w:rsidRPr="00FC6260" w:rsidRDefault="0016386A" w:rsidP="0016386A">
      <w:pPr>
        <w:jc w:val="both"/>
        <w:rPr>
          <w:rFonts w:asciiTheme="majorHAnsi" w:hAnsiTheme="majorHAnsi" w:cstheme="majorHAnsi"/>
          <w:sz w:val="24"/>
        </w:rPr>
      </w:pPr>
      <w:r w:rsidRPr="00FC6260">
        <w:rPr>
          <w:rFonts w:asciiTheme="majorHAnsi" w:hAnsiTheme="majorHAnsi" w:cstheme="majorHAnsi"/>
          <w:sz w:val="24"/>
        </w:rPr>
        <w:t>En ningún caso, los consumidores podrán abandonar los residuos de envases en el entorno, fuera de los contenedores habilitados para su recogida.</w:t>
      </w:r>
    </w:p>
    <w:p w14:paraId="3B0039D5" w14:textId="77777777" w:rsidR="0016386A" w:rsidRPr="00FC6260" w:rsidRDefault="0016386A" w:rsidP="0016386A">
      <w:pPr>
        <w:jc w:val="both"/>
        <w:rPr>
          <w:rFonts w:asciiTheme="majorHAnsi" w:hAnsiTheme="majorHAnsi" w:cstheme="majorHAnsi"/>
          <w:sz w:val="24"/>
        </w:rPr>
      </w:pPr>
      <w:r w:rsidRPr="00FC6260">
        <w:rPr>
          <w:rFonts w:asciiTheme="majorHAnsi" w:hAnsiTheme="majorHAnsi" w:cstheme="majorHAnsi"/>
          <w:sz w:val="24"/>
        </w:rPr>
        <w:t>En el caso de envases fabricados por diferentes materiales, si éstos pueden separarse fácilmente, los consumidores deberán separarlos y depositarlos en la fracción o contenedor correspondiente. Cuando no puedan separarse los materiales fácilmente, o en el caso de envases compuestos, los residuos de envases deberán ser depositados en la fracción o contenedor indicado en el envase.</w:t>
      </w:r>
    </w:p>
    <w:p w14:paraId="12B76158" w14:textId="77777777" w:rsidR="0016386A" w:rsidRPr="00FC6260" w:rsidRDefault="0016386A" w:rsidP="0016386A">
      <w:pPr>
        <w:jc w:val="both"/>
        <w:rPr>
          <w:rFonts w:asciiTheme="majorHAnsi" w:hAnsiTheme="majorHAnsi" w:cstheme="majorHAnsi"/>
          <w:sz w:val="24"/>
        </w:rPr>
      </w:pPr>
      <w:r w:rsidRPr="00FC6260">
        <w:rPr>
          <w:rFonts w:asciiTheme="majorHAnsi" w:hAnsiTheme="majorHAnsi" w:cstheme="majorHAnsi"/>
          <w:sz w:val="24"/>
        </w:rPr>
        <w:t>En el caso de los residuos de envases domésticos generados en el canal HORECA, los poseedores finales estarán obligados a llevar a cabo una separación por materiales y su entrega conforme a lo que se establezca en las ordenanzas de las entidades locales</w:t>
      </w:r>
    </w:p>
    <w:p w14:paraId="58192B5C" w14:textId="4B1BB86D" w:rsidR="000D26AB" w:rsidRDefault="000D26AB" w:rsidP="0016386A">
      <w:pPr>
        <w:jc w:val="both"/>
        <w:rPr>
          <w:rFonts w:asciiTheme="majorHAnsi" w:hAnsiTheme="majorHAnsi" w:cstheme="majorHAnsi"/>
          <w:color w:val="546421" w:themeColor="accent6" w:themeShade="80"/>
          <w:sz w:val="24"/>
        </w:rPr>
      </w:pPr>
    </w:p>
    <w:p w14:paraId="017EFD7A" w14:textId="77777777" w:rsidR="00EE0FEB" w:rsidRPr="00FC6260" w:rsidRDefault="00EE0FEB" w:rsidP="0016386A">
      <w:pPr>
        <w:jc w:val="both"/>
        <w:rPr>
          <w:rFonts w:asciiTheme="majorHAnsi" w:hAnsiTheme="majorHAnsi" w:cstheme="majorHAnsi"/>
          <w:color w:val="546421" w:themeColor="accent6" w:themeShade="80"/>
          <w:sz w:val="24"/>
        </w:rPr>
      </w:pPr>
    </w:p>
    <w:p w14:paraId="44B44FE9" w14:textId="2FFF9A79" w:rsidR="0016386A" w:rsidRPr="000D26AB" w:rsidRDefault="0016386A" w:rsidP="0016386A">
      <w:pPr>
        <w:jc w:val="both"/>
        <w:rPr>
          <w:rFonts w:asciiTheme="majorHAnsi" w:eastAsiaTheme="majorEastAsia" w:hAnsiTheme="majorHAnsi" w:cstheme="majorHAnsi"/>
          <w:color w:val="546421" w:themeColor="accent6" w:themeShade="80"/>
          <w:sz w:val="32"/>
          <w:szCs w:val="28"/>
        </w:rPr>
      </w:pPr>
      <w:r w:rsidRPr="000D26AB">
        <w:rPr>
          <w:rFonts w:asciiTheme="majorHAnsi" w:eastAsiaTheme="majorEastAsia" w:hAnsiTheme="majorHAnsi" w:cstheme="majorHAnsi"/>
          <w:color w:val="546421" w:themeColor="accent6" w:themeShade="80"/>
          <w:sz w:val="32"/>
          <w:szCs w:val="28"/>
        </w:rPr>
        <w:t>C</w:t>
      </w:r>
      <w:r w:rsidR="000D26AB">
        <w:rPr>
          <w:rFonts w:asciiTheme="majorHAnsi" w:eastAsiaTheme="majorEastAsia" w:hAnsiTheme="majorHAnsi" w:cstheme="majorHAnsi"/>
          <w:color w:val="546421" w:themeColor="accent6" w:themeShade="80"/>
          <w:sz w:val="32"/>
          <w:szCs w:val="28"/>
        </w:rPr>
        <w:t>onceptos</w:t>
      </w:r>
    </w:p>
    <w:p w14:paraId="546A75E9" w14:textId="77777777" w:rsidR="0016386A" w:rsidRPr="00FC6260" w:rsidRDefault="0016386A" w:rsidP="0016386A">
      <w:pPr>
        <w:jc w:val="both"/>
        <w:rPr>
          <w:rFonts w:asciiTheme="majorHAnsi" w:hAnsiTheme="majorHAnsi" w:cstheme="majorHAnsi"/>
          <w:sz w:val="24"/>
        </w:rPr>
      </w:pPr>
      <w:r w:rsidRPr="00FC6260">
        <w:rPr>
          <w:rFonts w:asciiTheme="majorHAnsi" w:hAnsiTheme="majorHAnsi" w:cstheme="majorHAnsi"/>
          <w:sz w:val="24"/>
        </w:rPr>
        <w:t>A efectos de los puntos que vamos a ver a continuación, se entenderá por:</w:t>
      </w:r>
    </w:p>
    <w:p w14:paraId="133A4470" w14:textId="77777777" w:rsidR="0016386A" w:rsidRPr="00FC6260" w:rsidRDefault="0016386A" w:rsidP="0016386A">
      <w:pPr>
        <w:jc w:val="both"/>
        <w:rPr>
          <w:rFonts w:asciiTheme="majorHAnsi" w:hAnsiTheme="majorHAnsi" w:cstheme="majorHAnsi"/>
          <w:b/>
          <w:sz w:val="24"/>
        </w:rPr>
      </w:pPr>
      <w:r>
        <w:rPr>
          <w:rFonts w:asciiTheme="majorHAnsi" w:hAnsiTheme="majorHAnsi" w:cstheme="majorHAnsi"/>
          <w:b/>
          <w:sz w:val="24"/>
        </w:rPr>
        <w:t>Envase</w:t>
      </w:r>
    </w:p>
    <w:p w14:paraId="3D603988" w14:textId="77777777" w:rsidR="0016386A" w:rsidRDefault="0016386A" w:rsidP="0016386A">
      <w:pPr>
        <w:jc w:val="both"/>
        <w:rPr>
          <w:rFonts w:asciiTheme="majorHAnsi" w:hAnsiTheme="majorHAnsi" w:cstheme="majorHAnsi"/>
          <w:sz w:val="24"/>
        </w:rPr>
      </w:pPr>
      <w:r w:rsidRPr="00FC6260">
        <w:rPr>
          <w:rFonts w:asciiTheme="majorHAnsi" w:hAnsiTheme="majorHAnsi" w:cstheme="majorHAnsi"/>
          <w:sz w:val="24"/>
        </w:rPr>
        <w:t>Todo producto fabricado con materiales de cualquier naturaleza y que se utilice para contener, proteger, manipular, distribuir y presentar mercancías, desde materias primas hasta artículos acabados, en cualquier fase de la cadena de fabricación, distribución y consumo.se consideraran envases también todos los artículos desechables utilizados con este mismo fin.</w:t>
      </w:r>
    </w:p>
    <w:p w14:paraId="2F8BDCC4" w14:textId="77777777" w:rsidR="0016386A" w:rsidRPr="00FC6260" w:rsidRDefault="0016386A" w:rsidP="0016386A">
      <w:pPr>
        <w:jc w:val="both"/>
        <w:rPr>
          <w:rFonts w:asciiTheme="majorHAnsi" w:hAnsiTheme="majorHAnsi" w:cstheme="majorHAnsi"/>
          <w:sz w:val="24"/>
        </w:rPr>
      </w:pPr>
      <w:r w:rsidRPr="00697DD9">
        <w:rPr>
          <w:rFonts w:asciiTheme="majorHAnsi" w:hAnsiTheme="majorHAnsi" w:cstheme="majorHAnsi"/>
          <w:sz w:val="24"/>
        </w:rPr>
        <w:t>Dentro de este concepto se incluyen los envases de venta o primarios, los envases colectivos o secundarios y los envases de transporte o terciarios</w:t>
      </w:r>
    </w:p>
    <w:p w14:paraId="23A1142F" w14:textId="77777777" w:rsidR="0016386A" w:rsidRPr="00FC6260" w:rsidRDefault="0016386A" w:rsidP="0016386A">
      <w:pPr>
        <w:jc w:val="both"/>
        <w:rPr>
          <w:rFonts w:asciiTheme="majorHAnsi" w:hAnsiTheme="majorHAnsi" w:cstheme="majorHAnsi"/>
          <w:b/>
          <w:sz w:val="24"/>
        </w:rPr>
      </w:pPr>
      <w:r>
        <w:rPr>
          <w:rFonts w:asciiTheme="majorHAnsi" w:hAnsiTheme="majorHAnsi" w:cstheme="majorHAnsi"/>
          <w:b/>
          <w:sz w:val="24"/>
        </w:rPr>
        <w:lastRenderedPageBreak/>
        <w:t>Tipos de envase</w:t>
      </w:r>
    </w:p>
    <w:p w14:paraId="759025C3" w14:textId="77777777" w:rsidR="0016386A" w:rsidRPr="00FC6260" w:rsidRDefault="0016386A" w:rsidP="0016386A">
      <w:pPr>
        <w:pStyle w:val="Prrafodelista"/>
        <w:numPr>
          <w:ilvl w:val="0"/>
          <w:numId w:val="2"/>
        </w:numPr>
        <w:jc w:val="both"/>
        <w:rPr>
          <w:rFonts w:asciiTheme="majorHAnsi" w:hAnsiTheme="majorHAnsi" w:cstheme="majorHAnsi"/>
          <w:sz w:val="24"/>
        </w:rPr>
      </w:pPr>
      <w:r w:rsidRPr="00FC6260">
        <w:rPr>
          <w:rFonts w:asciiTheme="majorHAnsi" w:hAnsiTheme="majorHAnsi" w:cstheme="majorHAnsi"/>
          <w:sz w:val="24"/>
          <w:u w:val="single"/>
        </w:rPr>
        <w:t>Colectivo o secundario:</w:t>
      </w:r>
      <w:r w:rsidRPr="00FC6260">
        <w:rPr>
          <w:rFonts w:asciiTheme="majorHAnsi" w:hAnsiTheme="majorHAnsi" w:cstheme="majorHAnsi"/>
          <w:sz w:val="24"/>
        </w:rPr>
        <w:t xml:space="preserve"> diseñado para constituir en el punto de venta una agrupación de un número determinado de unidades de venta.</w:t>
      </w:r>
    </w:p>
    <w:p w14:paraId="3605B01D" w14:textId="77777777" w:rsidR="0016386A" w:rsidRPr="00FC6260" w:rsidRDefault="0016386A" w:rsidP="0016386A">
      <w:pPr>
        <w:pStyle w:val="Prrafodelista"/>
        <w:numPr>
          <w:ilvl w:val="0"/>
          <w:numId w:val="2"/>
        </w:numPr>
        <w:jc w:val="both"/>
        <w:rPr>
          <w:rFonts w:asciiTheme="majorHAnsi" w:hAnsiTheme="majorHAnsi" w:cstheme="majorHAnsi"/>
          <w:sz w:val="24"/>
        </w:rPr>
      </w:pPr>
      <w:r w:rsidRPr="00FC6260">
        <w:rPr>
          <w:rFonts w:asciiTheme="majorHAnsi" w:hAnsiTheme="majorHAnsi" w:cstheme="majorHAnsi"/>
          <w:sz w:val="24"/>
          <w:u w:val="single"/>
        </w:rPr>
        <w:t>Comercial:</w:t>
      </w:r>
      <w:r w:rsidRPr="00FC6260">
        <w:rPr>
          <w:rFonts w:asciiTheme="majorHAnsi" w:hAnsiTheme="majorHAnsi" w:cstheme="majorHAnsi"/>
          <w:sz w:val="24"/>
        </w:rPr>
        <w:t xml:space="preserve"> envases destinados al uso y consumo propio del ejercicio de la actividad comercial, restauración, oficinas y mercados. </w:t>
      </w:r>
    </w:p>
    <w:p w14:paraId="13420F32" w14:textId="77777777" w:rsidR="0016386A" w:rsidRPr="00FC6260" w:rsidRDefault="0016386A" w:rsidP="0016386A">
      <w:pPr>
        <w:pStyle w:val="Prrafodelista"/>
        <w:numPr>
          <w:ilvl w:val="0"/>
          <w:numId w:val="2"/>
        </w:numPr>
        <w:jc w:val="both"/>
        <w:rPr>
          <w:rFonts w:asciiTheme="majorHAnsi" w:hAnsiTheme="majorHAnsi" w:cstheme="majorHAnsi"/>
          <w:sz w:val="24"/>
        </w:rPr>
      </w:pPr>
      <w:r w:rsidRPr="00FC6260">
        <w:rPr>
          <w:rFonts w:asciiTheme="majorHAnsi" w:hAnsiTheme="majorHAnsi" w:cstheme="majorHAnsi"/>
          <w:sz w:val="24"/>
          <w:u w:val="single"/>
        </w:rPr>
        <w:t>Compuesto:</w:t>
      </w:r>
      <w:r w:rsidRPr="00FC6260">
        <w:rPr>
          <w:rFonts w:asciiTheme="majorHAnsi" w:hAnsiTheme="majorHAnsi" w:cstheme="majorHAnsi"/>
          <w:sz w:val="24"/>
        </w:rPr>
        <w:t xml:space="preserve"> hecho con dos o más capas de materiales diferentes que no pueden separarse a mano y forman una única unidad integral.</w:t>
      </w:r>
    </w:p>
    <w:p w14:paraId="684DAFA7" w14:textId="77777777" w:rsidR="0016386A" w:rsidRPr="00FC6260" w:rsidRDefault="0016386A" w:rsidP="0016386A">
      <w:pPr>
        <w:pStyle w:val="Prrafodelista"/>
        <w:numPr>
          <w:ilvl w:val="0"/>
          <w:numId w:val="2"/>
        </w:numPr>
        <w:jc w:val="both"/>
        <w:rPr>
          <w:rFonts w:asciiTheme="majorHAnsi" w:hAnsiTheme="majorHAnsi" w:cstheme="majorHAnsi"/>
          <w:sz w:val="24"/>
        </w:rPr>
      </w:pPr>
      <w:r w:rsidRPr="00FC6260">
        <w:rPr>
          <w:rFonts w:asciiTheme="majorHAnsi" w:hAnsiTheme="majorHAnsi" w:cstheme="majorHAnsi"/>
          <w:sz w:val="24"/>
          <w:u w:val="single"/>
        </w:rPr>
        <w:t>De servicio:</w:t>
      </w:r>
      <w:r w:rsidRPr="00FC6260">
        <w:rPr>
          <w:rFonts w:asciiTheme="majorHAnsi" w:hAnsiTheme="majorHAnsi" w:cstheme="majorHAnsi"/>
          <w:sz w:val="24"/>
        </w:rPr>
        <w:t xml:space="preserve"> diseñados y destinados a ser llenados en el punto de venta, así como aquellos como tal diseñados para suministrar el producto y/o permitir o facilitar su consumo directo.</w:t>
      </w:r>
    </w:p>
    <w:p w14:paraId="0758863E" w14:textId="77777777" w:rsidR="0016386A" w:rsidRPr="00FC6260" w:rsidRDefault="0016386A" w:rsidP="0016386A">
      <w:pPr>
        <w:pStyle w:val="Prrafodelista"/>
        <w:numPr>
          <w:ilvl w:val="0"/>
          <w:numId w:val="2"/>
        </w:numPr>
        <w:jc w:val="both"/>
        <w:rPr>
          <w:rFonts w:asciiTheme="majorHAnsi" w:hAnsiTheme="majorHAnsi" w:cstheme="majorHAnsi"/>
          <w:sz w:val="24"/>
        </w:rPr>
      </w:pPr>
      <w:r w:rsidRPr="00FC6260">
        <w:rPr>
          <w:rFonts w:asciiTheme="majorHAnsi" w:hAnsiTheme="majorHAnsi" w:cstheme="majorHAnsi"/>
          <w:sz w:val="24"/>
          <w:u w:val="single"/>
        </w:rPr>
        <w:t>De transporte o envase terciario:</w:t>
      </w:r>
      <w:r w:rsidRPr="00FC6260">
        <w:rPr>
          <w:rFonts w:asciiTheme="majorHAnsi" w:hAnsiTheme="majorHAnsi" w:cstheme="majorHAnsi"/>
          <w:sz w:val="24"/>
        </w:rPr>
        <w:t xml:space="preserve"> para facilitar el manipulado y transporte.</w:t>
      </w:r>
    </w:p>
    <w:p w14:paraId="6A22B391" w14:textId="77777777" w:rsidR="0016386A" w:rsidRPr="00FC6260" w:rsidRDefault="0016386A" w:rsidP="0016386A">
      <w:pPr>
        <w:pStyle w:val="Prrafodelista"/>
        <w:numPr>
          <w:ilvl w:val="0"/>
          <w:numId w:val="2"/>
        </w:numPr>
        <w:jc w:val="both"/>
        <w:rPr>
          <w:rFonts w:asciiTheme="majorHAnsi" w:hAnsiTheme="majorHAnsi" w:cstheme="majorHAnsi"/>
          <w:sz w:val="24"/>
        </w:rPr>
      </w:pPr>
      <w:r w:rsidRPr="00FC6260">
        <w:rPr>
          <w:rFonts w:asciiTheme="majorHAnsi" w:hAnsiTheme="majorHAnsi" w:cstheme="majorHAnsi"/>
          <w:sz w:val="24"/>
          <w:u w:val="single"/>
        </w:rPr>
        <w:t>Domestico:</w:t>
      </w:r>
      <w:r w:rsidRPr="00FC6260">
        <w:rPr>
          <w:rFonts w:asciiTheme="majorHAnsi" w:hAnsiTheme="majorHAnsi" w:cstheme="majorHAnsi"/>
          <w:sz w:val="24"/>
        </w:rPr>
        <w:t xml:space="preserve"> destinados al uso o consumo por particulares, siempre que estos envases sean susceptibles de ser adquiridos por el consumidor en los comercios.</w:t>
      </w:r>
    </w:p>
    <w:p w14:paraId="504FA09C" w14:textId="77777777" w:rsidR="0016386A" w:rsidRPr="00FC6260" w:rsidRDefault="0016386A" w:rsidP="0016386A">
      <w:pPr>
        <w:pStyle w:val="Prrafodelista"/>
        <w:numPr>
          <w:ilvl w:val="0"/>
          <w:numId w:val="2"/>
        </w:numPr>
        <w:jc w:val="both"/>
        <w:rPr>
          <w:rFonts w:asciiTheme="majorHAnsi" w:hAnsiTheme="majorHAnsi" w:cstheme="majorHAnsi"/>
          <w:sz w:val="24"/>
        </w:rPr>
      </w:pPr>
      <w:r w:rsidRPr="00FC6260">
        <w:rPr>
          <w:rFonts w:asciiTheme="majorHAnsi" w:hAnsiTheme="majorHAnsi" w:cstheme="majorHAnsi"/>
          <w:sz w:val="24"/>
          <w:u w:val="single"/>
        </w:rPr>
        <w:t>Industrial:</w:t>
      </w:r>
      <w:r w:rsidRPr="00FC6260">
        <w:rPr>
          <w:rFonts w:asciiTheme="majorHAnsi" w:hAnsiTheme="majorHAnsi" w:cstheme="majorHAnsi"/>
          <w:sz w:val="24"/>
        </w:rPr>
        <w:t xml:space="preserve"> destinado al uso y consumo propio del ejercicio de la actividad económica de las industrias, explotaciones agrícolas, ganaderas, forestales o acuícolas. </w:t>
      </w:r>
    </w:p>
    <w:p w14:paraId="19D15FD5" w14:textId="77777777" w:rsidR="0016386A" w:rsidRPr="00FC6260" w:rsidRDefault="0016386A" w:rsidP="0016386A">
      <w:pPr>
        <w:pStyle w:val="Prrafodelista"/>
        <w:numPr>
          <w:ilvl w:val="0"/>
          <w:numId w:val="2"/>
        </w:numPr>
        <w:jc w:val="both"/>
        <w:rPr>
          <w:rFonts w:asciiTheme="majorHAnsi" w:hAnsiTheme="majorHAnsi" w:cstheme="majorHAnsi"/>
          <w:sz w:val="24"/>
        </w:rPr>
      </w:pPr>
      <w:r w:rsidRPr="00FC6260">
        <w:rPr>
          <w:rFonts w:asciiTheme="majorHAnsi" w:hAnsiTheme="majorHAnsi" w:cstheme="majorHAnsi"/>
          <w:sz w:val="24"/>
          <w:u w:val="single"/>
        </w:rPr>
        <w:t>Reutilizable:</w:t>
      </w:r>
      <w:r w:rsidRPr="00FC6260">
        <w:rPr>
          <w:rFonts w:asciiTheme="majorHAnsi" w:hAnsiTheme="majorHAnsi" w:cstheme="majorHAnsi"/>
          <w:sz w:val="24"/>
        </w:rPr>
        <w:t xml:space="preserve"> concebido, diseñado y comercializado para realizar múltiples circuitos o rotaciones a lo largo de su ciclo de vida.</w:t>
      </w:r>
    </w:p>
    <w:p w14:paraId="10563C15" w14:textId="77777777" w:rsidR="0016386A" w:rsidRDefault="0016386A" w:rsidP="0016386A">
      <w:pPr>
        <w:jc w:val="both"/>
        <w:rPr>
          <w:rFonts w:asciiTheme="majorHAnsi" w:hAnsiTheme="majorHAnsi" w:cstheme="majorHAnsi"/>
          <w:b/>
          <w:sz w:val="24"/>
        </w:rPr>
      </w:pPr>
      <w:r>
        <w:rPr>
          <w:rFonts w:asciiTheme="majorHAnsi" w:hAnsiTheme="majorHAnsi" w:cstheme="majorHAnsi"/>
          <w:b/>
          <w:sz w:val="24"/>
        </w:rPr>
        <w:t>Canal HORECA</w:t>
      </w:r>
    </w:p>
    <w:p w14:paraId="574BB2F7" w14:textId="77777777" w:rsidR="0016386A" w:rsidRDefault="0016386A" w:rsidP="0016386A">
      <w:pPr>
        <w:jc w:val="both"/>
        <w:rPr>
          <w:rFonts w:asciiTheme="majorHAnsi" w:hAnsiTheme="majorHAnsi" w:cstheme="majorHAnsi"/>
          <w:sz w:val="24"/>
        </w:rPr>
      </w:pPr>
      <w:proofErr w:type="spellStart"/>
      <w:r w:rsidRPr="00376FEB">
        <w:rPr>
          <w:rFonts w:asciiTheme="majorHAnsi" w:hAnsiTheme="majorHAnsi" w:cstheme="majorHAnsi"/>
          <w:sz w:val="24"/>
        </w:rPr>
        <w:t>Horeca</w:t>
      </w:r>
      <w:proofErr w:type="spellEnd"/>
      <w:r w:rsidRPr="00376FEB">
        <w:rPr>
          <w:rFonts w:asciiTheme="majorHAnsi" w:hAnsiTheme="majorHAnsi" w:cstheme="majorHAnsi"/>
          <w:sz w:val="24"/>
        </w:rPr>
        <w:t xml:space="preserve"> es un acrónimo formado por las dos primeras letras de tres palabras que definen su ámbito de actuación: hoteles (HO), restaurantes (RE) y catering (CA). </w:t>
      </w:r>
      <w:proofErr w:type="spellStart"/>
      <w:r w:rsidRPr="00376FEB">
        <w:rPr>
          <w:rFonts w:asciiTheme="majorHAnsi" w:hAnsiTheme="majorHAnsi" w:cstheme="majorHAnsi"/>
          <w:sz w:val="24"/>
        </w:rPr>
        <w:t>Horeca</w:t>
      </w:r>
      <w:proofErr w:type="spellEnd"/>
      <w:r w:rsidRPr="00376FEB">
        <w:rPr>
          <w:rFonts w:asciiTheme="majorHAnsi" w:hAnsiTheme="majorHAnsi" w:cstheme="majorHAnsi"/>
          <w:sz w:val="24"/>
        </w:rPr>
        <w:t xml:space="preserve"> es un canal de distribución para alimentos con el fin de identificar las oportunidades de mejora de toda la cadena de valor y contribuir a hacer más eficientes y sostenibles las relaciones entre proveedores, operadores e intermediarios del sector, y dando más peso al consumidor.</w:t>
      </w:r>
    </w:p>
    <w:p w14:paraId="0E1D968F" w14:textId="77777777" w:rsidR="0016386A" w:rsidRPr="00376FEB" w:rsidRDefault="0016386A" w:rsidP="0016386A">
      <w:pPr>
        <w:jc w:val="both"/>
        <w:rPr>
          <w:rFonts w:asciiTheme="majorHAnsi" w:hAnsiTheme="majorHAnsi" w:cstheme="majorHAnsi"/>
          <w:sz w:val="24"/>
        </w:rPr>
      </w:pPr>
      <w:r w:rsidRPr="00376FEB">
        <w:rPr>
          <w:rFonts w:asciiTheme="majorHAnsi" w:hAnsiTheme="majorHAnsi" w:cstheme="majorHAnsi"/>
          <w:sz w:val="24"/>
        </w:rPr>
        <w:t xml:space="preserve">El canal </w:t>
      </w:r>
      <w:proofErr w:type="spellStart"/>
      <w:r w:rsidRPr="00376FEB">
        <w:rPr>
          <w:rFonts w:asciiTheme="majorHAnsi" w:hAnsiTheme="majorHAnsi" w:cstheme="majorHAnsi"/>
          <w:sz w:val="24"/>
        </w:rPr>
        <w:t>horeca</w:t>
      </w:r>
      <w:proofErr w:type="spellEnd"/>
      <w:r w:rsidRPr="00376FEB">
        <w:rPr>
          <w:rFonts w:asciiTheme="majorHAnsi" w:hAnsiTheme="majorHAnsi" w:cstheme="majorHAnsi"/>
          <w:sz w:val="24"/>
        </w:rPr>
        <w:t xml:space="preserve"> es </w:t>
      </w:r>
      <w:proofErr w:type="gramStart"/>
      <w:r w:rsidRPr="00376FEB">
        <w:rPr>
          <w:rFonts w:asciiTheme="majorHAnsi" w:hAnsiTheme="majorHAnsi" w:cstheme="majorHAnsi"/>
          <w:sz w:val="24"/>
        </w:rPr>
        <w:t>una área</w:t>
      </w:r>
      <w:proofErr w:type="gramEnd"/>
      <w:r w:rsidRPr="00376FEB">
        <w:rPr>
          <w:rFonts w:asciiTheme="majorHAnsi" w:hAnsiTheme="majorHAnsi" w:cstheme="majorHAnsi"/>
          <w:sz w:val="24"/>
        </w:rPr>
        <w:t xml:space="preserve"> de actividad que tiene una gran relevancia social y económica.</w:t>
      </w:r>
      <w:r>
        <w:rPr>
          <w:rFonts w:asciiTheme="majorHAnsi" w:hAnsiTheme="majorHAnsi" w:cstheme="majorHAnsi"/>
          <w:sz w:val="24"/>
        </w:rPr>
        <w:t xml:space="preserve"> </w:t>
      </w:r>
      <w:r w:rsidRPr="00376FEB">
        <w:rPr>
          <w:rFonts w:asciiTheme="majorHAnsi" w:hAnsiTheme="majorHAnsi" w:cstheme="majorHAnsi"/>
          <w:sz w:val="24"/>
        </w:rPr>
        <w:t xml:space="preserve">El canal </w:t>
      </w:r>
      <w:proofErr w:type="spellStart"/>
      <w:r w:rsidRPr="00376FEB">
        <w:rPr>
          <w:rFonts w:asciiTheme="majorHAnsi" w:hAnsiTheme="majorHAnsi" w:cstheme="majorHAnsi"/>
          <w:sz w:val="24"/>
        </w:rPr>
        <w:t>Horeca</w:t>
      </w:r>
      <w:proofErr w:type="spellEnd"/>
      <w:r w:rsidRPr="00376FEB">
        <w:rPr>
          <w:rFonts w:asciiTheme="majorHAnsi" w:hAnsiTheme="majorHAnsi" w:cstheme="majorHAnsi"/>
          <w:sz w:val="24"/>
        </w:rPr>
        <w:t xml:space="preserve"> funciona gracias a una cadena de valor conformada por los proveedores y todas las empresas que los suministran, así como por aquellas empresas que distribuyen el producto hasta los puntos de venta, llamados operadores, donde el cliente va a consumir.</w:t>
      </w:r>
    </w:p>
    <w:p w14:paraId="2025A3D9" w14:textId="77777777" w:rsidR="0016386A" w:rsidRDefault="0016386A" w:rsidP="0016386A">
      <w:pPr>
        <w:jc w:val="both"/>
        <w:rPr>
          <w:rFonts w:asciiTheme="majorHAnsi" w:hAnsiTheme="majorHAnsi" w:cstheme="majorHAnsi"/>
          <w:sz w:val="24"/>
        </w:rPr>
      </w:pPr>
      <w:r w:rsidRPr="00376FEB">
        <w:rPr>
          <w:rFonts w:asciiTheme="majorHAnsi" w:hAnsiTheme="majorHAnsi" w:cstheme="majorHAnsi"/>
          <w:sz w:val="24"/>
        </w:rPr>
        <w:t>El canal está formado por pequeñas empresas y a la vez grandes productores que dan suministro a una zona determinada del territorio local y regional. Este tipo de proveedor convive con distribuidores de todo tipo, que llevan el producto a los puntos de venta finales u operadores como pueden ser bares, cafeterías, restaurantes, colegios, hospitales, etc.</w:t>
      </w:r>
    </w:p>
    <w:p w14:paraId="5F0B82A3" w14:textId="77777777" w:rsidR="0016386A" w:rsidRPr="00697DD9" w:rsidRDefault="0016386A" w:rsidP="0016386A">
      <w:pPr>
        <w:jc w:val="both"/>
        <w:rPr>
          <w:rFonts w:asciiTheme="majorHAnsi" w:hAnsiTheme="majorHAnsi" w:cstheme="majorHAnsi"/>
          <w:b/>
          <w:bCs/>
          <w:sz w:val="24"/>
        </w:rPr>
      </w:pPr>
      <w:r w:rsidRPr="00697DD9">
        <w:rPr>
          <w:rFonts w:asciiTheme="majorHAnsi" w:hAnsiTheme="majorHAnsi" w:cstheme="majorHAnsi"/>
          <w:b/>
          <w:bCs/>
          <w:sz w:val="24"/>
        </w:rPr>
        <w:t>Reciclabilidad de los envases</w:t>
      </w:r>
    </w:p>
    <w:p w14:paraId="579F9A01" w14:textId="77777777" w:rsidR="0016386A" w:rsidRPr="00697DD9" w:rsidRDefault="0016386A" w:rsidP="0016386A">
      <w:pPr>
        <w:jc w:val="both"/>
        <w:rPr>
          <w:rFonts w:asciiTheme="majorHAnsi" w:hAnsiTheme="majorHAnsi" w:cstheme="majorHAnsi"/>
          <w:sz w:val="24"/>
        </w:rPr>
      </w:pPr>
      <w:r>
        <w:rPr>
          <w:rFonts w:asciiTheme="majorHAnsi" w:hAnsiTheme="majorHAnsi" w:cstheme="majorHAnsi"/>
          <w:sz w:val="24"/>
        </w:rPr>
        <w:t>C</w:t>
      </w:r>
      <w:r w:rsidRPr="00697DD9">
        <w:rPr>
          <w:rFonts w:asciiTheme="majorHAnsi" w:hAnsiTheme="majorHAnsi" w:cstheme="majorHAnsi"/>
          <w:sz w:val="24"/>
        </w:rPr>
        <w:t>apacidad de reciclado efectiva de los residuos de envases, que se determina considerando los siguientes criterios:</w:t>
      </w:r>
    </w:p>
    <w:p w14:paraId="20E3FCB2" w14:textId="77777777" w:rsidR="0016386A" w:rsidRPr="00697DD9" w:rsidRDefault="0016386A" w:rsidP="0016386A">
      <w:pPr>
        <w:pStyle w:val="Prrafodelista"/>
        <w:numPr>
          <w:ilvl w:val="0"/>
          <w:numId w:val="5"/>
        </w:numPr>
        <w:jc w:val="both"/>
        <w:rPr>
          <w:rFonts w:asciiTheme="majorHAnsi" w:hAnsiTheme="majorHAnsi" w:cstheme="majorHAnsi"/>
          <w:sz w:val="24"/>
        </w:rPr>
      </w:pPr>
      <w:r w:rsidRPr="00697DD9">
        <w:rPr>
          <w:rFonts w:asciiTheme="majorHAnsi" w:hAnsiTheme="majorHAnsi" w:cstheme="majorHAnsi"/>
          <w:sz w:val="24"/>
        </w:rPr>
        <w:t>Que sean recogidos separadamente de manera eficaz, a través del acceso de los usuarios a puntos de recogida cercanos;</w:t>
      </w:r>
    </w:p>
    <w:p w14:paraId="6561F474" w14:textId="77777777" w:rsidR="0016386A" w:rsidRPr="00697DD9" w:rsidRDefault="0016386A" w:rsidP="0016386A">
      <w:pPr>
        <w:pStyle w:val="Prrafodelista"/>
        <w:numPr>
          <w:ilvl w:val="0"/>
          <w:numId w:val="5"/>
        </w:numPr>
        <w:jc w:val="both"/>
        <w:rPr>
          <w:rFonts w:asciiTheme="majorHAnsi" w:hAnsiTheme="majorHAnsi" w:cstheme="majorHAnsi"/>
          <w:sz w:val="24"/>
        </w:rPr>
      </w:pPr>
      <w:r w:rsidRPr="00697DD9">
        <w:rPr>
          <w:rFonts w:asciiTheme="majorHAnsi" w:hAnsiTheme="majorHAnsi" w:cstheme="majorHAnsi"/>
          <w:sz w:val="24"/>
        </w:rPr>
        <w:lastRenderedPageBreak/>
        <w:t>Que no presenten características, elementos o sustancias que impidan su clasificación y separación, su reciclado o limiten el uso posterior del material reciclado;</w:t>
      </w:r>
    </w:p>
    <w:p w14:paraId="79EC0464" w14:textId="77777777" w:rsidR="0016386A" w:rsidRPr="00697DD9" w:rsidRDefault="0016386A" w:rsidP="0016386A">
      <w:pPr>
        <w:pStyle w:val="Prrafodelista"/>
        <w:numPr>
          <w:ilvl w:val="0"/>
          <w:numId w:val="5"/>
        </w:numPr>
        <w:jc w:val="both"/>
        <w:rPr>
          <w:rFonts w:asciiTheme="majorHAnsi" w:hAnsiTheme="majorHAnsi" w:cstheme="majorHAnsi"/>
          <w:sz w:val="24"/>
        </w:rPr>
      </w:pPr>
      <w:r w:rsidRPr="00697DD9">
        <w:rPr>
          <w:rFonts w:asciiTheme="majorHAnsi" w:hAnsiTheme="majorHAnsi" w:cstheme="majorHAnsi"/>
          <w:sz w:val="24"/>
        </w:rPr>
        <w:t>Que sean reciclados a escala industrial con procesos comerciales que garanticen una calidad suficiente del material reciclado para sus usos posteriores, y en una cantidad superior al 50 % de la masa de los residuos recogidos de ese tipo de envase</w:t>
      </w:r>
    </w:p>
    <w:p w14:paraId="6E717300" w14:textId="77777777" w:rsidR="0016386A" w:rsidRPr="00FC6260" w:rsidRDefault="0016386A" w:rsidP="0016386A">
      <w:pPr>
        <w:jc w:val="both"/>
        <w:rPr>
          <w:rFonts w:asciiTheme="majorHAnsi" w:hAnsiTheme="majorHAnsi" w:cstheme="majorHAnsi"/>
          <w:b/>
          <w:sz w:val="24"/>
        </w:rPr>
      </w:pPr>
      <w:r w:rsidRPr="00FC6260">
        <w:rPr>
          <w:rFonts w:asciiTheme="majorHAnsi" w:hAnsiTheme="majorHAnsi" w:cstheme="majorHAnsi"/>
          <w:b/>
          <w:sz w:val="24"/>
        </w:rPr>
        <w:t>Agentes económicos</w:t>
      </w:r>
    </w:p>
    <w:p w14:paraId="1155BED0" w14:textId="77777777" w:rsidR="0016386A" w:rsidRPr="00FC6260" w:rsidRDefault="0016386A" w:rsidP="0016386A">
      <w:pPr>
        <w:jc w:val="both"/>
        <w:rPr>
          <w:rFonts w:asciiTheme="majorHAnsi" w:hAnsiTheme="majorHAnsi" w:cstheme="majorHAnsi"/>
          <w:sz w:val="24"/>
        </w:rPr>
      </w:pPr>
      <w:r w:rsidRPr="00FC6260">
        <w:rPr>
          <w:rFonts w:asciiTheme="majorHAnsi" w:hAnsiTheme="majorHAnsi" w:cstheme="majorHAnsi"/>
          <w:sz w:val="24"/>
        </w:rPr>
        <w:t>Los fabricantes e importadores, o adquirentes en otros Estados miembros de la Unión Europea, de materias primas para la fabricación de envases.</w:t>
      </w:r>
    </w:p>
    <w:p w14:paraId="2185F620" w14:textId="77777777" w:rsidR="0016386A" w:rsidRPr="00FC6260" w:rsidRDefault="0016386A" w:rsidP="0016386A">
      <w:pPr>
        <w:jc w:val="both"/>
        <w:rPr>
          <w:rFonts w:asciiTheme="majorHAnsi" w:hAnsiTheme="majorHAnsi" w:cstheme="majorHAnsi"/>
          <w:sz w:val="24"/>
        </w:rPr>
      </w:pPr>
      <w:r w:rsidRPr="00FC6260">
        <w:rPr>
          <w:rFonts w:asciiTheme="majorHAnsi" w:hAnsiTheme="majorHAnsi" w:cstheme="majorHAnsi"/>
          <w:sz w:val="24"/>
        </w:rPr>
        <w:t>Los fabricantes de envases, las empresas transformadoras, y los comerciantes o distribuidores de envases.</w:t>
      </w:r>
    </w:p>
    <w:p w14:paraId="2B3FE4D2" w14:textId="77777777" w:rsidR="0016386A" w:rsidRPr="00FC6260" w:rsidRDefault="0016386A" w:rsidP="0016386A">
      <w:pPr>
        <w:jc w:val="both"/>
        <w:rPr>
          <w:rFonts w:asciiTheme="majorHAnsi" w:hAnsiTheme="majorHAnsi" w:cstheme="majorHAnsi"/>
          <w:sz w:val="24"/>
        </w:rPr>
      </w:pPr>
      <w:r w:rsidRPr="00FC6260">
        <w:rPr>
          <w:rFonts w:asciiTheme="majorHAnsi" w:hAnsiTheme="majorHAnsi" w:cstheme="majorHAnsi"/>
          <w:sz w:val="24"/>
        </w:rPr>
        <w:t>Los envasadores, los importadores o adquirentes en otros Estados miembros de la UE de productos envasados, y los comerciantes o distribuidores de productos envasados.</w:t>
      </w:r>
    </w:p>
    <w:p w14:paraId="4D3A12CC" w14:textId="77777777" w:rsidR="0016386A" w:rsidRPr="00FC6260" w:rsidRDefault="0016386A" w:rsidP="0016386A">
      <w:pPr>
        <w:jc w:val="both"/>
        <w:rPr>
          <w:rFonts w:asciiTheme="majorHAnsi" w:hAnsiTheme="majorHAnsi" w:cstheme="majorHAnsi"/>
          <w:sz w:val="24"/>
        </w:rPr>
      </w:pPr>
      <w:r w:rsidRPr="00FC6260">
        <w:rPr>
          <w:rFonts w:asciiTheme="majorHAnsi" w:hAnsiTheme="majorHAnsi" w:cstheme="majorHAnsi"/>
          <w:sz w:val="24"/>
        </w:rPr>
        <w:t>Los gestores de residuos de envases</w:t>
      </w:r>
    </w:p>
    <w:p w14:paraId="47EFF307" w14:textId="77777777" w:rsidR="0016386A" w:rsidRPr="00FC6260" w:rsidRDefault="0016386A" w:rsidP="0016386A">
      <w:pPr>
        <w:jc w:val="both"/>
        <w:rPr>
          <w:rFonts w:asciiTheme="majorHAnsi" w:hAnsiTheme="majorHAnsi" w:cstheme="majorHAnsi"/>
          <w:sz w:val="24"/>
        </w:rPr>
      </w:pPr>
      <w:r w:rsidRPr="00FC6260">
        <w:rPr>
          <w:rFonts w:asciiTheme="majorHAnsi" w:hAnsiTheme="majorHAnsi" w:cstheme="majorHAnsi"/>
          <w:sz w:val="24"/>
        </w:rPr>
        <w:t>Los consumidores y usuarios</w:t>
      </w:r>
    </w:p>
    <w:p w14:paraId="5B4B21FE" w14:textId="77777777" w:rsidR="0016386A" w:rsidRPr="00FC6260" w:rsidRDefault="0016386A" w:rsidP="0016386A">
      <w:pPr>
        <w:jc w:val="both"/>
        <w:rPr>
          <w:rFonts w:asciiTheme="majorHAnsi" w:hAnsiTheme="majorHAnsi" w:cstheme="majorHAnsi"/>
          <w:sz w:val="24"/>
        </w:rPr>
      </w:pPr>
      <w:r w:rsidRPr="00FC6260">
        <w:rPr>
          <w:rFonts w:asciiTheme="majorHAnsi" w:hAnsiTheme="majorHAnsi" w:cstheme="majorHAnsi"/>
          <w:sz w:val="24"/>
        </w:rPr>
        <w:t>Las administraciones públicas.</w:t>
      </w:r>
    </w:p>
    <w:p w14:paraId="6C63EDEE" w14:textId="77777777" w:rsidR="0016386A" w:rsidRPr="00FC6260" w:rsidRDefault="0016386A" w:rsidP="0016386A">
      <w:pPr>
        <w:jc w:val="both"/>
        <w:rPr>
          <w:rFonts w:asciiTheme="majorHAnsi" w:hAnsiTheme="majorHAnsi" w:cstheme="majorHAnsi"/>
          <w:b/>
          <w:sz w:val="24"/>
        </w:rPr>
      </w:pPr>
      <w:r w:rsidRPr="00FC6260">
        <w:rPr>
          <w:rFonts w:asciiTheme="majorHAnsi" w:hAnsiTheme="majorHAnsi" w:cstheme="majorHAnsi"/>
          <w:b/>
          <w:sz w:val="24"/>
        </w:rPr>
        <w:t>Comercialización</w:t>
      </w:r>
    </w:p>
    <w:p w14:paraId="50ABA970" w14:textId="77777777" w:rsidR="0016386A" w:rsidRPr="00FC6260" w:rsidRDefault="0016386A" w:rsidP="0016386A">
      <w:pPr>
        <w:jc w:val="both"/>
        <w:rPr>
          <w:rFonts w:asciiTheme="majorHAnsi" w:hAnsiTheme="majorHAnsi" w:cstheme="majorHAnsi"/>
          <w:sz w:val="24"/>
        </w:rPr>
      </w:pPr>
      <w:r w:rsidRPr="00FC6260">
        <w:rPr>
          <w:rFonts w:asciiTheme="majorHAnsi" w:hAnsiTheme="majorHAnsi" w:cstheme="majorHAnsi"/>
          <w:sz w:val="24"/>
        </w:rPr>
        <w:t>Suministro, remunerado o gratuito, de un producto para su distribución, consumo o utilización en el mercado español en el transcurso de una actividad comercial</w:t>
      </w:r>
    </w:p>
    <w:p w14:paraId="64900FC4" w14:textId="77777777" w:rsidR="0016386A" w:rsidRPr="00FC6260" w:rsidRDefault="0016386A" w:rsidP="0016386A">
      <w:pPr>
        <w:jc w:val="both"/>
        <w:rPr>
          <w:rFonts w:asciiTheme="majorHAnsi" w:hAnsiTheme="majorHAnsi" w:cstheme="majorHAnsi"/>
          <w:b/>
          <w:sz w:val="24"/>
        </w:rPr>
      </w:pPr>
      <w:r w:rsidRPr="00FC6260">
        <w:rPr>
          <w:rFonts w:asciiTheme="majorHAnsi" w:hAnsiTheme="majorHAnsi" w:cstheme="majorHAnsi"/>
          <w:b/>
          <w:sz w:val="24"/>
        </w:rPr>
        <w:t>Comerciantes y distribuidores</w:t>
      </w:r>
    </w:p>
    <w:p w14:paraId="05B9C97E" w14:textId="77777777" w:rsidR="0016386A" w:rsidRPr="00FC6260" w:rsidRDefault="0016386A" w:rsidP="0016386A">
      <w:pPr>
        <w:jc w:val="both"/>
        <w:rPr>
          <w:rFonts w:asciiTheme="majorHAnsi" w:hAnsiTheme="majorHAnsi" w:cstheme="majorHAnsi"/>
          <w:sz w:val="24"/>
        </w:rPr>
      </w:pPr>
      <w:r w:rsidRPr="00FC6260">
        <w:rPr>
          <w:rFonts w:asciiTheme="majorHAnsi" w:hAnsiTheme="majorHAnsi" w:cstheme="majorHAnsi"/>
          <w:sz w:val="24"/>
        </w:rPr>
        <w:t xml:space="preserve">Los agentes económicos dedicados a la distribución, mayorista o minorista, de envases o de productos envasados. Se distingue entre: comerciantes o distribuidores de envases y comerciantes o distribuidores de productos envasados. </w:t>
      </w:r>
    </w:p>
    <w:p w14:paraId="4373A0D8" w14:textId="77777777" w:rsidR="0016386A" w:rsidRDefault="0016386A" w:rsidP="0016386A">
      <w:pPr>
        <w:pStyle w:val="Default"/>
      </w:pPr>
    </w:p>
    <w:p w14:paraId="45EE4F8B" w14:textId="77777777" w:rsidR="0016386A" w:rsidRDefault="0016386A" w:rsidP="0016386A">
      <w:pPr>
        <w:pStyle w:val="Default"/>
      </w:pPr>
    </w:p>
    <w:p w14:paraId="630CB358" w14:textId="77777777" w:rsidR="0016386A" w:rsidRPr="00FC6260" w:rsidRDefault="0016386A" w:rsidP="0016386A">
      <w:pPr>
        <w:pStyle w:val="Prrafodelista"/>
        <w:rPr>
          <w:rFonts w:asciiTheme="majorHAnsi" w:hAnsiTheme="majorHAnsi" w:cstheme="majorHAnsi"/>
          <w:sz w:val="24"/>
        </w:rPr>
      </w:pPr>
    </w:p>
    <w:p w14:paraId="79492AA8" w14:textId="58A1433C" w:rsidR="0016386A" w:rsidRDefault="0016386A" w:rsidP="0016386A">
      <w:pPr>
        <w:jc w:val="both"/>
        <w:rPr>
          <w:rFonts w:asciiTheme="majorHAnsi" w:hAnsiTheme="majorHAnsi" w:cstheme="majorHAnsi"/>
          <w:sz w:val="24"/>
        </w:rPr>
      </w:pPr>
    </w:p>
    <w:p w14:paraId="3D9D3455" w14:textId="52ED6B0F" w:rsidR="000D26AB" w:rsidRDefault="000D26AB" w:rsidP="0016386A">
      <w:pPr>
        <w:jc w:val="both"/>
        <w:rPr>
          <w:rFonts w:asciiTheme="majorHAnsi" w:hAnsiTheme="majorHAnsi" w:cstheme="majorHAnsi"/>
          <w:sz w:val="24"/>
        </w:rPr>
      </w:pPr>
    </w:p>
    <w:p w14:paraId="7930F18B" w14:textId="65AF4C31" w:rsidR="000D26AB" w:rsidRDefault="000D26AB" w:rsidP="0016386A">
      <w:pPr>
        <w:jc w:val="both"/>
        <w:rPr>
          <w:rFonts w:asciiTheme="majorHAnsi" w:hAnsiTheme="majorHAnsi" w:cstheme="majorHAnsi"/>
          <w:sz w:val="24"/>
        </w:rPr>
      </w:pPr>
    </w:p>
    <w:p w14:paraId="110AE6D2" w14:textId="6A45B2CB" w:rsidR="000D26AB" w:rsidRDefault="000D26AB" w:rsidP="0016386A">
      <w:pPr>
        <w:jc w:val="both"/>
        <w:rPr>
          <w:rFonts w:asciiTheme="majorHAnsi" w:hAnsiTheme="majorHAnsi" w:cstheme="majorHAnsi"/>
          <w:sz w:val="24"/>
        </w:rPr>
      </w:pPr>
    </w:p>
    <w:p w14:paraId="0EE911E8" w14:textId="1E60A3EF" w:rsidR="000D26AB" w:rsidRDefault="000D26AB" w:rsidP="0016386A">
      <w:pPr>
        <w:jc w:val="both"/>
        <w:rPr>
          <w:rFonts w:asciiTheme="majorHAnsi" w:hAnsiTheme="majorHAnsi" w:cstheme="majorHAnsi"/>
          <w:sz w:val="24"/>
        </w:rPr>
      </w:pPr>
    </w:p>
    <w:p w14:paraId="2FBBCC6A" w14:textId="7ACB71A0" w:rsidR="000D26AB" w:rsidRDefault="000D26AB" w:rsidP="0016386A">
      <w:pPr>
        <w:jc w:val="both"/>
        <w:rPr>
          <w:rFonts w:asciiTheme="majorHAnsi" w:hAnsiTheme="majorHAnsi" w:cstheme="majorHAnsi"/>
          <w:sz w:val="24"/>
        </w:rPr>
      </w:pPr>
    </w:p>
    <w:p w14:paraId="69D31350" w14:textId="77777777" w:rsidR="00EE0FEB" w:rsidRPr="00FC6260" w:rsidRDefault="00EE0FEB" w:rsidP="0016386A">
      <w:pPr>
        <w:jc w:val="both"/>
        <w:rPr>
          <w:rFonts w:asciiTheme="majorHAnsi" w:hAnsiTheme="majorHAnsi" w:cstheme="majorHAnsi"/>
          <w:sz w:val="24"/>
        </w:rPr>
      </w:pPr>
    </w:p>
    <w:tbl>
      <w:tblPr>
        <w:tblStyle w:val="Tablaconcuadrcula"/>
        <w:tblW w:w="0" w:type="auto"/>
        <w:tblLook w:val="04A0" w:firstRow="1" w:lastRow="0" w:firstColumn="1" w:lastColumn="0" w:noHBand="0" w:noVBand="1"/>
      </w:tblPr>
      <w:tblGrid>
        <w:gridCol w:w="8494"/>
      </w:tblGrid>
      <w:tr w:rsidR="000D26AB" w14:paraId="40EEEDB6" w14:textId="77777777" w:rsidTr="000D26AB">
        <w:tc>
          <w:tcPr>
            <w:tcW w:w="8494" w:type="dxa"/>
            <w:tcBorders>
              <w:top w:val="nil"/>
              <w:left w:val="nil"/>
              <w:bottom w:val="single" w:sz="4" w:space="0" w:color="auto"/>
              <w:right w:val="nil"/>
            </w:tcBorders>
            <w:shd w:val="clear" w:color="auto" w:fill="ECF2DA" w:themeFill="accent6" w:themeFillTint="33"/>
          </w:tcPr>
          <w:p w14:paraId="7C2C0CAB" w14:textId="14B0E503" w:rsidR="000D26AB" w:rsidRDefault="000D26AB" w:rsidP="000D26AB">
            <w:pPr>
              <w:jc w:val="center"/>
              <w:rPr>
                <w:rFonts w:asciiTheme="majorHAnsi" w:eastAsiaTheme="majorEastAsia" w:hAnsiTheme="majorHAnsi" w:cstheme="majorHAnsi"/>
                <w:color w:val="546421" w:themeColor="accent6" w:themeShade="80"/>
                <w:sz w:val="36"/>
                <w:szCs w:val="32"/>
              </w:rPr>
            </w:pPr>
            <w:r w:rsidRPr="00FC6260">
              <w:rPr>
                <w:rFonts w:asciiTheme="majorHAnsi" w:eastAsiaTheme="majorEastAsia" w:hAnsiTheme="majorHAnsi" w:cstheme="majorHAnsi"/>
                <w:color w:val="546421" w:themeColor="accent6" w:themeShade="80"/>
                <w:sz w:val="36"/>
                <w:szCs w:val="32"/>
              </w:rPr>
              <w:lastRenderedPageBreak/>
              <w:t>OBLIGACIONES</w:t>
            </w:r>
            <w:r>
              <w:rPr>
                <w:rFonts w:asciiTheme="majorHAnsi" w:eastAsiaTheme="majorEastAsia" w:hAnsiTheme="majorHAnsi" w:cstheme="majorHAnsi"/>
                <w:color w:val="546421" w:themeColor="accent6" w:themeShade="80"/>
                <w:sz w:val="36"/>
                <w:szCs w:val="32"/>
              </w:rPr>
              <w:t xml:space="preserve"> DE COMERCIANTES Y DISTRIBUIDORES</w:t>
            </w:r>
          </w:p>
        </w:tc>
      </w:tr>
    </w:tbl>
    <w:p w14:paraId="7BC32752" w14:textId="77777777" w:rsidR="000D26AB" w:rsidRDefault="000D26AB" w:rsidP="0016386A">
      <w:pPr>
        <w:jc w:val="both"/>
        <w:rPr>
          <w:rFonts w:asciiTheme="majorHAnsi" w:eastAsiaTheme="majorEastAsia" w:hAnsiTheme="majorHAnsi" w:cstheme="majorHAnsi"/>
          <w:color w:val="546421" w:themeColor="accent6" w:themeShade="80"/>
          <w:sz w:val="36"/>
          <w:szCs w:val="32"/>
        </w:rPr>
      </w:pPr>
    </w:p>
    <w:p w14:paraId="44F2B787" w14:textId="767E54EF" w:rsidR="00B7422A" w:rsidRPr="00B7422A" w:rsidRDefault="00B7422A" w:rsidP="0016386A">
      <w:pPr>
        <w:jc w:val="both"/>
        <w:rPr>
          <w:rFonts w:asciiTheme="majorHAnsi" w:eastAsiaTheme="majorEastAsia" w:hAnsiTheme="majorHAnsi" w:cstheme="majorHAnsi"/>
          <w:color w:val="546421" w:themeColor="accent6" w:themeShade="80"/>
          <w:sz w:val="32"/>
          <w:szCs w:val="28"/>
        </w:rPr>
      </w:pPr>
      <w:r w:rsidRPr="00B7422A">
        <w:rPr>
          <w:rFonts w:asciiTheme="majorHAnsi" w:eastAsiaTheme="majorEastAsia" w:hAnsiTheme="majorHAnsi" w:cstheme="majorHAnsi"/>
          <w:color w:val="546421" w:themeColor="accent6" w:themeShade="80"/>
          <w:sz w:val="32"/>
          <w:szCs w:val="28"/>
        </w:rPr>
        <w:t>Comerciantes o distribuidores de productos envasados</w:t>
      </w:r>
    </w:p>
    <w:p w14:paraId="4A343D78" w14:textId="1DCC62B0" w:rsidR="0016386A" w:rsidRPr="00FC6260" w:rsidRDefault="0016386A" w:rsidP="0016386A">
      <w:pPr>
        <w:jc w:val="both"/>
        <w:rPr>
          <w:rFonts w:asciiTheme="majorHAnsi" w:hAnsiTheme="majorHAnsi" w:cstheme="majorHAnsi"/>
          <w:sz w:val="24"/>
        </w:rPr>
      </w:pPr>
      <w:r w:rsidRPr="00B7422A">
        <w:rPr>
          <w:rFonts w:asciiTheme="majorHAnsi" w:hAnsiTheme="majorHAnsi" w:cstheme="majorHAnsi"/>
          <w:sz w:val="24"/>
        </w:rPr>
        <w:t>Los comerciantes o distribuidores de productos envasados que</w:t>
      </w:r>
      <w:r w:rsidRPr="00EE0FEB">
        <w:rPr>
          <w:rFonts w:asciiTheme="majorHAnsi" w:hAnsiTheme="majorHAnsi" w:cstheme="majorHAnsi"/>
          <w:sz w:val="24"/>
        </w:rPr>
        <w:t xml:space="preserve"> realicen</w:t>
      </w:r>
      <w:r w:rsidRPr="00FC6260">
        <w:rPr>
          <w:rFonts w:asciiTheme="majorHAnsi" w:hAnsiTheme="majorHAnsi" w:cstheme="majorHAnsi"/>
          <w:sz w:val="24"/>
        </w:rPr>
        <w:t xml:space="preserve"> tanto venta presencial como a distancia deberán: </w:t>
      </w:r>
    </w:p>
    <w:p w14:paraId="1FDD1686" w14:textId="53382D43" w:rsidR="00BA7CEB" w:rsidRDefault="0016386A" w:rsidP="00BA7CEB">
      <w:pPr>
        <w:pStyle w:val="Prrafodelista"/>
        <w:numPr>
          <w:ilvl w:val="0"/>
          <w:numId w:val="7"/>
        </w:numPr>
        <w:ind w:left="709"/>
        <w:jc w:val="both"/>
        <w:rPr>
          <w:rFonts w:asciiTheme="majorHAnsi" w:hAnsiTheme="majorHAnsi" w:cstheme="majorHAnsi"/>
          <w:sz w:val="24"/>
          <w:u w:val="single"/>
        </w:rPr>
      </w:pPr>
      <w:r w:rsidRPr="00BA7CEB">
        <w:rPr>
          <w:rFonts w:asciiTheme="majorHAnsi" w:hAnsiTheme="majorHAnsi" w:cstheme="majorHAnsi"/>
          <w:sz w:val="24"/>
          <w:u w:val="single"/>
        </w:rPr>
        <w:t>Comercializar productos envasados procedentes de productores que dispongan del número de identificación del productor del Registro de Productores de Productos.</w:t>
      </w:r>
    </w:p>
    <w:p w14:paraId="2D2D5455" w14:textId="77777777" w:rsidR="00BA7CEB" w:rsidRPr="00BA7CEB" w:rsidRDefault="00BA7CEB" w:rsidP="00BA7CEB">
      <w:pPr>
        <w:pStyle w:val="Prrafodelista"/>
        <w:ind w:left="709"/>
        <w:jc w:val="both"/>
        <w:rPr>
          <w:rFonts w:asciiTheme="majorHAnsi" w:hAnsiTheme="majorHAnsi" w:cstheme="majorHAnsi"/>
          <w:sz w:val="24"/>
          <w:u w:val="single"/>
        </w:rPr>
      </w:pPr>
    </w:p>
    <w:p w14:paraId="0DBE1400" w14:textId="44DE1DDC" w:rsidR="00BA7CEB" w:rsidRDefault="00BA7CEB" w:rsidP="00BA7CEB">
      <w:pPr>
        <w:pStyle w:val="Prrafodelista"/>
        <w:ind w:left="709"/>
        <w:jc w:val="both"/>
        <w:rPr>
          <w:rFonts w:asciiTheme="majorHAnsi" w:hAnsiTheme="majorHAnsi" w:cstheme="majorHAnsi"/>
          <w:sz w:val="24"/>
        </w:rPr>
      </w:pPr>
      <w:r w:rsidRPr="00BA7CEB">
        <w:rPr>
          <w:rFonts w:asciiTheme="majorHAnsi" w:hAnsiTheme="majorHAnsi" w:cstheme="majorHAnsi"/>
          <w:sz w:val="24"/>
        </w:rPr>
        <w:t>De conformidad con el artículo 15 del Real Decreto 1055/2022, de 27 de diciembre, los productores de producto o los representantes autorizados</w:t>
      </w:r>
      <w:r>
        <w:rPr>
          <w:rFonts w:asciiTheme="majorHAnsi" w:hAnsiTheme="majorHAnsi" w:cstheme="majorHAnsi"/>
          <w:sz w:val="24"/>
        </w:rPr>
        <w:t xml:space="preserve"> </w:t>
      </w:r>
      <w:r w:rsidRPr="00BA7CEB">
        <w:rPr>
          <w:rFonts w:asciiTheme="majorHAnsi" w:hAnsiTheme="majorHAnsi" w:cstheme="majorHAnsi"/>
          <w:sz w:val="24"/>
        </w:rPr>
        <w:t>se inscribirán en la sección de envases del Registro de Productores de Productos.</w:t>
      </w:r>
      <w:r>
        <w:rPr>
          <w:rFonts w:asciiTheme="majorHAnsi" w:hAnsiTheme="majorHAnsi" w:cstheme="majorHAnsi"/>
          <w:sz w:val="24"/>
        </w:rPr>
        <w:t xml:space="preserve"> En concreto, </w:t>
      </w:r>
      <w:r w:rsidRPr="00BA7CEB">
        <w:rPr>
          <w:rFonts w:asciiTheme="majorHAnsi" w:hAnsiTheme="majorHAnsi" w:cstheme="majorHAnsi"/>
          <w:sz w:val="24"/>
        </w:rPr>
        <w:t>la obligación de inscripción corresponderá a los fabricantes, importadores, adquirientes o empresas de distribución de los envases de servicio, envases comerciales o envases industriales según el caso.</w:t>
      </w:r>
      <w:r>
        <w:rPr>
          <w:rFonts w:asciiTheme="majorHAnsi" w:hAnsiTheme="majorHAnsi" w:cstheme="majorHAnsi"/>
          <w:sz w:val="24"/>
        </w:rPr>
        <w:t xml:space="preserve"> </w:t>
      </w:r>
    </w:p>
    <w:p w14:paraId="182C579E" w14:textId="50910949" w:rsidR="00BA7CEB" w:rsidRPr="00BA7CEB" w:rsidRDefault="00BA7CEB" w:rsidP="00BA7CEB">
      <w:pPr>
        <w:pStyle w:val="Prrafodelista"/>
        <w:ind w:left="709"/>
        <w:jc w:val="both"/>
        <w:rPr>
          <w:rFonts w:asciiTheme="majorHAnsi" w:hAnsiTheme="majorHAnsi" w:cstheme="majorHAnsi"/>
          <w:sz w:val="24"/>
        </w:rPr>
      </w:pPr>
      <w:r w:rsidRPr="00BA7CEB">
        <w:rPr>
          <w:rFonts w:asciiTheme="majorHAnsi" w:hAnsiTheme="majorHAnsi" w:cstheme="majorHAnsi"/>
          <w:sz w:val="24"/>
        </w:rPr>
        <w:t>En dicho procedimiento se deberá informar de la categoría de envases puestos en el mercado (domésticos, comerciales o industriales), si son de un solo uso y/o reutilizables, así como el sistema o sistemas de responsabilidad ampliada del productor para los cuales el productor de producto participa o se encuentra adherido.</w:t>
      </w:r>
      <w:r>
        <w:rPr>
          <w:rFonts w:asciiTheme="majorHAnsi" w:hAnsiTheme="majorHAnsi" w:cstheme="majorHAnsi"/>
          <w:sz w:val="24"/>
        </w:rPr>
        <w:t xml:space="preserve"> </w:t>
      </w:r>
      <w:r w:rsidRPr="00BA7CEB">
        <w:rPr>
          <w:rFonts w:asciiTheme="majorHAnsi" w:hAnsiTheme="majorHAnsi" w:cstheme="majorHAnsi"/>
          <w:sz w:val="24"/>
        </w:rPr>
        <w:t>En el momento de la inscripción, el procedimiento asignará un número de registro que deberá figurar en las facturas y cualquier otra documentación que acompañe a las transacciones comerciales de productos envasados desde su puesta en el mercado hasta los puntos de venta de bienes o productos a los consumidores para los envases domésticos, o hasta el usuario final para los envases comerciales e industriales.</w:t>
      </w:r>
    </w:p>
    <w:p w14:paraId="4CF0FEA4" w14:textId="77777777" w:rsidR="00EE0FEB" w:rsidRPr="00EE0FEB" w:rsidRDefault="00EE0FEB" w:rsidP="00EE0FEB">
      <w:pPr>
        <w:pStyle w:val="Prrafodelista"/>
        <w:ind w:left="709"/>
        <w:jc w:val="both"/>
        <w:rPr>
          <w:rFonts w:asciiTheme="majorHAnsi" w:hAnsiTheme="majorHAnsi" w:cstheme="majorHAnsi"/>
          <w:sz w:val="24"/>
        </w:rPr>
      </w:pPr>
    </w:p>
    <w:p w14:paraId="5F270391" w14:textId="4995B841" w:rsidR="0016386A" w:rsidRDefault="0016386A" w:rsidP="00EE0FEB">
      <w:pPr>
        <w:pStyle w:val="Prrafodelista"/>
        <w:numPr>
          <w:ilvl w:val="0"/>
          <w:numId w:val="7"/>
        </w:numPr>
        <w:ind w:left="709"/>
        <w:jc w:val="both"/>
        <w:rPr>
          <w:rFonts w:asciiTheme="majorHAnsi" w:hAnsiTheme="majorHAnsi" w:cstheme="majorHAnsi"/>
          <w:sz w:val="24"/>
        </w:rPr>
      </w:pPr>
      <w:r w:rsidRPr="00BA7CEB">
        <w:rPr>
          <w:rFonts w:asciiTheme="majorHAnsi" w:hAnsiTheme="majorHAnsi" w:cstheme="majorHAnsi"/>
          <w:sz w:val="24"/>
          <w:u w:val="single"/>
        </w:rPr>
        <w:t>Participar en los sistemas de depósito, devolución y retorno que se establezcan para los envases de un solo uso</w:t>
      </w:r>
      <w:r w:rsidRPr="00FC6260">
        <w:rPr>
          <w:rFonts w:asciiTheme="majorHAnsi" w:hAnsiTheme="majorHAnsi" w:cstheme="majorHAnsi"/>
          <w:sz w:val="24"/>
        </w:rPr>
        <w:t>.</w:t>
      </w:r>
    </w:p>
    <w:p w14:paraId="0FCA8017" w14:textId="6B44FEEA" w:rsidR="00BA7CEB" w:rsidRDefault="00BA7CEB" w:rsidP="00BA7CEB">
      <w:pPr>
        <w:pStyle w:val="Prrafodelista"/>
        <w:ind w:left="709"/>
        <w:jc w:val="both"/>
        <w:rPr>
          <w:rFonts w:asciiTheme="majorHAnsi" w:hAnsiTheme="majorHAnsi" w:cstheme="majorHAnsi"/>
          <w:sz w:val="24"/>
        </w:rPr>
      </w:pPr>
    </w:p>
    <w:p w14:paraId="71063667" w14:textId="1F11B64D" w:rsidR="00BA7CEB" w:rsidRPr="00B7422A" w:rsidRDefault="00BA7CEB" w:rsidP="00B7422A">
      <w:pPr>
        <w:pStyle w:val="Prrafodelista"/>
        <w:ind w:left="709"/>
        <w:jc w:val="both"/>
        <w:rPr>
          <w:rFonts w:asciiTheme="majorHAnsi" w:hAnsiTheme="majorHAnsi" w:cstheme="majorHAnsi"/>
          <w:sz w:val="24"/>
        </w:rPr>
      </w:pPr>
      <w:r w:rsidRPr="00BA7CEB">
        <w:rPr>
          <w:rFonts w:asciiTheme="majorHAnsi" w:hAnsiTheme="majorHAnsi" w:cstheme="majorHAnsi"/>
          <w:sz w:val="24"/>
        </w:rPr>
        <w:t>La normativa de envases establece que los envasadores han de establecer un sistema de depósito, devolución y retorno (SDDR) para recuperar y gestionar los envases que ponen en el mercado, o en su defecto participar en un sistema integrado de gestión (SIG) que tenga como finalidad la recogida periódica de los envases y residuos de envases en el domicilio del consumidor o en sus proximidades, para después entregarlos en condiciones adecuadas de separación por materiales para su reutilización, reciclado o valorización. Esa misma normativa exime del cumplimiento de establecer un SDDR o participar en un SIG a los envases comerciales o industriales, recayendo la responsabilidad de su gestión en el poseedor final.</w:t>
      </w:r>
    </w:p>
    <w:p w14:paraId="1625777F" w14:textId="77777777" w:rsidR="00BA7CEB" w:rsidRPr="00FC6260" w:rsidRDefault="00BA7CEB" w:rsidP="00BA7CEB">
      <w:pPr>
        <w:pStyle w:val="Prrafodelista"/>
        <w:ind w:left="709"/>
        <w:jc w:val="both"/>
        <w:rPr>
          <w:rFonts w:asciiTheme="majorHAnsi" w:hAnsiTheme="majorHAnsi" w:cstheme="majorHAnsi"/>
          <w:sz w:val="24"/>
        </w:rPr>
      </w:pPr>
    </w:p>
    <w:p w14:paraId="76C0A91D" w14:textId="7C2C5C97" w:rsidR="0016386A" w:rsidRPr="00B7422A" w:rsidRDefault="0016386A" w:rsidP="00EE0FEB">
      <w:pPr>
        <w:pStyle w:val="Prrafodelista"/>
        <w:numPr>
          <w:ilvl w:val="0"/>
          <w:numId w:val="7"/>
        </w:numPr>
        <w:ind w:left="709"/>
        <w:jc w:val="both"/>
        <w:rPr>
          <w:rFonts w:asciiTheme="majorHAnsi" w:hAnsiTheme="majorHAnsi" w:cstheme="majorHAnsi"/>
          <w:sz w:val="24"/>
          <w:u w:val="single"/>
        </w:rPr>
      </w:pPr>
      <w:r w:rsidRPr="00B7422A">
        <w:rPr>
          <w:rFonts w:asciiTheme="majorHAnsi" w:hAnsiTheme="majorHAnsi" w:cstheme="majorHAnsi"/>
          <w:sz w:val="24"/>
          <w:u w:val="single"/>
        </w:rPr>
        <w:lastRenderedPageBreak/>
        <w:t>Colaborar en la recogida separada de determinados residuos de envases, cuando así lo prevea el sistema de gestión organizado por el productor, o en el que participe.</w:t>
      </w:r>
    </w:p>
    <w:p w14:paraId="3EA23CD6" w14:textId="77777777" w:rsidR="00B7422A" w:rsidRPr="00BA7CEB" w:rsidRDefault="00B7422A" w:rsidP="00B7422A">
      <w:pPr>
        <w:pStyle w:val="Prrafodelista"/>
        <w:ind w:left="1080"/>
        <w:jc w:val="both"/>
        <w:rPr>
          <w:rFonts w:asciiTheme="majorHAnsi" w:hAnsiTheme="majorHAnsi" w:cstheme="majorHAnsi"/>
          <w:sz w:val="24"/>
        </w:rPr>
      </w:pPr>
      <w:r w:rsidRPr="00BA7CEB">
        <w:rPr>
          <w:rFonts w:asciiTheme="majorHAnsi" w:hAnsiTheme="majorHAnsi" w:cstheme="majorHAnsi"/>
          <w:sz w:val="24"/>
        </w:rPr>
        <w:t>Derivadas de estas obligaciones y de las que se establecieron en la Ley 10/1998, de 21 de abril, de residuos</w:t>
      </w:r>
      <w:r>
        <w:rPr>
          <w:rFonts w:asciiTheme="majorHAnsi" w:hAnsiTheme="majorHAnsi" w:cstheme="majorHAnsi"/>
          <w:sz w:val="24"/>
        </w:rPr>
        <w:t xml:space="preserve">, </w:t>
      </w:r>
      <w:r w:rsidRPr="00BA7CEB">
        <w:rPr>
          <w:rFonts w:asciiTheme="majorHAnsi" w:hAnsiTheme="majorHAnsi" w:cstheme="majorHAnsi"/>
          <w:sz w:val="24"/>
        </w:rPr>
        <w:t xml:space="preserve">se han configurado los distintos modelos de gestión en España en los que mayoritariamente los residuos de envase domésticos deben separarse en los hogares por materiales y depositarse en los contenedores habilitados para ellos, que son: contenedor de vidrio (verde), contenedor de envases ligeros (amarillo) para los envases ligeros (plásticos, latas y </w:t>
      </w:r>
      <w:proofErr w:type="spellStart"/>
      <w:r w:rsidRPr="00BA7CEB">
        <w:rPr>
          <w:rFonts w:asciiTheme="majorHAnsi" w:hAnsiTheme="majorHAnsi" w:cstheme="majorHAnsi"/>
          <w:sz w:val="24"/>
        </w:rPr>
        <w:t>Bricks</w:t>
      </w:r>
      <w:proofErr w:type="spellEnd"/>
      <w:r w:rsidRPr="00BA7CEB">
        <w:rPr>
          <w:rFonts w:asciiTheme="majorHAnsi" w:hAnsiTheme="majorHAnsi" w:cstheme="majorHAnsi"/>
          <w:sz w:val="24"/>
        </w:rPr>
        <w:t>) y en el contenedor de papel/cartón (azul) para los envases de papel/cartón. Cuando el modelo de separación consiste en separar la fracción húmeda (orgánico) de la seca (inorgánico o resto), los envases ligeros se depositan en el contenedor seco. En el caso de que se haya establecido un sistema puerta a puerta, los residuos de envases serán entregados conforme a lo que establez</w:t>
      </w:r>
      <w:r>
        <w:rPr>
          <w:rFonts w:asciiTheme="majorHAnsi" w:hAnsiTheme="majorHAnsi" w:cstheme="majorHAnsi"/>
          <w:sz w:val="24"/>
        </w:rPr>
        <w:t>can las ordenanzas municipales.</w:t>
      </w:r>
    </w:p>
    <w:p w14:paraId="388F9252" w14:textId="77777777" w:rsidR="00B7422A" w:rsidRDefault="00B7422A" w:rsidP="00B7422A">
      <w:pPr>
        <w:pStyle w:val="Prrafodelista"/>
        <w:ind w:left="1080"/>
        <w:jc w:val="both"/>
        <w:rPr>
          <w:rFonts w:asciiTheme="majorHAnsi" w:hAnsiTheme="majorHAnsi" w:cstheme="majorHAnsi"/>
          <w:sz w:val="24"/>
        </w:rPr>
      </w:pPr>
    </w:p>
    <w:p w14:paraId="4CE90411" w14:textId="7DBC36CF" w:rsidR="00B7422A" w:rsidRDefault="00B7422A" w:rsidP="00B7422A">
      <w:pPr>
        <w:pStyle w:val="Prrafodelista"/>
        <w:ind w:left="1080"/>
        <w:jc w:val="both"/>
        <w:rPr>
          <w:rFonts w:asciiTheme="majorHAnsi" w:hAnsiTheme="majorHAnsi" w:cstheme="majorHAnsi"/>
          <w:sz w:val="24"/>
        </w:rPr>
      </w:pPr>
      <w:r w:rsidRPr="00BA7CEB">
        <w:rPr>
          <w:rFonts w:asciiTheme="majorHAnsi" w:hAnsiTheme="majorHAnsi" w:cstheme="majorHAnsi"/>
          <w:sz w:val="24"/>
        </w:rPr>
        <w:t>En el caso de los residuos de envases comerciales/industriales, salvo que los envasadores decidan establecer un SDDR o participar en un SIG, la responsabilidad de la gestión recae en el poseedor final, que deberá entregarlos en condiciones adecuadas de separación por materiales a un gestor para su reciclado o valorización. En algunos municipios, la entidad local tiene establecidas recogidas diferenciadas para los residuos comerciales</w:t>
      </w:r>
    </w:p>
    <w:p w14:paraId="3B997219" w14:textId="77777777" w:rsidR="00B7422A" w:rsidRDefault="00B7422A" w:rsidP="00B7422A">
      <w:pPr>
        <w:pStyle w:val="Prrafodelista"/>
        <w:ind w:left="1080"/>
        <w:jc w:val="both"/>
        <w:rPr>
          <w:rFonts w:asciiTheme="majorHAnsi" w:hAnsiTheme="majorHAnsi" w:cstheme="majorHAnsi"/>
          <w:sz w:val="24"/>
        </w:rPr>
      </w:pPr>
    </w:p>
    <w:p w14:paraId="64BE7720" w14:textId="77777777" w:rsidR="00BA7CEB" w:rsidRPr="00FC6260" w:rsidRDefault="00BA7CEB" w:rsidP="00BA7CEB">
      <w:pPr>
        <w:pStyle w:val="Prrafodelista"/>
        <w:ind w:left="709"/>
        <w:jc w:val="both"/>
        <w:rPr>
          <w:rFonts w:asciiTheme="majorHAnsi" w:hAnsiTheme="majorHAnsi" w:cstheme="majorHAnsi"/>
          <w:sz w:val="24"/>
        </w:rPr>
      </w:pPr>
    </w:p>
    <w:p w14:paraId="5824BCC3" w14:textId="0A61B76E" w:rsidR="0016386A" w:rsidRPr="00B7422A" w:rsidRDefault="0016386A" w:rsidP="00EE0FEB">
      <w:pPr>
        <w:pStyle w:val="Prrafodelista"/>
        <w:numPr>
          <w:ilvl w:val="0"/>
          <w:numId w:val="7"/>
        </w:numPr>
        <w:ind w:left="709"/>
        <w:jc w:val="both"/>
        <w:rPr>
          <w:rFonts w:asciiTheme="majorHAnsi" w:hAnsiTheme="majorHAnsi" w:cstheme="majorHAnsi"/>
          <w:sz w:val="24"/>
          <w:u w:val="single"/>
        </w:rPr>
      </w:pPr>
      <w:r w:rsidRPr="00B7422A">
        <w:rPr>
          <w:rFonts w:asciiTheme="majorHAnsi" w:hAnsiTheme="majorHAnsi" w:cstheme="majorHAnsi"/>
          <w:sz w:val="24"/>
          <w:u w:val="single"/>
        </w:rPr>
        <w:t>Separar por materiales los residuos de envases que queden en su posesión, tras el consumo de los productos, y entregarlos a gestores autorizados o, en su caso, a la entidad local, de conformidad con lo que se establezca en las ordenanzas de las entidades locales.</w:t>
      </w:r>
    </w:p>
    <w:p w14:paraId="61C6ABA2" w14:textId="77777777" w:rsidR="00B7422A" w:rsidRPr="00FC6260" w:rsidRDefault="00B7422A" w:rsidP="00B7422A">
      <w:pPr>
        <w:pStyle w:val="Prrafodelista"/>
        <w:ind w:left="709"/>
        <w:jc w:val="both"/>
        <w:rPr>
          <w:rFonts w:asciiTheme="majorHAnsi" w:hAnsiTheme="majorHAnsi" w:cstheme="majorHAnsi"/>
          <w:sz w:val="24"/>
        </w:rPr>
      </w:pPr>
    </w:p>
    <w:p w14:paraId="146A6F2B" w14:textId="59F23035" w:rsidR="0016386A" w:rsidRDefault="0016386A" w:rsidP="00EE0FEB">
      <w:pPr>
        <w:pStyle w:val="Prrafodelista"/>
        <w:numPr>
          <w:ilvl w:val="0"/>
          <w:numId w:val="7"/>
        </w:numPr>
        <w:ind w:left="709"/>
        <w:jc w:val="both"/>
        <w:rPr>
          <w:rFonts w:asciiTheme="majorHAnsi" w:hAnsiTheme="majorHAnsi" w:cstheme="majorHAnsi"/>
          <w:sz w:val="24"/>
          <w:u w:val="single"/>
        </w:rPr>
      </w:pPr>
      <w:r w:rsidRPr="00B7422A">
        <w:rPr>
          <w:rFonts w:asciiTheme="majorHAnsi" w:hAnsiTheme="majorHAnsi" w:cstheme="majorHAnsi"/>
          <w:sz w:val="24"/>
          <w:u w:val="single"/>
        </w:rPr>
        <w:t>Proporcionar información a los sistemas individuales o colectivos acerca de los productos envasados pertenecientes a estos sistemas, que hayan sido efectivamente comercializados en el mercado español en cada año natural, siempre que sea estrictamente necesario para dar cumplimiento a las obligaciones de información.</w:t>
      </w:r>
    </w:p>
    <w:p w14:paraId="3B303E04" w14:textId="6A9643E6" w:rsidR="00B7422A" w:rsidRDefault="00B7422A" w:rsidP="00B7422A">
      <w:pPr>
        <w:jc w:val="both"/>
        <w:rPr>
          <w:rFonts w:asciiTheme="majorHAnsi" w:hAnsiTheme="majorHAnsi" w:cstheme="majorHAnsi"/>
          <w:sz w:val="24"/>
          <w:u w:val="single"/>
        </w:rPr>
      </w:pPr>
    </w:p>
    <w:p w14:paraId="21B7C432" w14:textId="412A6360" w:rsidR="00B7422A" w:rsidRDefault="00B7422A" w:rsidP="00B7422A">
      <w:pPr>
        <w:jc w:val="both"/>
        <w:rPr>
          <w:rFonts w:asciiTheme="majorHAnsi" w:hAnsiTheme="majorHAnsi" w:cstheme="majorHAnsi"/>
          <w:sz w:val="24"/>
          <w:u w:val="single"/>
        </w:rPr>
      </w:pPr>
    </w:p>
    <w:p w14:paraId="1233324B" w14:textId="40D7E7D8" w:rsidR="00B7422A" w:rsidRDefault="00B7422A" w:rsidP="00B7422A">
      <w:pPr>
        <w:jc w:val="both"/>
        <w:rPr>
          <w:rFonts w:asciiTheme="majorHAnsi" w:hAnsiTheme="majorHAnsi" w:cstheme="majorHAnsi"/>
          <w:sz w:val="24"/>
          <w:u w:val="single"/>
        </w:rPr>
      </w:pPr>
    </w:p>
    <w:p w14:paraId="35E62C9A" w14:textId="462A064E" w:rsidR="00B7422A" w:rsidRDefault="00B7422A" w:rsidP="00B7422A">
      <w:pPr>
        <w:jc w:val="both"/>
        <w:rPr>
          <w:rFonts w:asciiTheme="majorHAnsi" w:hAnsiTheme="majorHAnsi" w:cstheme="majorHAnsi"/>
          <w:sz w:val="24"/>
          <w:u w:val="single"/>
        </w:rPr>
      </w:pPr>
    </w:p>
    <w:p w14:paraId="5540B028" w14:textId="4FE383C7" w:rsidR="00B7422A" w:rsidRDefault="00B7422A" w:rsidP="00B7422A">
      <w:pPr>
        <w:jc w:val="both"/>
        <w:rPr>
          <w:rFonts w:asciiTheme="majorHAnsi" w:hAnsiTheme="majorHAnsi" w:cstheme="majorHAnsi"/>
          <w:sz w:val="24"/>
          <w:u w:val="single"/>
        </w:rPr>
      </w:pPr>
    </w:p>
    <w:p w14:paraId="664358B6" w14:textId="0B9893C3" w:rsidR="00B7422A" w:rsidRDefault="00B7422A" w:rsidP="00B7422A">
      <w:pPr>
        <w:jc w:val="both"/>
        <w:rPr>
          <w:rFonts w:asciiTheme="majorHAnsi" w:hAnsiTheme="majorHAnsi" w:cstheme="majorHAnsi"/>
          <w:sz w:val="24"/>
          <w:u w:val="single"/>
        </w:rPr>
      </w:pPr>
    </w:p>
    <w:p w14:paraId="776961D9" w14:textId="73D4004C" w:rsidR="00B7422A" w:rsidRPr="00B7422A" w:rsidRDefault="00B7422A" w:rsidP="00B7422A">
      <w:pPr>
        <w:jc w:val="both"/>
        <w:rPr>
          <w:rFonts w:asciiTheme="majorHAnsi" w:eastAsiaTheme="majorEastAsia" w:hAnsiTheme="majorHAnsi" w:cstheme="majorHAnsi"/>
          <w:color w:val="546421" w:themeColor="accent6" w:themeShade="80"/>
          <w:sz w:val="32"/>
          <w:szCs w:val="28"/>
        </w:rPr>
      </w:pPr>
      <w:r w:rsidRPr="00B7422A">
        <w:rPr>
          <w:rFonts w:asciiTheme="majorHAnsi" w:eastAsiaTheme="majorEastAsia" w:hAnsiTheme="majorHAnsi" w:cstheme="majorHAnsi"/>
          <w:color w:val="546421" w:themeColor="accent6" w:themeShade="80"/>
          <w:sz w:val="32"/>
          <w:szCs w:val="28"/>
        </w:rPr>
        <w:lastRenderedPageBreak/>
        <w:t>Comercios minoristas</w:t>
      </w:r>
    </w:p>
    <w:p w14:paraId="52376E6E" w14:textId="77777777" w:rsidR="0016386A" w:rsidRPr="00FC6260" w:rsidRDefault="0016386A" w:rsidP="0016386A">
      <w:pPr>
        <w:jc w:val="both"/>
        <w:rPr>
          <w:rFonts w:asciiTheme="majorHAnsi" w:hAnsiTheme="majorHAnsi" w:cstheme="majorHAnsi"/>
          <w:sz w:val="24"/>
        </w:rPr>
      </w:pPr>
      <w:r w:rsidRPr="00FC6260">
        <w:rPr>
          <w:rFonts w:asciiTheme="majorHAnsi" w:hAnsiTheme="majorHAnsi" w:cstheme="majorHAnsi"/>
          <w:sz w:val="24"/>
        </w:rPr>
        <w:t>Se contempla la adopción de medidas por parte de los comercios minoristas de alimentación, entre ellas:</w:t>
      </w:r>
    </w:p>
    <w:p w14:paraId="497A2BCF" w14:textId="33B59F6F" w:rsidR="00B7422A" w:rsidRDefault="00B7422A" w:rsidP="00B7422A">
      <w:pPr>
        <w:jc w:val="both"/>
        <w:rPr>
          <w:rFonts w:asciiTheme="majorHAnsi" w:hAnsiTheme="majorHAnsi" w:cstheme="majorHAnsi"/>
          <w:sz w:val="24"/>
        </w:rPr>
      </w:pPr>
    </w:p>
    <w:p w14:paraId="07463EF8" w14:textId="77777777" w:rsidR="00B7422A" w:rsidRDefault="00B7422A" w:rsidP="00B7422A">
      <w:pPr>
        <w:jc w:val="both"/>
        <w:rPr>
          <w:rFonts w:asciiTheme="majorHAnsi" w:hAnsiTheme="majorHAnsi" w:cstheme="majorHAnsi"/>
          <w:b/>
          <w:sz w:val="24"/>
        </w:rPr>
      </w:pPr>
      <w:r>
        <w:rPr>
          <w:rFonts w:asciiTheme="majorHAnsi" w:hAnsiTheme="majorHAnsi" w:cstheme="majorHAnsi"/>
          <w:b/>
          <w:sz w:val="24"/>
        </w:rPr>
        <w:t>FRUTAS Y VERDURAS FRESCAS A GRANEL</w:t>
      </w:r>
    </w:p>
    <w:p w14:paraId="2D5660DB" w14:textId="5A6246E2" w:rsidR="00B7422A" w:rsidRDefault="0016386A" w:rsidP="00B7422A">
      <w:pPr>
        <w:jc w:val="both"/>
        <w:rPr>
          <w:rFonts w:asciiTheme="majorHAnsi" w:hAnsiTheme="majorHAnsi" w:cstheme="majorHAnsi"/>
          <w:sz w:val="24"/>
        </w:rPr>
      </w:pPr>
      <w:r w:rsidRPr="00B7422A">
        <w:rPr>
          <w:rFonts w:asciiTheme="majorHAnsi" w:hAnsiTheme="majorHAnsi" w:cstheme="majorHAnsi"/>
          <w:sz w:val="24"/>
        </w:rPr>
        <w:t xml:space="preserve">Adoptaran las medidas necesarias para presentar a granel aquellas frutas y verduras frescas que se comercialicen enteras. </w:t>
      </w:r>
    </w:p>
    <w:p w14:paraId="6D5EFD46" w14:textId="77777777" w:rsidR="00B7422A" w:rsidRDefault="0016386A" w:rsidP="00B7422A">
      <w:pPr>
        <w:jc w:val="both"/>
        <w:rPr>
          <w:rFonts w:asciiTheme="majorHAnsi" w:hAnsiTheme="majorHAnsi" w:cstheme="majorHAnsi"/>
          <w:sz w:val="24"/>
        </w:rPr>
      </w:pPr>
      <w:r w:rsidRPr="00B7422A">
        <w:rPr>
          <w:rFonts w:asciiTheme="majorHAnsi" w:hAnsiTheme="majorHAnsi" w:cstheme="majorHAnsi"/>
          <w:sz w:val="24"/>
        </w:rPr>
        <w:t xml:space="preserve">Esta obligación no se aplica a las frutas y hortalizas envasadas en lotes de 1,5 kilogramos o más, ni a las frutas y hortalizas que se envasen bajo una variedad protegida o registrada o cuenten con una indicación de calidad diferenciada o de agricultura ecológica, así como las frutas y hortalizas que presentan un riesgo de deterioro o merma cuando se venden a granel. </w:t>
      </w:r>
    </w:p>
    <w:p w14:paraId="33945970" w14:textId="2AC0028E" w:rsidR="0016386A" w:rsidRPr="00B7422A" w:rsidRDefault="0016386A" w:rsidP="00B7422A">
      <w:pPr>
        <w:jc w:val="both"/>
        <w:rPr>
          <w:rFonts w:asciiTheme="majorHAnsi" w:hAnsiTheme="majorHAnsi" w:cstheme="majorHAnsi"/>
          <w:sz w:val="24"/>
        </w:rPr>
      </w:pPr>
      <w:r w:rsidRPr="00B7422A">
        <w:rPr>
          <w:rFonts w:asciiTheme="majorHAnsi" w:hAnsiTheme="majorHAnsi" w:cstheme="majorHAnsi"/>
          <w:sz w:val="24"/>
        </w:rPr>
        <w:t>Los comercios disponen de un plazo de seis meses para su adaptación desde la pub</w:t>
      </w:r>
      <w:r w:rsidR="00B7422A">
        <w:rPr>
          <w:rFonts w:asciiTheme="majorHAnsi" w:hAnsiTheme="majorHAnsi" w:cstheme="majorHAnsi"/>
          <w:sz w:val="24"/>
        </w:rPr>
        <w:t>licación de la norma reguladora, es decir, en junio de 2023.</w:t>
      </w:r>
    </w:p>
    <w:p w14:paraId="5D37F19B" w14:textId="32B0BFD1" w:rsidR="0016386A" w:rsidRDefault="0016386A" w:rsidP="00B7422A">
      <w:pPr>
        <w:jc w:val="both"/>
        <w:rPr>
          <w:rFonts w:asciiTheme="majorHAnsi" w:hAnsiTheme="majorHAnsi" w:cstheme="majorHAnsi"/>
          <w:sz w:val="24"/>
        </w:rPr>
      </w:pPr>
    </w:p>
    <w:p w14:paraId="41BB83AD" w14:textId="2BE086DD" w:rsidR="00B7422A" w:rsidRPr="00B7422A" w:rsidRDefault="00B7422A" w:rsidP="00B7422A">
      <w:pPr>
        <w:jc w:val="both"/>
        <w:rPr>
          <w:rFonts w:asciiTheme="majorHAnsi" w:hAnsiTheme="majorHAnsi" w:cstheme="majorHAnsi"/>
          <w:b/>
          <w:sz w:val="24"/>
        </w:rPr>
      </w:pPr>
      <w:r w:rsidRPr="00B7422A">
        <w:rPr>
          <w:rFonts w:asciiTheme="majorHAnsi" w:hAnsiTheme="majorHAnsi" w:cstheme="majorHAnsi"/>
          <w:b/>
          <w:sz w:val="24"/>
        </w:rPr>
        <w:t>FOMENTO DE VENTA A GRANEL</w:t>
      </w:r>
    </w:p>
    <w:p w14:paraId="463CB1EE" w14:textId="77777777" w:rsidR="0016386A" w:rsidRPr="00B7422A" w:rsidRDefault="0016386A" w:rsidP="00B7422A">
      <w:pPr>
        <w:jc w:val="both"/>
        <w:rPr>
          <w:rFonts w:asciiTheme="majorHAnsi" w:hAnsiTheme="majorHAnsi" w:cstheme="majorHAnsi"/>
          <w:sz w:val="24"/>
        </w:rPr>
      </w:pPr>
      <w:r w:rsidRPr="00B7422A">
        <w:rPr>
          <w:rFonts w:asciiTheme="majorHAnsi" w:hAnsiTheme="majorHAnsi" w:cstheme="majorHAnsi"/>
          <w:sz w:val="24"/>
        </w:rPr>
        <w:t>Se debe fomentar la venta a granel de alimentos, especialmente en aquellos casos en los que el envase no aporta ningún valor añadido al producto.</w:t>
      </w:r>
    </w:p>
    <w:p w14:paraId="2182E382" w14:textId="77777777" w:rsidR="0016386A" w:rsidRPr="00B7422A" w:rsidRDefault="0016386A" w:rsidP="00B7422A">
      <w:pPr>
        <w:jc w:val="both"/>
        <w:rPr>
          <w:rFonts w:asciiTheme="majorHAnsi" w:hAnsiTheme="majorHAnsi" w:cstheme="majorHAnsi"/>
          <w:sz w:val="24"/>
        </w:rPr>
      </w:pPr>
      <w:r w:rsidRPr="00B7422A">
        <w:rPr>
          <w:rFonts w:asciiTheme="majorHAnsi" w:hAnsiTheme="majorHAnsi" w:cstheme="majorHAnsi"/>
          <w:sz w:val="24"/>
        </w:rPr>
        <w:t xml:space="preserve">Para ello, los comercios minoristas de alimentación, cuya superficie sea igual o mayor a 400 metros cuadrados destinarán al menos el 20% de su área de ventas a la oferta de productos presentados sin embalaje primario, incluida la venta a granel o mediante envases reutilizables. </w:t>
      </w:r>
    </w:p>
    <w:p w14:paraId="355EC938" w14:textId="3CD6198D" w:rsidR="0016386A" w:rsidRDefault="0016386A" w:rsidP="00B7422A">
      <w:pPr>
        <w:jc w:val="both"/>
        <w:rPr>
          <w:rFonts w:asciiTheme="majorHAnsi" w:hAnsiTheme="majorHAnsi" w:cstheme="majorHAnsi"/>
          <w:sz w:val="24"/>
        </w:rPr>
      </w:pPr>
    </w:p>
    <w:p w14:paraId="7C9F09B0" w14:textId="71D52F7F" w:rsidR="00B7422A" w:rsidRPr="00B7422A" w:rsidRDefault="00B7422A" w:rsidP="00B7422A">
      <w:pPr>
        <w:jc w:val="both"/>
        <w:rPr>
          <w:rFonts w:asciiTheme="majorHAnsi" w:hAnsiTheme="majorHAnsi" w:cstheme="majorHAnsi"/>
          <w:b/>
          <w:sz w:val="24"/>
        </w:rPr>
      </w:pPr>
      <w:r w:rsidRPr="00B7422A">
        <w:rPr>
          <w:rFonts w:asciiTheme="majorHAnsi" w:hAnsiTheme="majorHAnsi" w:cstheme="majorHAnsi"/>
          <w:b/>
          <w:sz w:val="24"/>
        </w:rPr>
        <w:t>INFORMACIÓN A C</w:t>
      </w:r>
      <w:r w:rsidR="006675B5">
        <w:rPr>
          <w:rFonts w:asciiTheme="majorHAnsi" w:hAnsiTheme="majorHAnsi" w:cstheme="majorHAnsi"/>
          <w:b/>
          <w:sz w:val="24"/>
        </w:rPr>
        <w:t>LIENTES</w:t>
      </w:r>
    </w:p>
    <w:p w14:paraId="105A3EC4" w14:textId="329A3340" w:rsidR="0016386A" w:rsidRPr="00B7422A" w:rsidRDefault="006675B5" w:rsidP="00B7422A">
      <w:pPr>
        <w:jc w:val="both"/>
        <w:rPr>
          <w:rFonts w:asciiTheme="majorHAnsi" w:hAnsiTheme="majorHAnsi" w:cstheme="majorHAnsi"/>
          <w:sz w:val="24"/>
        </w:rPr>
      </w:pPr>
      <w:r>
        <w:rPr>
          <w:rFonts w:asciiTheme="majorHAnsi" w:hAnsiTheme="majorHAnsi" w:cstheme="majorHAnsi"/>
          <w:sz w:val="24"/>
        </w:rPr>
        <w:t>S</w:t>
      </w:r>
      <w:r w:rsidR="0016386A" w:rsidRPr="00B7422A">
        <w:rPr>
          <w:rFonts w:asciiTheme="majorHAnsi" w:hAnsiTheme="majorHAnsi" w:cstheme="majorHAnsi"/>
          <w:sz w:val="24"/>
        </w:rPr>
        <w:t>e informará a los clientes de los impactos ambientales y de las obligaciones de gestión de los residuos de los envases de los productos que adquieran, siempre que dispongan de una superficie útil para la exposición y venta al público igual o superior a 300 metros cuadrados. En particular informarán de los siguientes aspectos:</w:t>
      </w:r>
      <w:r>
        <w:rPr>
          <w:rFonts w:asciiTheme="majorHAnsi" w:hAnsiTheme="majorHAnsi" w:cstheme="majorHAnsi"/>
          <w:b/>
          <w:color w:val="FF0000"/>
          <w:sz w:val="24"/>
        </w:rPr>
        <w:t xml:space="preserve"> </w:t>
      </w:r>
    </w:p>
    <w:p w14:paraId="71269B60" w14:textId="77777777" w:rsidR="0016386A" w:rsidRPr="00FC6260" w:rsidRDefault="0016386A" w:rsidP="006675B5">
      <w:pPr>
        <w:pStyle w:val="Prrafodelista"/>
        <w:numPr>
          <w:ilvl w:val="1"/>
          <w:numId w:val="8"/>
        </w:numPr>
        <w:ind w:left="851"/>
        <w:jc w:val="both"/>
        <w:rPr>
          <w:rFonts w:asciiTheme="majorHAnsi" w:hAnsiTheme="majorHAnsi" w:cstheme="majorHAnsi"/>
          <w:sz w:val="24"/>
        </w:rPr>
      </w:pPr>
      <w:r w:rsidRPr="00FC6260">
        <w:rPr>
          <w:rFonts w:asciiTheme="majorHAnsi" w:hAnsiTheme="majorHAnsi" w:cstheme="majorHAnsi"/>
          <w:sz w:val="24"/>
        </w:rPr>
        <w:t>Obligaciones del consumidor en lo referente a la devolución de los envases reutilizables y a la separación de los residuos de envases de los distintos contenedores o puntos de recogida establecidos.</w:t>
      </w:r>
    </w:p>
    <w:p w14:paraId="71239839" w14:textId="77777777" w:rsidR="0016386A" w:rsidRPr="00FC6260" w:rsidRDefault="0016386A" w:rsidP="006675B5">
      <w:pPr>
        <w:pStyle w:val="Prrafodelista"/>
        <w:numPr>
          <w:ilvl w:val="1"/>
          <w:numId w:val="8"/>
        </w:numPr>
        <w:ind w:left="851"/>
        <w:jc w:val="both"/>
        <w:rPr>
          <w:rFonts w:asciiTheme="majorHAnsi" w:hAnsiTheme="majorHAnsi" w:cstheme="majorHAnsi"/>
          <w:sz w:val="24"/>
        </w:rPr>
      </w:pPr>
      <w:r w:rsidRPr="00FC6260">
        <w:rPr>
          <w:rFonts w:asciiTheme="majorHAnsi" w:hAnsiTheme="majorHAnsi" w:cstheme="majorHAnsi"/>
          <w:sz w:val="24"/>
        </w:rPr>
        <w:t xml:space="preserve">Promoción de las bolsas reutilizables, y optimización de la utilización de las bolsas de un solo uso, para reducir el consumo innecesario de estos envases. </w:t>
      </w:r>
    </w:p>
    <w:p w14:paraId="7D93C7B4" w14:textId="348ACF72" w:rsidR="0016386A" w:rsidRDefault="0016386A" w:rsidP="006675B5">
      <w:pPr>
        <w:pStyle w:val="Prrafodelista"/>
        <w:numPr>
          <w:ilvl w:val="1"/>
          <w:numId w:val="8"/>
        </w:numPr>
        <w:ind w:left="851"/>
        <w:jc w:val="both"/>
        <w:rPr>
          <w:rFonts w:asciiTheme="majorHAnsi" w:hAnsiTheme="majorHAnsi" w:cstheme="majorHAnsi"/>
          <w:sz w:val="24"/>
        </w:rPr>
      </w:pPr>
      <w:r w:rsidRPr="00FC6260">
        <w:rPr>
          <w:rFonts w:asciiTheme="majorHAnsi" w:hAnsiTheme="majorHAnsi" w:cstheme="majorHAnsi"/>
          <w:sz w:val="24"/>
        </w:rPr>
        <w:t xml:space="preserve">Informar sobre la disponibilidad del comercio de envases reutilizables, así como sobre la posibilidad de uso de recipientes reutilizables. </w:t>
      </w:r>
    </w:p>
    <w:p w14:paraId="697EA368" w14:textId="78DC932E" w:rsidR="006675B5" w:rsidRPr="006675B5" w:rsidRDefault="006675B5" w:rsidP="006675B5">
      <w:pPr>
        <w:ind w:left="491"/>
        <w:jc w:val="both"/>
        <w:rPr>
          <w:rFonts w:asciiTheme="majorHAnsi" w:hAnsiTheme="majorHAnsi" w:cstheme="majorHAnsi"/>
          <w:sz w:val="24"/>
        </w:rPr>
      </w:pPr>
      <w:r>
        <w:rPr>
          <w:rFonts w:asciiTheme="majorHAnsi" w:hAnsiTheme="majorHAnsi" w:cstheme="majorHAnsi"/>
          <w:sz w:val="24"/>
        </w:rPr>
        <w:lastRenderedPageBreak/>
        <w:t>Para cada una de las obligaciones de información descritas, disponen de carteles informativos en la documentación anexa al presente Manual.</w:t>
      </w:r>
    </w:p>
    <w:p w14:paraId="29612E1E" w14:textId="77777777" w:rsidR="0016386A" w:rsidRPr="00FC6260" w:rsidRDefault="0016386A" w:rsidP="006675B5">
      <w:pPr>
        <w:jc w:val="both"/>
        <w:rPr>
          <w:rFonts w:asciiTheme="majorHAnsi" w:hAnsiTheme="majorHAnsi" w:cstheme="majorHAnsi"/>
          <w:sz w:val="24"/>
        </w:rPr>
      </w:pPr>
      <w:r w:rsidRPr="00FC6260">
        <w:rPr>
          <w:rFonts w:asciiTheme="majorHAnsi" w:hAnsiTheme="majorHAnsi" w:cstheme="majorHAnsi"/>
          <w:sz w:val="24"/>
        </w:rPr>
        <w:t>Estas obligaciones también se aplicarán a las plataformas de comercio electrónico y comercios minoristas que efectúen ventas a distancia, que deberán informar en un lugar destacado del medio empleado para la venta.</w:t>
      </w:r>
    </w:p>
    <w:p w14:paraId="5CCABFA1" w14:textId="566C4E4B" w:rsidR="0016386A" w:rsidRPr="00FC6260" w:rsidRDefault="0016386A" w:rsidP="006675B5">
      <w:pPr>
        <w:jc w:val="both"/>
        <w:rPr>
          <w:rFonts w:asciiTheme="majorHAnsi" w:hAnsiTheme="majorHAnsi" w:cstheme="majorHAnsi"/>
          <w:sz w:val="24"/>
        </w:rPr>
      </w:pPr>
      <w:r w:rsidRPr="00FC6260">
        <w:rPr>
          <w:rFonts w:asciiTheme="majorHAnsi" w:hAnsiTheme="majorHAnsi" w:cstheme="majorHAnsi"/>
          <w:sz w:val="24"/>
        </w:rPr>
        <w:t>Todos los establecimientos que venden a granel alimentos y bebidas, deberán aceptar el uso de recipientes reutilizables (bolsas, táperes, botellas, entre otros) adecuados para la naturaleza del producto adquirido y debidamente higienizados, siendo los consumidores los responsables de su acondicionamiento y limpieza. Tales recipientes podrán ser rechazados por el comerciante para el servicio si están manifiestamente sucios o no son adecuados.</w:t>
      </w:r>
      <w:r w:rsidRPr="00FC6260">
        <w:rPr>
          <w:rFonts w:asciiTheme="majorHAnsi" w:hAnsiTheme="majorHAnsi" w:cstheme="majorHAnsi"/>
          <w:b/>
          <w:color w:val="FF0000"/>
          <w:sz w:val="24"/>
        </w:rPr>
        <w:t xml:space="preserve"> </w:t>
      </w:r>
      <w:r w:rsidRPr="00FC6260">
        <w:rPr>
          <w:rFonts w:asciiTheme="majorHAnsi" w:hAnsiTheme="majorHAnsi" w:cstheme="majorHAnsi"/>
          <w:sz w:val="24"/>
        </w:rPr>
        <w:t>A tal fin, el punto de venta deberá informar al consumidor final sobre las condiciones de limpieza e idoneidad de los recipientes reutilizables, quedando exentos de la responsabilidad por los problemas de seguridad alimentaria que se pudieran derivar de la utilización de los recipientes aportados por los consumidores.</w:t>
      </w:r>
    </w:p>
    <w:p w14:paraId="6926644B" w14:textId="59A3A275" w:rsidR="0016386A" w:rsidRPr="00FC6260" w:rsidRDefault="0016386A" w:rsidP="006675B5">
      <w:pPr>
        <w:jc w:val="both"/>
        <w:rPr>
          <w:rFonts w:asciiTheme="majorHAnsi" w:hAnsiTheme="majorHAnsi" w:cstheme="majorHAnsi"/>
          <w:sz w:val="24"/>
        </w:rPr>
      </w:pPr>
      <w:r w:rsidRPr="00FC6260">
        <w:rPr>
          <w:rFonts w:asciiTheme="majorHAnsi" w:hAnsiTheme="majorHAnsi" w:cstheme="majorHAnsi"/>
          <w:sz w:val="24"/>
        </w:rPr>
        <w:t>Asimismo, los comercios</w:t>
      </w:r>
      <w:r w:rsidR="006675B5">
        <w:rPr>
          <w:rFonts w:asciiTheme="majorHAnsi" w:hAnsiTheme="majorHAnsi" w:cstheme="majorHAnsi"/>
          <w:sz w:val="24"/>
        </w:rPr>
        <w:t xml:space="preserve"> con una superficie útil para la</w:t>
      </w:r>
      <w:r w:rsidRPr="00FC6260">
        <w:rPr>
          <w:rFonts w:asciiTheme="majorHAnsi" w:hAnsiTheme="majorHAnsi" w:cstheme="majorHAnsi"/>
          <w:sz w:val="24"/>
        </w:rPr>
        <w:t xml:space="preserve"> exposición y venta al público igual o superior a 300 metros cuadrados aseguraran la disponibilidad de envases reutilizables para el consumidor final, de forma gratuita o a través del cobro de un precio. </w:t>
      </w:r>
    </w:p>
    <w:p w14:paraId="00E2852A" w14:textId="77777777" w:rsidR="0016386A" w:rsidRPr="00FC6260" w:rsidRDefault="0016386A" w:rsidP="006675B5">
      <w:pPr>
        <w:jc w:val="both"/>
        <w:rPr>
          <w:rFonts w:asciiTheme="majorHAnsi" w:hAnsiTheme="majorHAnsi" w:cstheme="majorHAnsi"/>
          <w:sz w:val="24"/>
        </w:rPr>
      </w:pPr>
      <w:r w:rsidRPr="00FC6260">
        <w:rPr>
          <w:rFonts w:asciiTheme="majorHAnsi" w:hAnsiTheme="majorHAnsi" w:cstheme="majorHAnsi"/>
          <w:sz w:val="24"/>
        </w:rPr>
        <w:t>Los establecimientos minoristas de alimentación deberán ofrecer en sus puntos de venta, respecto a los envases de las bebidas comercializadas en el sector de la hostelería y la restauración (canal HORECA):</w:t>
      </w:r>
    </w:p>
    <w:p w14:paraId="0D1B4FA9" w14:textId="77777777" w:rsidR="0016386A" w:rsidRPr="00FC6260" w:rsidRDefault="0016386A" w:rsidP="006675B5">
      <w:pPr>
        <w:pStyle w:val="Prrafodelista"/>
        <w:numPr>
          <w:ilvl w:val="1"/>
          <w:numId w:val="1"/>
        </w:numPr>
        <w:ind w:left="993"/>
        <w:jc w:val="both"/>
        <w:rPr>
          <w:rFonts w:asciiTheme="majorHAnsi" w:hAnsiTheme="majorHAnsi" w:cstheme="majorHAnsi"/>
          <w:sz w:val="24"/>
        </w:rPr>
      </w:pPr>
      <w:r w:rsidRPr="00FC6260">
        <w:rPr>
          <w:rFonts w:asciiTheme="majorHAnsi" w:hAnsiTheme="majorHAnsi" w:cstheme="majorHAnsi"/>
          <w:sz w:val="24"/>
        </w:rPr>
        <w:t>Desde el 1 de enero de 2027:</w:t>
      </w:r>
    </w:p>
    <w:p w14:paraId="6BCBD119" w14:textId="77777777" w:rsidR="0016386A" w:rsidRPr="00FC6260" w:rsidRDefault="0016386A" w:rsidP="006675B5">
      <w:pPr>
        <w:pStyle w:val="Prrafodelista"/>
        <w:ind w:left="993"/>
        <w:jc w:val="both"/>
        <w:rPr>
          <w:rFonts w:asciiTheme="majorHAnsi" w:hAnsiTheme="majorHAnsi" w:cstheme="majorHAnsi"/>
          <w:sz w:val="24"/>
        </w:rPr>
      </w:pPr>
      <w:r w:rsidRPr="00FC6260">
        <w:rPr>
          <w:rFonts w:asciiTheme="majorHAnsi" w:hAnsiTheme="majorHAnsi" w:cstheme="majorHAnsi"/>
          <w:sz w:val="24"/>
        </w:rPr>
        <w:t>Al menos una referencia de bebida en envase reutilizable, si el establecimiento tiene una superficie comercial inferior a 120 m2.</w:t>
      </w:r>
    </w:p>
    <w:p w14:paraId="05219519" w14:textId="77777777" w:rsidR="0016386A" w:rsidRPr="00FC6260" w:rsidRDefault="0016386A" w:rsidP="006675B5">
      <w:pPr>
        <w:pStyle w:val="Prrafodelista"/>
        <w:ind w:left="993"/>
        <w:jc w:val="both"/>
        <w:rPr>
          <w:rFonts w:asciiTheme="majorHAnsi" w:hAnsiTheme="majorHAnsi" w:cstheme="majorHAnsi"/>
          <w:sz w:val="24"/>
        </w:rPr>
      </w:pPr>
      <w:r w:rsidRPr="00FC6260">
        <w:rPr>
          <w:rFonts w:asciiTheme="majorHAnsi" w:hAnsiTheme="majorHAnsi" w:cstheme="majorHAnsi"/>
          <w:sz w:val="24"/>
        </w:rPr>
        <w:t>Al menos tres referencias de bebida en envase reutilizable, si el establecimiento tiene una superficie comercial de 120 m2 o superior e inferior a 300 m2.</w:t>
      </w:r>
    </w:p>
    <w:p w14:paraId="74619641" w14:textId="77777777" w:rsidR="0016386A" w:rsidRPr="00FC6260" w:rsidRDefault="0016386A" w:rsidP="006675B5">
      <w:pPr>
        <w:pStyle w:val="Prrafodelista"/>
        <w:numPr>
          <w:ilvl w:val="1"/>
          <w:numId w:val="1"/>
        </w:numPr>
        <w:ind w:left="993"/>
        <w:jc w:val="both"/>
        <w:rPr>
          <w:rFonts w:asciiTheme="majorHAnsi" w:hAnsiTheme="majorHAnsi" w:cstheme="majorHAnsi"/>
          <w:sz w:val="24"/>
        </w:rPr>
      </w:pPr>
      <w:r w:rsidRPr="00FC6260">
        <w:rPr>
          <w:rFonts w:asciiTheme="majorHAnsi" w:hAnsiTheme="majorHAnsi" w:cstheme="majorHAnsi"/>
          <w:sz w:val="24"/>
        </w:rPr>
        <w:t>Desde el 1 de enero de 2025:</w:t>
      </w:r>
    </w:p>
    <w:p w14:paraId="5ECE21F7" w14:textId="77777777" w:rsidR="0016386A" w:rsidRPr="00FC6260" w:rsidRDefault="0016386A" w:rsidP="006675B5">
      <w:pPr>
        <w:pStyle w:val="Prrafodelista"/>
        <w:ind w:left="993"/>
        <w:jc w:val="both"/>
        <w:rPr>
          <w:rFonts w:asciiTheme="majorHAnsi" w:hAnsiTheme="majorHAnsi" w:cstheme="majorHAnsi"/>
          <w:sz w:val="24"/>
        </w:rPr>
      </w:pPr>
      <w:r w:rsidRPr="00FC6260">
        <w:rPr>
          <w:rFonts w:asciiTheme="majorHAnsi" w:hAnsiTheme="majorHAnsi" w:cstheme="majorHAnsi"/>
          <w:sz w:val="24"/>
        </w:rPr>
        <w:t>Al menos cuatro referencias de bebida en envase reutilizable, si el establecimiento tiene una superficie comercial de 300 m2 o superior e inferior a 1.000 m2.</w:t>
      </w:r>
    </w:p>
    <w:p w14:paraId="24F9DF5E" w14:textId="77777777" w:rsidR="0016386A" w:rsidRPr="00FC6260" w:rsidRDefault="0016386A" w:rsidP="006675B5">
      <w:pPr>
        <w:pStyle w:val="Prrafodelista"/>
        <w:ind w:left="993"/>
        <w:jc w:val="both"/>
        <w:rPr>
          <w:rFonts w:asciiTheme="majorHAnsi" w:hAnsiTheme="majorHAnsi" w:cstheme="majorHAnsi"/>
          <w:sz w:val="24"/>
        </w:rPr>
      </w:pPr>
      <w:r w:rsidRPr="00FC6260">
        <w:rPr>
          <w:rFonts w:asciiTheme="majorHAnsi" w:hAnsiTheme="majorHAnsi" w:cstheme="majorHAnsi"/>
          <w:sz w:val="24"/>
        </w:rPr>
        <w:t>Al menos cinco referencias de bebida en envase reutilizable, si el establecimiento tiene una superficie comercial de 1.000 m2 o superior e inferior a 2.500 m2.</w:t>
      </w:r>
    </w:p>
    <w:p w14:paraId="20FADC70" w14:textId="77777777" w:rsidR="0016386A" w:rsidRPr="00FC6260" w:rsidRDefault="0016386A" w:rsidP="006675B5">
      <w:pPr>
        <w:pStyle w:val="Prrafodelista"/>
        <w:ind w:left="993"/>
        <w:jc w:val="both"/>
        <w:rPr>
          <w:rFonts w:asciiTheme="majorHAnsi" w:hAnsiTheme="majorHAnsi" w:cstheme="majorHAnsi"/>
          <w:sz w:val="24"/>
        </w:rPr>
      </w:pPr>
      <w:r w:rsidRPr="00FC6260">
        <w:rPr>
          <w:rFonts w:asciiTheme="majorHAnsi" w:hAnsiTheme="majorHAnsi" w:cstheme="majorHAnsi"/>
          <w:sz w:val="24"/>
        </w:rPr>
        <w:t>Al menos siete referencias de bebida en envase reutilizable, si el establecimiento tiene una superficie comercial de 2.500 m2 o superior.</w:t>
      </w:r>
    </w:p>
    <w:p w14:paraId="52E76C82" w14:textId="59FD964B" w:rsidR="0016386A" w:rsidRDefault="0016386A" w:rsidP="0016386A">
      <w:pPr>
        <w:jc w:val="both"/>
        <w:rPr>
          <w:rFonts w:asciiTheme="majorHAnsi" w:hAnsiTheme="majorHAnsi" w:cstheme="majorHAnsi"/>
          <w:color w:val="546421" w:themeColor="accent6" w:themeShade="80"/>
          <w:sz w:val="24"/>
        </w:rPr>
      </w:pPr>
    </w:p>
    <w:p w14:paraId="707BA677" w14:textId="79FC0919" w:rsidR="00875E59" w:rsidRDefault="00875E59" w:rsidP="0016386A">
      <w:pPr>
        <w:jc w:val="both"/>
        <w:rPr>
          <w:rFonts w:asciiTheme="majorHAnsi" w:hAnsiTheme="majorHAnsi" w:cstheme="majorHAnsi"/>
          <w:color w:val="546421" w:themeColor="accent6" w:themeShade="80"/>
          <w:sz w:val="24"/>
        </w:rPr>
      </w:pPr>
    </w:p>
    <w:p w14:paraId="54F5ED5B" w14:textId="5086FD9E" w:rsidR="00875E59" w:rsidRDefault="00875E59" w:rsidP="0016386A">
      <w:pPr>
        <w:jc w:val="both"/>
        <w:rPr>
          <w:rFonts w:asciiTheme="majorHAnsi" w:hAnsiTheme="majorHAnsi" w:cstheme="majorHAnsi"/>
          <w:color w:val="546421" w:themeColor="accent6" w:themeShade="80"/>
          <w:sz w:val="24"/>
        </w:rPr>
      </w:pPr>
    </w:p>
    <w:p w14:paraId="65BC7628" w14:textId="77777777" w:rsidR="00875E59" w:rsidRDefault="00875E59" w:rsidP="0016386A">
      <w:pPr>
        <w:jc w:val="both"/>
        <w:rPr>
          <w:rFonts w:asciiTheme="majorHAnsi" w:hAnsiTheme="majorHAnsi" w:cstheme="majorHAnsi"/>
          <w:color w:val="546421" w:themeColor="accent6" w:themeShade="80"/>
          <w:sz w:val="24"/>
        </w:rPr>
      </w:pPr>
    </w:p>
    <w:p w14:paraId="2D4323BD" w14:textId="00D2442E" w:rsidR="00875E59" w:rsidRDefault="0011286C" w:rsidP="00875E59">
      <w:pPr>
        <w:jc w:val="both"/>
        <w:rPr>
          <w:rFonts w:asciiTheme="majorHAnsi" w:eastAsiaTheme="majorEastAsia" w:hAnsiTheme="majorHAnsi" w:cstheme="majorHAnsi"/>
          <w:color w:val="546421" w:themeColor="accent6" w:themeShade="80"/>
          <w:sz w:val="32"/>
          <w:szCs w:val="28"/>
        </w:rPr>
      </w:pPr>
      <w:r>
        <w:rPr>
          <w:rFonts w:asciiTheme="majorHAnsi" w:eastAsiaTheme="majorEastAsia" w:hAnsiTheme="majorHAnsi" w:cstheme="majorHAnsi"/>
          <w:color w:val="546421" w:themeColor="accent6" w:themeShade="80"/>
          <w:sz w:val="32"/>
          <w:szCs w:val="28"/>
        </w:rPr>
        <w:lastRenderedPageBreak/>
        <w:t>A</w:t>
      </w:r>
      <w:r w:rsidR="00615EE8">
        <w:rPr>
          <w:rFonts w:asciiTheme="majorHAnsi" w:eastAsiaTheme="majorEastAsia" w:hAnsiTheme="majorHAnsi" w:cstheme="majorHAnsi"/>
          <w:color w:val="546421" w:themeColor="accent6" w:themeShade="80"/>
          <w:sz w:val="32"/>
          <w:szCs w:val="28"/>
        </w:rPr>
        <w:t xml:space="preserve">GUA POTABLE </w:t>
      </w:r>
      <w:r>
        <w:rPr>
          <w:rFonts w:asciiTheme="majorHAnsi" w:eastAsiaTheme="majorEastAsia" w:hAnsiTheme="majorHAnsi" w:cstheme="majorHAnsi"/>
          <w:color w:val="546421" w:themeColor="accent6" w:themeShade="80"/>
          <w:sz w:val="32"/>
          <w:szCs w:val="28"/>
        </w:rPr>
        <w:t xml:space="preserve">GRATIS - </w:t>
      </w:r>
      <w:r w:rsidR="00875E59" w:rsidRPr="00875E59">
        <w:rPr>
          <w:rFonts w:asciiTheme="majorHAnsi" w:eastAsiaTheme="majorEastAsia" w:hAnsiTheme="majorHAnsi" w:cstheme="majorHAnsi"/>
          <w:color w:val="546421" w:themeColor="accent6" w:themeShade="80"/>
          <w:sz w:val="32"/>
          <w:szCs w:val="28"/>
        </w:rPr>
        <w:t>Hostelería y eventos</w:t>
      </w:r>
    </w:p>
    <w:p w14:paraId="3554AD76" w14:textId="35884E48" w:rsidR="00875E59" w:rsidRDefault="00875E59" w:rsidP="00875E59">
      <w:pPr>
        <w:jc w:val="both"/>
        <w:rPr>
          <w:rFonts w:asciiTheme="majorHAnsi" w:hAnsiTheme="majorHAnsi" w:cstheme="majorHAnsi"/>
          <w:sz w:val="24"/>
        </w:rPr>
      </w:pPr>
      <w:r w:rsidRPr="00FC6260">
        <w:rPr>
          <w:rFonts w:asciiTheme="majorHAnsi" w:hAnsiTheme="majorHAnsi" w:cstheme="majorHAnsi"/>
          <w:sz w:val="24"/>
        </w:rPr>
        <w:t xml:space="preserve">Los establecimientos del sector de la hostelería y restauración ofrecerán siempre a los consumidores, clientes o usuarios de sus servicios, la posibilidad de </w:t>
      </w:r>
      <w:r w:rsidRPr="0011286C">
        <w:rPr>
          <w:rFonts w:asciiTheme="majorHAnsi" w:hAnsiTheme="majorHAnsi" w:cstheme="majorHAnsi"/>
          <w:b/>
          <w:sz w:val="24"/>
        </w:rPr>
        <w:t>consumo de agua no envasada de manera gratuita</w:t>
      </w:r>
      <w:r w:rsidRPr="00FC6260">
        <w:rPr>
          <w:rFonts w:asciiTheme="majorHAnsi" w:hAnsiTheme="majorHAnsi" w:cstheme="majorHAnsi"/>
          <w:sz w:val="24"/>
        </w:rPr>
        <w:t xml:space="preserve"> y complementaria a la oferta del mismo establecimiento.</w:t>
      </w:r>
    </w:p>
    <w:p w14:paraId="492FF593" w14:textId="31351248" w:rsidR="0011286C" w:rsidRDefault="0011286C" w:rsidP="00875E59">
      <w:pPr>
        <w:jc w:val="both"/>
        <w:rPr>
          <w:rFonts w:asciiTheme="majorHAnsi" w:hAnsiTheme="majorHAnsi" w:cstheme="majorHAnsi"/>
          <w:sz w:val="24"/>
        </w:rPr>
      </w:pPr>
      <w:r>
        <w:rPr>
          <w:rFonts w:asciiTheme="majorHAnsi" w:hAnsiTheme="majorHAnsi" w:cstheme="majorHAnsi"/>
          <w:sz w:val="24"/>
        </w:rPr>
        <w:t>Asimismo, las administraciones públicas fomentaran el consumo de agua potable con fuentes y envases reutilizables.</w:t>
      </w:r>
    </w:p>
    <w:p w14:paraId="0C8F6468" w14:textId="4AF588CB" w:rsidR="00875E59" w:rsidRPr="00FC6260" w:rsidRDefault="00875E59" w:rsidP="00875E59">
      <w:pPr>
        <w:jc w:val="both"/>
        <w:rPr>
          <w:rFonts w:asciiTheme="majorHAnsi" w:hAnsiTheme="majorHAnsi" w:cstheme="majorHAnsi"/>
          <w:sz w:val="24"/>
        </w:rPr>
      </w:pPr>
      <w:r w:rsidRPr="00FC6260">
        <w:rPr>
          <w:rFonts w:asciiTheme="majorHAnsi" w:hAnsiTheme="majorHAnsi" w:cstheme="majorHAnsi"/>
          <w:sz w:val="24"/>
        </w:rPr>
        <w:t>Por otro lado, los promotores de eventos festivos,</w:t>
      </w:r>
      <w:r>
        <w:rPr>
          <w:rFonts w:asciiTheme="majorHAnsi" w:hAnsiTheme="majorHAnsi" w:cstheme="majorHAnsi"/>
          <w:sz w:val="24"/>
        </w:rPr>
        <w:t xml:space="preserve"> culturales o deportivos, desde </w:t>
      </w:r>
      <w:r w:rsidRPr="00FC6260">
        <w:rPr>
          <w:rFonts w:asciiTheme="majorHAnsi" w:hAnsiTheme="majorHAnsi" w:cstheme="majorHAnsi"/>
          <w:sz w:val="24"/>
        </w:rPr>
        <w:t xml:space="preserve">el 1 de julio de 2023, implantarán alternativas a la venta y distribución de bebidas en envases y vasos de un solo uso, garantizando además </w:t>
      </w:r>
      <w:r w:rsidRPr="0011286C">
        <w:rPr>
          <w:rFonts w:asciiTheme="majorHAnsi" w:hAnsiTheme="majorHAnsi" w:cstheme="majorHAnsi"/>
          <w:b/>
          <w:sz w:val="24"/>
        </w:rPr>
        <w:t>el acceso a agua potable no envasada.</w:t>
      </w:r>
      <w:r w:rsidRPr="00FC6260">
        <w:rPr>
          <w:rFonts w:asciiTheme="majorHAnsi" w:hAnsiTheme="majorHAnsi" w:cstheme="majorHAnsi"/>
          <w:sz w:val="24"/>
        </w:rPr>
        <w:t xml:space="preserve"> </w:t>
      </w:r>
    </w:p>
    <w:p w14:paraId="2DED2475" w14:textId="7D9C699A" w:rsidR="000D26AB" w:rsidRDefault="000D26AB" w:rsidP="0016386A">
      <w:pPr>
        <w:jc w:val="both"/>
        <w:rPr>
          <w:rFonts w:asciiTheme="majorHAnsi" w:hAnsiTheme="majorHAnsi" w:cstheme="majorHAnsi"/>
          <w:color w:val="546421" w:themeColor="accent6" w:themeShade="80"/>
          <w:sz w:val="24"/>
        </w:rPr>
      </w:pPr>
    </w:p>
    <w:p w14:paraId="748C35A0" w14:textId="41F21E8E" w:rsidR="000D26AB" w:rsidRDefault="000D26AB" w:rsidP="0016386A">
      <w:pPr>
        <w:jc w:val="both"/>
        <w:rPr>
          <w:rFonts w:asciiTheme="majorHAnsi" w:hAnsiTheme="majorHAnsi" w:cstheme="majorHAnsi"/>
          <w:color w:val="546421" w:themeColor="accent6" w:themeShade="80"/>
          <w:sz w:val="24"/>
        </w:rPr>
      </w:pPr>
    </w:p>
    <w:p w14:paraId="008B08ED" w14:textId="70E22FAE" w:rsidR="000D26AB" w:rsidRDefault="000D26AB" w:rsidP="0016386A">
      <w:pPr>
        <w:jc w:val="both"/>
        <w:rPr>
          <w:rFonts w:asciiTheme="majorHAnsi" w:hAnsiTheme="majorHAnsi" w:cstheme="majorHAnsi"/>
          <w:color w:val="546421" w:themeColor="accent6" w:themeShade="80"/>
          <w:sz w:val="24"/>
        </w:rPr>
      </w:pPr>
    </w:p>
    <w:p w14:paraId="304C2046" w14:textId="737ED865" w:rsidR="000D26AB" w:rsidRDefault="000D26AB" w:rsidP="0016386A">
      <w:pPr>
        <w:jc w:val="both"/>
        <w:rPr>
          <w:rFonts w:asciiTheme="majorHAnsi" w:hAnsiTheme="majorHAnsi" w:cstheme="majorHAnsi"/>
          <w:color w:val="546421" w:themeColor="accent6" w:themeShade="80"/>
          <w:sz w:val="24"/>
        </w:rPr>
      </w:pPr>
    </w:p>
    <w:p w14:paraId="64409905" w14:textId="1D3B3840" w:rsidR="000D26AB" w:rsidRDefault="000D26AB" w:rsidP="0016386A">
      <w:pPr>
        <w:jc w:val="both"/>
        <w:rPr>
          <w:rFonts w:asciiTheme="majorHAnsi" w:hAnsiTheme="majorHAnsi" w:cstheme="majorHAnsi"/>
          <w:color w:val="546421" w:themeColor="accent6" w:themeShade="80"/>
          <w:sz w:val="24"/>
        </w:rPr>
      </w:pPr>
    </w:p>
    <w:p w14:paraId="03E9A427" w14:textId="354B28C9" w:rsidR="000D26AB" w:rsidRDefault="000D26AB" w:rsidP="0016386A">
      <w:pPr>
        <w:jc w:val="both"/>
        <w:rPr>
          <w:rFonts w:asciiTheme="majorHAnsi" w:hAnsiTheme="majorHAnsi" w:cstheme="majorHAnsi"/>
          <w:color w:val="546421" w:themeColor="accent6" w:themeShade="80"/>
          <w:sz w:val="24"/>
        </w:rPr>
      </w:pPr>
    </w:p>
    <w:p w14:paraId="1F687ED6" w14:textId="06D6AD17" w:rsidR="000D26AB" w:rsidRDefault="000D26AB" w:rsidP="0016386A">
      <w:pPr>
        <w:jc w:val="both"/>
        <w:rPr>
          <w:rFonts w:asciiTheme="majorHAnsi" w:hAnsiTheme="majorHAnsi" w:cstheme="majorHAnsi"/>
          <w:color w:val="546421" w:themeColor="accent6" w:themeShade="80"/>
          <w:sz w:val="24"/>
        </w:rPr>
      </w:pPr>
    </w:p>
    <w:p w14:paraId="74BAFA8F" w14:textId="442B2A6C" w:rsidR="000D26AB" w:rsidRDefault="000D26AB" w:rsidP="0016386A">
      <w:pPr>
        <w:jc w:val="both"/>
        <w:rPr>
          <w:rFonts w:asciiTheme="majorHAnsi" w:hAnsiTheme="majorHAnsi" w:cstheme="majorHAnsi"/>
          <w:color w:val="546421" w:themeColor="accent6" w:themeShade="80"/>
          <w:sz w:val="24"/>
        </w:rPr>
      </w:pPr>
    </w:p>
    <w:p w14:paraId="47074F6B" w14:textId="7E7EA212" w:rsidR="000D26AB" w:rsidRDefault="000D26AB" w:rsidP="0016386A">
      <w:pPr>
        <w:jc w:val="both"/>
        <w:rPr>
          <w:rFonts w:asciiTheme="majorHAnsi" w:hAnsiTheme="majorHAnsi" w:cstheme="majorHAnsi"/>
          <w:color w:val="546421" w:themeColor="accent6" w:themeShade="80"/>
          <w:sz w:val="24"/>
        </w:rPr>
      </w:pPr>
    </w:p>
    <w:p w14:paraId="5B1C8373" w14:textId="6FEBB6CE" w:rsidR="000D26AB" w:rsidRDefault="000D26AB" w:rsidP="0016386A">
      <w:pPr>
        <w:jc w:val="both"/>
        <w:rPr>
          <w:rFonts w:asciiTheme="majorHAnsi" w:hAnsiTheme="majorHAnsi" w:cstheme="majorHAnsi"/>
          <w:color w:val="546421" w:themeColor="accent6" w:themeShade="80"/>
          <w:sz w:val="24"/>
        </w:rPr>
      </w:pPr>
    </w:p>
    <w:p w14:paraId="40D0E97B" w14:textId="2999FC36" w:rsidR="000D26AB" w:rsidRDefault="000D26AB" w:rsidP="0016386A">
      <w:pPr>
        <w:jc w:val="both"/>
        <w:rPr>
          <w:rFonts w:asciiTheme="majorHAnsi" w:hAnsiTheme="majorHAnsi" w:cstheme="majorHAnsi"/>
          <w:color w:val="546421" w:themeColor="accent6" w:themeShade="80"/>
          <w:sz w:val="24"/>
        </w:rPr>
      </w:pPr>
    </w:p>
    <w:p w14:paraId="136D6602" w14:textId="66EF0BA7" w:rsidR="000D26AB" w:rsidRDefault="000D26AB" w:rsidP="0016386A">
      <w:pPr>
        <w:jc w:val="both"/>
        <w:rPr>
          <w:rFonts w:asciiTheme="majorHAnsi" w:hAnsiTheme="majorHAnsi" w:cstheme="majorHAnsi"/>
          <w:color w:val="546421" w:themeColor="accent6" w:themeShade="80"/>
          <w:sz w:val="24"/>
        </w:rPr>
      </w:pPr>
    </w:p>
    <w:p w14:paraId="7B9EF6F5" w14:textId="1C75076C" w:rsidR="000D26AB" w:rsidRDefault="000D26AB" w:rsidP="0016386A">
      <w:pPr>
        <w:jc w:val="both"/>
        <w:rPr>
          <w:rFonts w:asciiTheme="majorHAnsi" w:hAnsiTheme="majorHAnsi" w:cstheme="majorHAnsi"/>
          <w:color w:val="546421" w:themeColor="accent6" w:themeShade="80"/>
          <w:sz w:val="24"/>
        </w:rPr>
      </w:pPr>
    </w:p>
    <w:p w14:paraId="50AA7BCC" w14:textId="375C187A" w:rsidR="000D26AB" w:rsidRDefault="000D26AB" w:rsidP="0016386A">
      <w:pPr>
        <w:jc w:val="both"/>
        <w:rPr>
          <w:rFonts w:asciiTheme="majorHAnsi" w:hAnsiTheme="majorHAnsi" w:cstheme="majorHAnsi"/>
          <w:color w:val="546421" w:themeColor="accent6" w:themeShade="80"/>
          <w:sz w:val="24"/>
        </w:rPr>
      </w:pPr>
    </w:p>
    <w:p w14:paraId="6323D237" w14:textId="70447646" w:rsidR="000D26AB" w:rsidRDefault="000D26AB" w:rsidP="0016386A">
      <w:pPr>
        <w:jc w:val="both"/>
        <w:rPr>
          <w:rFonts w:asciiTheme="majorHAnsi" w:hAnsiTheme="majorHAnsi" w:cstheme="majorHAnsi"/>
          <w:color w:val="546421" w:themeColor="accent6" w:themeShade="80"/>
          <w:sz w:val="24"/>
        </w:rPr>
      </w:pPr>
    </w:p>
    <w:p w14:paraId="0D7A43A9" w14:textId="268250FC" w:rsidR="000D26AB" w:rsidRDefault="000D26AB" w:rsidP="0016386A">
      <w:pPr>
        <w:jc w:val="both"/>
        <w:rPr>
          <w:rFonts w:asciiTheme="majorHAnsi" w:hAnsiTheme="majorHAnsi" w:cstheme="majorHAnsi"/>
          <w:color w:val="546421" w:themeColor="accent6" w:themeShade="80"/>
          <w:sz w:val="24"/>
        </w:rPr>
      </w:pPr>
    </w:p>
    <w:p w14:paraId="70699BED" w14:textId="61DE9B37" w:rsidR="000D26AB" w:rsidRDefault="000D26AB" w:rsidP="0016386A">
      <w:pPr>
        <w:jc w:val="both"/>
        <w:rPr>
          <w:rFonts w:asciiTheme="majorHAnsi" w:hAnsiTheme="majorHAnsi" w:cstheme="majorHAnsi"/>
          <w:color w:val="546421" w:themeColor="accent6" w:themeShade="80"/>
          <w:sz w:val="24"/>
        </w:rPr>
      </w:pPr>
    </w:p>
    <w:p w14:paraId="33F56E17" w14:textId="3ACA5642" w:rsidR="00875E59" w:rsidRDefault="00875E59" w:rsidP="0016386A">
      <w:pPr>
        <w:jc w:val="both"/>
        <w:rPr>
          <w:rFonts w:asciiTheme="majorHAnsi" w:hAnsiTheme="majorHAnsi" w:cstheme="majorHAnsi"/>
          <w:color w:val="546421" w:themeColor="accent6" w:themeShade="80"/>
          <w:sz w:val="24"/>
        </w:rPr>
      </w:pPr>
    </w:p>
    <w:p w14:paraId="7F5BFF7C" w14:textId="7B66A030" w:rsidR="00875E59" w:rsidRDefault="00875E59" w:rsidP="0016386A">
      <w:pPr>
        <w:jc w:val="both"/>
        <w:rPr>
          <w:rFonts w:asciiTheme="majorHAnsi" w:hAnsiTheme="majorHAnsi" w:cstheme="majorHAnsi"/>
          <w:color w:val="546421" w:themeColor="accent6" w:themeShade="80"/>
          <w:sz w:val="24"/>
        </w:rPr>
      </w:pPr>
    </w:p>
    <w:p w14:paraId="05390779" w14:textId="628F3090" w:rsidR="00875E59" w:rsidRDefault="00875E59" w:rsidP="0016386A">
      <w:pPr>
        <w:jc w:val="both"/>
        <w:rPr>
          <w:rFonts w:asciiTheme="majorHAnsi" w:hAnsiTheme="majorHAnsi" w:cstheme="majorHAnsi"/>
          <w:color w:val="546421" w:themeColor="accent6" w:themeShade="80"/>
          <w:sz w:val="24"/>
        </w:rPr>
      </w:pPr>
    </w:p>
    <w:p w14:paraId="2A47003F" w14:textId="77777777" w:rsidR="0011286C" w:rsidRPr="00FC6260" w:rsidRDefault="0011286C" w:rsidP="0016386A">
      <w:pPr>
        <w:jc w:val="both"/>
        <w:rPr>
          <w:rFonts w:asciiTheme="majorHAnsi" w:hAnsiTheme="majorHAnsi" w:cstheme="majorHAnsi"/>
          <w:color w:val="546421" w:themeColor="accent6" w:themeShade="80"/>
          <w:sz w:val="24"/>
        </w:rPr>
      </w:pPr>
    </w:p>
    <w:tbl>
      <w:tblPr>
        <w:tblStyle w:val="Tablaconcuadrcula"/>
        <w:tblW w:w="0" w:type="auto"/>
        <w:tblLook w:val="04A0" w:firstRow="1" w:lastRow="0" w:firstColumn="1" w:lastColumn="0" w:noHBand="0" w:noVBand="1"/>
      </w:tblPr>
      <w:tblGrid>
        <w:gridCol w:w="8494"/>
      </w:tblGrid>
      <w:tr w:rsidR="000D26AB" w14:paraId="7C6D9E9A" w14:textId="77777777" w:rsidTr="000D26AB">
        <w:tc>
          <w:tcPr>
            <w:tcW w:w="8494" w:type="dxa"/>
            <w:tcBorders>
              <w:top w:val="nil"/>
              <w:left w:val="nil"/>
              <w:bottom w:val="single" w:sz="4" w:space="0" w:color="auto"/>
              <w:right w:val="nil"/>
            </w:tcBorders>
            <w:shd w:val="clear" w:color="auto" w:fill="ECF2DA" w:themeFill="accent6" w:themeFillTint="33"/>
          </w:tcPr>
          <w:p w14:paraId="52680AA8" w14:textId="7E3AA7AA" w:rsidR="000D26AB" w:rsidRDefault="000D26AB" w:rsidP="000D26AB">
            <w:pPr>
              <w:jc w:val="center"/>
              <w:rPr>
                <w:rFonts w:asciiTheme="majorHAnsi" w:eastAsiaTheme="majorEastAsia" w:hAnsiTheme="majorHAnsi" w:cstheme="majorHAnsi"/>
                <w:color w:val="546421" w:themeColor="accent6" w:themeShade="80"/>
                <w:sz w:val="36"/>
                <w:szCs w:val="32"/>
              </w:rPr>
            </w:pPr>
            <w:r w:rsidRPr="00FC6260">
              <w:rPr>
                <w:rFonts w:asciiTheme="majorHAnsi" w:eastAsiaTheme="majorEastAsia" w:hAnsiTheme="majorHAnsi" w:cstheme="majorHAnsi"/>
                <w:color w:val="546421" w:themeColor="accent6" w:themeShade="80"/>
                <w:sz w:val="36"/>
                <w:szCs w:val="32"/>
              </w:rPr>
              <w:lastRenderedPageBreak/>
              <w:t>CONTROL</w:t>
            </w:r>
            <w:r>
              <w:rPr>
                <w:rFonts w:asciiTheme="majorHAnsi" w:eastAsiaTheme="majorEastAsia" w:hAnsiTheme="majorHAnsi" w:cstheme="majorHAnsi"/>
                <w:color w:val="546421" w:themeColor="accent6" w:themeShade="80"/>
                <w:sz w:val="36"/>
                <w:szCs w:val="32"/>
              </w:rPr>
              <w:t xml:space="preserve"> E</w:t>
            </w:r>
            <w:r w:rsidRPr="00FC6260">
              <w:rPr>
                <w:rFonts w:asciiTheme="majorHAnsi" w:eastAsiaTheme="majorEastAsia" w:hAnsiTheme="majorHAnsi" w:cstheme="majorHAnsi"/>
                <w:color w:val="546421" w:themeColor="accent6" w:themeShade="80"/>
                <w:sz w:val="36"/>
                <w:szCs w:val="32"/>
              </w:rPr>
              <w:t xml:space="preserve"> INSPECCIÓN</w:t>
            </w:r>
          </w:p>
        </w:tc>
      </w:tr>
    </w:tbl>
    <w:p w14:paraId="2F714F03" w14:textId="77777777" w:rsidR="000D26AB" w:rsidRDefault="000D26AB" w:rsidP="0016386A">
      <w:pPr>
        <w:jc w:val="both"/>
        <w:rPr>
          <w:rFonts w:asciiTheme="majorHAnsi" w:hAnsiTheme="majorHAnsi" w:cstheme="majorHAnsi"/>
          <w:sz w:val="24"/>
        </w:rPr>
      </w:pPr>
    </w:p>
    <w:p w14:paraId="4AB65582" w14:textId="2B3F1E11" w:rsidR="0016386A" w:rsidRDefault="0016386A" w:rsidP="0016386A">
      <w:pPr>
        <w:jc w:val="both"/>
        <w:rPr>
          <w:rFonts w:asciiTheme="majorHAnsi" w:hAnsiTheme="majorHAnsi" w:cstheme="majorHAnsi"/>
          <w:sz w:val="24"/>
        </w:rPr>
      </w:pPr>
      <w:r w:rsidRPr="00780FEF">
        <w:rPr>
          <w:rFonts w:asciiTheme="majorHAnsi" w:hAnsiTheme="majorHAnsi" w:cstheme="majorHAnsi"/>
          <w:sz w:val="24"/>
        </w:rPr>
        <w:t>Las administraciones públicas competentes, incluyendo las fuerzas y cuerpos de seguridad, cuando debido a su cometido deban proceder a las tareas de control, vigilancia e inspección, efectuarán los oportunos controles e inspecciones para verificar la aplicación correcta de</w:t>
      </w:r>
      <w:r>
        <w:rPr>
          <w:rFonts w:asciiTheme="majorHAnsi" w:hAnsiTheme="majorHAnsi" w:cstheme="majorHAnsi"/>
          <w:sz w:val="24"/>
        </w:rPr>
        <w:t xml:space="preserve"> las medidas descritas en el presente manual. </w:t>
      </w:r>
    </w:p>
    <w:p w14:paraId="4FFB402E" w14:textId="6E8ADE03" w:rsidR="0016386A" w:rsidRDefault="0016386A" w:rsidP="0016386A">
      <w:pPr>
        <w:jc w:val="both"/>
        <w:rPr>
          <w:rFonts w:asciiTheme="majorHAnsi" w:hAnsiTheme="majorHAnsi" w:cstheme="majorHAnsi"/>
          <w:sz w:val="24"/>
        </w:rPr>
      </w:pPr>
      <w:r w:rsidRPr="00780FEF">
        <w:rPr>
          <w:rFonts w:asciiTheme="majorHAnsi" w:hAnsiTheme="majorHAnsi" w:cstheme="majorHAnsi"/>
          <w:sz w:val="24"/>
        </w:rPr>
        <w:t xml:space="preserve">La autoridad competente podrá comprobar en cualquier momento que los sistemas de responsabilidad ampliada del productor cumplen las previsiones incorporadas en la comunicación presentada o las condiciones de la autorización otorgada, según lo previsto en </w:t>
      </w:r>
      <w:r>
        <w:rPr>
          <w:rFonts w:asciiTheme="majorHAnsi" w:hAnsiTheme="majorHAnsi" w:cstheme="majorHAnsi"/>
          <w:sz w:val="24"/>
        </w:rPr>
        <w:t>la normativa de aplicación, en este caso</w:t>
      </w:r>
      <w:r w:rsidRPr="00780FEF">
        <w:t xml:space="preserve"> </w:t>
      </w:r>
      <w:r>
        <w:rPr>
          <w:rFonts w:asciiTheme="majorHAnsi" w:hAnsiTheme="majorHAnsi" w:cstheme="majorHAnsi"/>
          <w:sz w:val="24"/>
        </w:rPr>
        <w:t>El Real Decreto</w:t>
      </w:r>
      <w:r w:rsidRPr="00780FEF">
        <w:rPr>
          <w:rFonts w:asciiTheme="majorHAnsi" w:hAnsiTheme="majorHAnsi" w:cstheme="majorHAnsi"/>
          <w:sz w:val="24"/>
        </w:rPr>
        <w:t xml:space="preserve"> 1055/2022, </w:t>
      </w:r>
      <w:r>
        <w:rPr>
          <w:rFonts w:asciiTheme="majorHAnsi" w:hAnsiTheme="majorHAnsi" w:cstheme="majorHAnsi"/>
          <w:sz w:val="24"/>
        </w:rPr>
        <w:t>de</w:t>
      </w:r>
      <w:r w:rsidRPr="00780FEF">
        <w:rPr>
          <w:rFonts w:asciiTheme="majorHAnsi" w:hAnsiTheme="majorHAnsi" w:cstheme="majorHAnsi"/>
          <w:sz w:val="24"/>
        </w:rPr>
        <w:t xml:space="preserve"> 27 </w:t>
      </w:r>
      <w:r>
        <w:rPr>
          <w:rFonts w:asciiTheme="majorHAnsi" w:hAnsiTheme="majorHAnsi" w:cstheme="majorHAnsi"/>
          <w:sz w:val="24"/>
        </w:rPr>
        <w:t xml:space="preserve">de diciembre, de envases y residuos de envases. </w:t>
      </w:r>
    </w:p>
    <w:p w14:paraId="60741E89" w14:textId="77777777" w:rsidR="000D26AB" w:rsidRDefault="000D26AB" w:rsidP="0016386A">
      <w:pPr>
        <w:jc w:val="both"/>
        <w:rPr>
          <w:rFonts w:asciiTheme="majorHAnsi" w:hAnsiTheme="majorHAnsi" w:cstheme="majorHAnsi"/>
          <w:sz w:val="24"/>
        </w:rPr>
      </w:pPr>
    </w:p>
    <w:tbl>
      <w:tblPr>
        <w:tblStyle w:val="Tablaconcuadrcula"/>
        <w:tblW w:w="0" w:type="auto"/>
        <w:tblLook w:val="04A0" w:firstRow="1" w:lastRow="0" w:firstColumn="1" w:lastColumn="0" w:noHBand="0" w:noVBand="1"/>
      </w:tblPr>
      <w:tblGrid>
        <w:gridCol w:w="8494"/>
      </w:tblGrid>
      <w:tr w:rsidR="000D26AB" w14:paraId="7FFE765D" w14:textId="77777777" w:rsidTr="000D26AB">
        <w:tc>
          <w:tcPr>
            <w:tcW w:w="8494" w:type="dxa"/>
            <w:tcBorders>
              <w:top w:val="nil"/>
              <w:left w:val="nil"/>
              <w:bottom w:val="single" w:sz="4" w:space="0" w:color="auto"/>
              <w:right w:val="nil"/>
            </w:tcBorders>
            <w:shd w:val="clear" w:color="auto" w:fill="ECF2DA" w:themeFill="accent6" w:themeFillTint="33"/>
          </w:tcPr>
          <w:p w14:paraId="749129D3" w14:textId="0A154F2B" w:rsidR="000D26AB" w:rsidRDefault="000D26AB" w:rsidP="000D26AB">
            <w:pPr>
              <w:jc w:val="center"/>
              <w:rPr>
                <w:rFonts w:asciiTheme="majorHAnsi" w:eastAsiaTheme="majorEastAsia" w:hAnsiTheme="majorHAnsi" w:cstheme="majorHAnsi"/>
                <w:color w:val="546421" w:themeColor="accent6" w:themeShade="80"/>
                <w:sz w:val="36"/>
                <w:szCs w:val="32"/>
              </w:rPr>
            </w:pPr>
            <w:r w:rsidRPr="00FC6260">
              <w:rPr>
                <w:rFonts w:asciiTheme="majorHAnsi" w:eastAsiaTheme="majorEastAsia" w:hAnsiTheme="majorHAnsi" w:cstheme="majorHAnsi"/>
                <w:color w:val="546421" w:themeColor="accent6" w:themeShade="80"/>
                <w:sz w:val="36"/>
                <w:szCs w:val="32"/>
              </w:rPr>
              <w:t>RÉGIMEN SANCIONADOR</w:t>
            </w:r>
          </w:p>
        </w:tc>
      </w:tr>
    </w:tbl>
    <w:p w14:paraId="40E4BBA4" w14:textId="77777777" w:rsidR="000D26AB" w:rsidRDefault="000D26AB" w:rsidP="0016386A">
      <w:pPr>
        <w:jc w:val="both"/>
        <w:rPr>
          <w:rFonts w:asciiTheme="majorHAnsi" w:eastAsiaTheme="majorEastAsia" w:hAnsiTheme="majorHAnsi" w:cstheme="majorHAnsi"/>
          <w:color w:val="546421" w:themeColor="accent6" w:themeShade="80"/>
          <w:sz w:val="36"/>
          <w:szCs w:val="32"/>
        </w:rPr>
      </w:pPr>
    </w:p>
    <w:p w14:paraId="6BCD6475" w14:textId="77777777" w:rsidR="0016386A" w:rsidRDefault="0016386A" w:rsidP="0016386A">
      <w:pPr>
        <w:jc w:val="both"/>
        <w:rPr>
          <w:rFonts w:asciiTheme="majorHAnsi" w:hAnsiTheme="majorHAnsi" w:cstheme="majorHAnsi"/>
          <w:sz w:val="24"/>
        </w:rPr>
      </w:pPr>
      <w:r w:rsidRPr="00FC6260">
        <w:rPr>
          <w:rFonts w:asciiTheme="majorHAnsi" w:hAnsiTheme="majorHAnsi" w:cstheme="majorHAnsi"/>
          <w:sz w:val="24"/>
        </w:rPr>
        <w:t>Respecto al régimen sancionador aplicable a la ges</w:t>
      </w:r>
      <w:r>
        <w:rPr>
          <w:rFonts w:asciiTheme="majorHAnsi" w:hAnsiTheme="majorHAnsi" w:cstheme="majorHAnsi"/>
          <w:sz w:val="24"/>
        </w:rPr>
        <w:t xml:space="preserve">tión de residuos de envases, </w:t>
      </w:r>
      <w:r w:rsidRPr="00FC6260">
        <w:rPr>
          <w:rFonts w:asciiTheme="majorHAnsi" w:hAnsiTheme="majorHAnsi" w:cstheme="majorHAnsi"/>
          <w:sz w:val="24"/>
        </w:rPr>
        <w:t>dispone que los incumplimientos de las medidas anteriormente descritas serán sancionados de conformidad con lo establecido en la Ley 7/2022, de 8 de abril, así como en la Ley 21/1992, de 16 de julio, de industria, y el texto refundido de la Ley General para la Defensa de los Co</w:t>
      </w:r>
      <w:r>
        <w:rPr>
          <w:rFonts w:asciiTheme="majorHAnsi" w:hAnsiTheme="majorHAnsi" w:cstheme="majorHAnsi"/>
          <w:sz w:val="24"/>
        </w:rPr>
        <w:t>nsumidores y usuarios, en todo caso las sanciones económicas podrán oscilar entre estas cuantías en función de su gravedad:</w:t>
      </w:r>
    </w:p>
    <w:p w14:paraId="4193DD4E" w14:textId="77777777" w:rsidR="0016386A" w:rsidRDefault="0016386A" w:rsidP="0016386A">
      <w:pPr>
        <w:pStyle w:val="Prrafodelista"/>
        <w:numPr>
          <w:ilvl w:val="0"/>
          <w:numId w:val="1"/>
        </w:numPr>
        <w:jc w:val="both"/>
        <w:rPr>
          <w:rFonts w:asciiTheme="majorHAnsi" w:hAnsiTheme="majorHAnsi" w:cstheme="majorHAnsi"/>
          <w:sz w:val="24"/>
        </w:rPr>
      </w:pPr>
      <w:r>
        <w:rPr>
          <w:rFonts w:asciiTheme="majorHAnsi" w:hAnsiTheme="majorHAnsi" w:cstheme="majorHAnsi"/>
          <w:sz w:val="24"/>
        </w:rPr>
        <w:t>Sanciones por infracciones leves entre 600 y 2.000€</w:t>
      </w:r>
    </w:p>
    <w:p w14:paraId="609DDC77" w14:textId="77777777" w:rsidR="0016386A" w:rsidRDefault="0016386A" w:rsidP="0016386A">
      <w:pPr>
        <w:pStyle w:val="Prrafodelista"/>
        <w:numPr>
          <w:ilvl w:val="0"/>
          <w:numId w:val="1"/>
        </w:numPr>
        <w:jc w:val="both"/>
        <w:rPr>
          <w:rFonts w:asciiTheme="majorHAnsi" w:hAnsiTheme="majorHAnsi" w:cstheme="majorHAnsi"/>
          <w:sz w:val="24"/>
        </w:rPr>
      </w:pPr>
      <w:r>
        <w:rPr>
          <w:rFonts w:asciiTheme="majorHAnsi" w:hAnsiTheme="majorHAnsi" w:cstheme="majorHAnsi"/>
          <w:sz w:val="24"/>
        </w:rPr>
        <w:t>Sanciones por infracciones graves, entre 2.001 y 100.000€</w:t>
      </w:r>
    </w:p>
    <w:p w14:paraId="231FA6FC" w14:textId="77777777" w:rsidR="0016386A" w:rsidRPr="00DD7DB1" w:rsidRDefault="0016386A" w:rsidP="0016386A">
      <w:pPr>
        <w:pStyle w:val="Prrafodelista"/>
        <w:numPr>
          <w:ilvl w:val="0"/>
          <w:numId w:val="1"/>
        </w:numPr>
        <w:jc w:val="both"/>
        <w:rPr>
          <w:rFonts w:asciiTheme="majorHAnsi" w:hAnsiTheme="majorHAnsi" w:cstheme="majorHAnsi"/>
          <w:sz w:val="24"/>
        </w:rPr>
      </w:pPr>
      <w:r>
        <w:rPr>
          <w:rFonts w:asciiTheme="majorHAnsi" w:hAnsiTheme="majorHAnsi" w:cstheme="majorHAnsi"/>
          <w:sz w:val="24"/>
        </w:rPr>
        <w:t>Sanciones por infracciones muy graves, entre 100.001 y 3.500.000€</w:t>
      </w:r>
    </w:p>
    <w:p w14:paraId="1055DEA7" w14:textId="77777777" w:rsidR="0016386A" w:rsidRDefault="0016386A" w:rsidP="0016386A">
      <w:pPr>
        <w:jc w:val="both"/>
      </w:pPr>
    </w:p>
    <w:p w14:paraId="494B5C9F" w14:textId="77777777" w:rsidR="0016386A" w:rsidRDefault="0016386A" w:rsidP="0016386A"/>
    <w:p w14:paraId="684C447A" w14:textId="1409F045" w:rsidR="00003CAA" w:rsidRDefault="00000000"/>
    <w:p w14:paraId="5C53330C" w14:textId="244BA41E" w:rsidR="00EE0FEB" w:rsidRDefault="00EE0FEB"/>
    <w:p w14:paraId="100E8F35" w14:textId="32C1EB0C" w:rsidR="00EE0FEB" w:rsidRPr="00FC6260" w:rsidRDefault="00EE0FEB" w:rsidP="00EE0FEB">
      <w:pPr>
        <w:jc w:val="both"/>
        <w:rPr>
          <w:rFonts w:asciiTheme="majorHAnsi" w:hAnsiTheme="majorHAnsi" w:cstheme="majorHAnsi"/>
          <w:sz w:val="24"/>
        </w:rPr>
      </w:pPr>
    </w:p>
    <w:p w14:paraId="2A0A197C" w14:textId="77777777" w:rsidR="00EE0FEB" w:rsidRDefault="00EE0FEB"/>
    <w:sectPr w:rsidR="00EE0FEB" w:rsidSect="006544EC">
      <w:footerReference w:type="default" r:id="rId9"/>
      <w:pgSz w:w="11906" w:h="16838"/>
      <w:pgMar w:top="1417" w:right="1701" w:bottom="1417" w:left="1701" w:header="708" w:footer="708" w:gutter="0"/>
      <w:pgBorders w:display="firstPage" w:offsetFrom="page">
        <w:top w:val="thinThickThinMediumGap" w:sz="18" w:space="24" w:color="546421" w:themeColor="accent6" w:themeShade="80"/>
        <w:left w:val="thinThickThinMediumGap" w:sz="18" w:space="24" w:color="546421" w:themeColor="accent6" w:themeShade="80"/>
        <w:bottom w:val="thinThickThinMediumGap" w:sz="18" w:space="24" w:color="546421" w:themeColor="accent6" w:themeShade="80"/>
        <w:right w:val="thinThickThinMediumGap" w:sz="18" w:space="24" w:color="546421" w:themeColor="accent6" w:themeShade="8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8DDFA" w14:textId="77777777" w:rsidR="005E67F6" w:rsidRDefault="005E67F6">
      <w:pPr>
        <w:spacing w:after="0" w:line="240" w:lineRule="auto"/>
      </w:pPr>
      <w:r>
        <w:separator/>
      </w:r>
    </w:p>
  </w:endnote>
  <w:endnote w:type="continuationSeparator" w:id="0">
    <w:p w14:paraId="451F3146" w14:textId="77777777" w:rsidR="005E67F6" w:rsidRDefault="005E6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Engravers MT">
    <w:panose1 w:val="02090707080505020304"/>
    <w:charset w:val="00"/>
    <w:family w:val="roman"/>
    <w:pitch w:val="variable"/>
    <w:sig w:usb0="00000003" w:usb1="00000000" w:usb2="00000000" w:usb3="00000000" w:csb0="00000001" w:csb1="00000000"/>
  </w:font>
  <w:font w:name="Arimo">
    <w:altName w:val="Calibri"/>
    <w:panose1 w:val="020B0604020202020204"/>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2976954"/>
      <w:docPartObj>
        <w:docPartGallery w:val="Page Numbers (Bottom of Page)"/>
        <w:docPartUnique/>
      </w:docPartObj>
    </w:sdtPr>
    <w:sdtContent>
      <w:p w14:paraId="073F4AF2" w14:textId="77777777" w:rsidR="00F26AC6" w:rsidRDefault="000D26AB">
        <w:pPr>
          <w:pStyle w:val="Piedepgina"/>
        </w:pPr>
        <w:r>
          <w:rPr>
            <w:noProof/>
            <w:lang w:eastAsia="es-ES"/>
          </w:rPr>
          <mc:AlternateContent>
            <mc:Choice Requires="wps">
              <w:drawing>
                <wp:anchor distT="0" distB="0" distL="114300" distR="114300" simplePos="0" relativeHeight="251659264" behindDoc="0" locked="0" layoutInCell="1" allowOverlap="1" wp14:anchorId="62ABAE6F" wp14:editId="6F4FD501">
                  <wp:simplePos x="0" y="0"/>
                  <wp:positionH relativeFrom="rightMargin">
                    <wp:align>center</wp:align>
                  </wp:positionH>
                  <wp:positionV relativeFrom="bottomMargin">
                    <wp:align>center</wp:align>
                  </wp:positionV>
                  <wp:extent cx="565785" cy="19177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B2D2330" w14:textId="5C2DC2C6" w:rsidR="00F26AC6" w:rsidRPr="00F26AC6" w:rsidRDefault="000D26AB">
                              <w:pPr>
                                <w:pBdr>
                                  <w:top w:val="single" w:sz="4" w:space="1" w:color="7F7F7F" w:themeColor="background1" w:themeShade="7F"/>
                                </w:pBdr>
                                <w:jc w:val="center"/>
                                <w:rPr>
                                  <w:color w:val="546421" w:themeColor="accent6" w:themeShade="80"/>
                                </w:rPr>
                              </w:pPr>
                              <w:r w:rsidRPr="00F26AC6">
                                <w:rPr>
                                  <w:color w:val="546421" w:themeColor="accent6" w:themeShade="80"/>
                                </w:rPr>
                                <w:fldChar w:fldCharType="begin"/>
                              </w:r>
                              <w:r w:rsidRPr="00F26AC6">
                                <w:rPr>
                                  <w:color w:val="546421" w:themeColor="accent6" w:themeShade="80"/>
                                </w:rPr>
                                <w:instrText>PAGE   \* MERGEFORMAT</w:instrText>
                              </w:r>
                              <w:r w:rsidRPr="00F26AC6">
                                <w:rPr>
                                  <w:color w:val="546421" w:themeColor="accent6" w:themeShade="80"/>
                                </w:rPr>
                                <w:fldChar w:fldCharType="separate"/>
                              </w:r>
                              <w:r w:rsidR="00615EE8">
                                <w:rPr>
                                  <w:noProof/>
                                  <w:color w:val="546421" w:themeColor="accent6" w:themeShade="80"/>
                                </w:rPr>
                                <w:t>16</w:t>
                              </w:r>
                              <w:r w:rsidRPr="00F26AC6">
                                <w:rPr>
                                  <w:color w:val="546421" w:themeColor="accent6"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2ABAE6F" id="Rectángulo 1"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&#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wHD2C8sCAADDBQAADgAAAAAAAAAAAAAAAAAuAgAAZHJzL2Uyb0RvYy54bWxQSwEC&#10;LQAUAAYACAAAACEAI+V68dsAAAADAQAADwAAAAAAAAAAAAAAAAAlBQAAZHJzL2Rvd25yZXYueG1s&#10;UEsFBgAAAAAEAAQA8wAAAC0GAAAAAA==&#10;" filled="f" fillcolor="#c0504d" stroked="f" strokecolor="#5c83b4" strokeweight="2.25pt">
                  <v:textbox inset=",0,,0">
                    <w:txbxContent>
                      <w:p w14:paraId="6B2D2330" w14:textId="5C2DC2C6" w:rsidR="00F26AC6" w:rsidRPr="00F26AC6" w:rsidRDefault="000D26AB">
                        <w:pPr>
                          <w:pBdr>
                            <w:top w:val="single" w:sz="4" w:space="1" w:color="7F7F7F" w:themeColor="background1" w:themeShade="7F"/>
                          </w:pBdr>
                          <w:jc w:val="center"/>
                          <w:rPr>
                            <w:color w:val="546421" w:themeColor="accent6" w:themeShade="80"/>
                          </w:rPr>
                        </w:pPr>
                        <w:r w:rsidRPr="00F26AC6">
                          <w:rPr>
                            <w:color w:val="546421" w:themeColor="accent6" w:themeShade="80"/>
                          </w:rPr>
                          <w:fldChar w:fldCharType="begin"/>
                        </w:r>
                        <w:r w:rsidRPr="00F26AC6">
                          <w:rPr>
                            <w:color w:val="546421" w:themeColor="accent6" w:themeShade="80"/>
                          </w:rPr>
                          <w:instrText>PAGE   \* MERGEFORMAT</w:instrText>
                        </w:r>
                        <w:r w:rsidRPr="00F26AC6">
                          <w:rPr>
                            <w:color w:val="546421" w:themeColor="accent6" w:themeShade="80"/>
                          </w:rPr>
                          <w:fldChar w:fldCharType="separate"/>
                        </w:r>
                        <w:r w:rsidR="00615EE8">
                          <w:rPr>
                            <w:noProof/>
                            <w:color w:val="546421" w:themeColor="accent6" w:themeShade="80"/>
                          </w:rPr>
                          <w:t>16</w:t>
                        </w:r>
                        <w:r w:rsidRPr="00F26AC6">
                          <w:rPr>
                            <w:color w:val="546421" w:themeColor="accent6" w:themeShade="8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9858E" w14:textId="77777777" w:rsidR="005E67F6" w:rsidRDefault="005E67F6">
      <w:pPr>
        <w:spacing w:after="0" w:line="240" w:lineRule="auto"/>
      </w:pPr>
      <w:r>
        <w:separator/>
      </w:r>
    </w:p>
  </w:footnote>
  <w:footnote w:type="continuationSeparator" w:id="0">
    <w:p w14:paraId="1E66F9D3" w14:textId="77777777" w:rsidR="005E67F6" w:rsidRDefault="005E67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4489"/>
    <w:multiLevelType w:val="hybridMultilevel"/>
    <w:tmpl w:val="C1707246"/>
    <w:lvl w:ilvl="0" w:tplc="769E07CE">
      <w:start w:val="1"/>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2062B3"/>
    <w:multiLevelType w:val="hybridMultilevel"/>
    <w:tmpl w:val="78D03916"/>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C5456D"/>
    <w:multiLevelType w:val="hybridMultilevel"/>
    <w:tmpl w:val="81447B06"/>
    <w:lvl w:ilvl="0" w:tplc="9306FAD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74D19F6"/>
    <w:multiLevelType w:val="hybridMultilevel"/>
    <w:tmpl w:val="A8EA8F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7047105"/>
    <w:multiLevelType w:val="hybridMultilevel"/>
    <w:tmpl w:val="38321D62"/>
    <w:lvl w:ilvl="0" w:tplc="9306FAD6">
      <w:numFmt w:val="bullet"/>
      <w:lvlText w:val="-"/>
      <w:lvlJc w:val="left"/>
      <w:pPr>
        <w:ind w:left="720" w:hanging="360"/>
      </w:pPr>
      <w:rPr>
        <w:rFonts w:ascii="Calibri" w:eastAsiaTheme="minorHAnsi" w:hAnsi="Calibri" w:cs="Calibri" w:hint="default"/>
      </w:rPr>
    </w:lvl>
    <w:lvl w:ilvl="1" w:tplc="7FD480E6">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9B709B7"/>
    <w:multiLevelType w:val="hybridMultilevel"/>
    <w:tmpl w:val="BF6631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4281B28"/>
    <w:multiLevelType w:val="hybridMultilevel"/>
    <w:tmpl w:val="51BCEE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9F5357C"/>
    <w:multiLevelType w:val="hybridMultilevel"/>
    <w:tmpl w:val="1952C60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1495955885">
    <w:abstractNumId w:val="2"/>
  </w:num>
  <w:num w:numId="2" w16cid:durableId="2142575681">
    <w:abstractNumId w:val="1"/>
  </w:num>
  <w:num w:numId="3" w16cid:durableId="581987737">
    <w:abstractNumId w:val="3"/>
  </w:num>
  <w:num w:numId="4" w16cid:durableId="1454792406">
    <w:abstractNumId w:val="0"/>
  </w:num>
  <w:num w:numId="5" w16cid:durableId="782726834">
    <w:abstractNumId w:val="5"/>
  </w:num>
  <w:num w:numId="6" w16cid:durableId="1784297940">
    <w:abstractNumId w:val="6"/>
  </w:num>
  <w:num w:numId="7" w16cid:durableId="1703941046">
    <w:abstractNumId w:val="7"/>
  </w:num>
  <w:num w:numId="8" w16cid:durableId="2130832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6F8"/>
    <w:rsid w:val="000D26AB"/>
    <w:rsid w:val="000F25AB"/>
    <w:rsid w:val="000F51C8"/>
    <w:rsid w:val="0011286C"/>
    <w:rsid w:val="0016386A"/>
    <w:rsid w:val="00576291"/>
    <w:rsid w:val="005E67F6"/>
    <w:rsid w:val="00615EE8"/>
    <w:rsid w:val="006544EC"/>
    <w:rsid w:val="006675B5"/>
    <w:rsid w:val="00875E59"/>
    <w:rsid w:val="00955467"/>
    <w:rsid w:val="009D1398"/>
    <w:rsid w:val="00B524A8"/>
    <w:rsid w:val="00B7422A"/>
    <w:rsid w:val="00BA7CEB"/>
    <w:rsid w:val="00C97D71"/>
    <w:rsid w:val="00DF15A8"/>
    <w:rsid w:val="00EB06F8"/>
    <w:rsid w:val="00EE0F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73F91"/>
  <w15:chartTrackingRefBased/>
  <w15:docId w15:val="{916F2460-28E1-449E-9CE0-6D2230B9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86A"/>
  </w:style>
  <w:style w:type="paragraph" w:styleId="Ttulo1">
    <w:name w:val="heading 1"/>
    <w:basedOn w:val="Normal"/>
    <w:next w:val="Normal"/>
    <w:link w:val="Ttulo1Car"/>
    <w:uiPriority w:val="9"/>
    <w:qFormat/>
    <w:rsid w:val="0016386A"/>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386A"/>
    <w:pPr>
      <w:ind w:left="720"/>
      <w:contextualSpacing/>
    </w:pPr>
  </w:style>
  <w:style w:type="paragraph" w:customStyle="1" w:styleId="Estilo1">
    <w:name w:val="Estilo1"/>
    <w:basedOn w:val="Ttulo1"/>
    <w:link w:val="Estilo1Car"/>
    <w:qFormat/>
    <w:rsid w:val="0016386A"/>
    <w:pPr>
      <w:jc w:val="center"/>
    </w:pPr>
    <w:rPr>
      <w:rFonts w:ascii="Engravers MT" w:hAnsi="Engravers MT"/>
      <w:color w:val="C00000"/>
    </w:rPr>
  </w:style>
  <w:style w:type="character" w:customStyle="1" w:styleId="Estilo1Car">
    <w:name w:val="Estilo1 Car"/>
    <w:basedOn w:val="Ttulo1Car"/>
    <w:link w:val="Estilo1"/>
    <w:rsid w:val="0016386A"/>
    <w:rPr>
      <w:rFonts w:ascii="Engravers MT" w:eastAsiaTheme="majorEastAsia" w:hAnsi="Engravers MT" w:cstheme="majorBidi"/>
      <w:color w:val="C00000"/>
      <w:sz w:val="32"/>
      <w:szCs w:val="32"/>
    </w:rPr>
  </w:style>
  <w:style w:type="paragraph" w:styleId="Piedepgina">
    <w:name w:val="footer"/>
    <w:basedOn w:val="Normal"/>
    <w:link w:val="PiedepginaCar"/>
    <w:uiPriority w:val="99"/>
    <w:unhideWhenUsed/>
    <w:rsid w:val="001638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386A"/>
  </w:style>
  <w:style w:type="paragraph" w:customStyle="1" w:styleId="Default">
    <w:name w:val="Default"/>
    <w:rsid w:val="0016386A"/>
    <w:pPr>
      <w:autoSpaceDE w:val="0"/>
      <w:autoSpaceDN w:val="0"/>
      <w:adjustRightInd w:val="0"/>
      <w:spacing w:after="0" w:line="240" w:lineRule="auto"/>
    </w:pPr>
    <w:rPr>
      <w:rFonts w:ascii="Arimo" w:hAnsi="Arimo" w:cs="Arimo"/>
      <w:color w:val="000000"/>
      <w:sz w:val="24"/>
      <w:szCs w:val="24"/>
    </w:rPr>
  </w:style>
  <w:style w:type="character" w:customStyle="1" w:styleId="Ttulo1Car">
    <w:name w:val="Título 1 Car"/>
    <w:basedOn w:val="Fuentedeprrafopredeter"/>
    <w:link w:val="Ttulo1"/>
    <w:uiPriority w:val="9"/>
    <w:rsid w:val="0016386A"/>
    <w:rPr>
      <w:rFonts w:asciiTheme="majorHAnsi" w:eastAsiaTheme="majorEastAsia" w:hAnsiTheme="majorHAnsi" w:cstheme="majorBidi"/>
      <w:color w:val="0B5294" w:themeColor="accent1" w:themeShade="BF"/>
      <w:sz w:val="32"/>
      <w:szCs w:val="32"/>
    </w:rPr>
  </w:style>
  <w:style w:type="paragraph" w:styleId="Sinespaciado">
    <w:name w:val="No Spacing"/>
    <w:link w:val="SinespaciadoCar"/>
    <w:uiPriority w:val="1"/>
    <w:qFormat/>
    <w:rsid w:val="0016386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6386A"/>
    <w:rPr>
      <w:rFonts w:eastAsiaTheme="minorEastAsia"/>
      <w:lang w:eastAsia="es-ES"/>
    </w:rPr>
  </w:style>
  <w:style w:type="table" w:styleId="Tablaconcuadrcula">
    <w:name w:val="Table Grid"/>
    <w:basedOn w:val="Tablanormal"/>
    <w:uiPriority w:val="39"/>
    <w:rsid w:val="00654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6544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BA7CE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97D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7D71"/>
    <w:rPr>
      <w:rFonts w:ascii="Segoe UI" w:hAnsi="Segoe UI" w:cs="Segoe UI"/>
      <w:sz w:val="18"/>
      <w:szCs w:val="18"/>
    </w:rPr>
  </w:style>
  <w:style w:type="character" w:styleId="Textoennegrita">
    <w:name w:val="Strong"/>
    <w:basedOn w:val="Fuentedeprrafopredeter"/>
    <w:uiPriority w:val="22"/>
    <w:qFormat/>
    <w:rsid w:val="001128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11520">
      <w:bodyDiv w:val="1"/>
      <w:marLeft w:val="0"/>
      <w:marRight w:val="0"/>
      <w:marTop w:val="0"/>
      <w:marBottom w:val="0"/>
      <w:divBdr>
        <w:top w:val="none" w:sz="0" w:space="0" w:color="auto"/>
        <w:left w:val="none" w:sz="0" w:space="0" w:color="auto"/>
        <w:bottom w:val="none" w:sz="0" w:space="0" w:color="auto"/>
        <w:right w:val="none" w:sz="0" w:space="0" w:color="auto"/>
      </w:divBdr>
    </w:div>
    <w:div w:id="1090006445">
      <w:bodyDiv w:val="1"/>
      <w:marLeft w:val="0"/>
      <w:marRight w:val="0"/>
      <w:marTop w:val="0"/>
      <w:marBottom w:val="0"/>
      <w:divBdr>
        <w:top w:val="none" w:sz="0" w:space="0" w:color="auto"/>
        <w:left w:val="none" w:sz="0" w:space="0" w:color="auto"/>
        <w:bottom w:val="none" w:sz="0" w:space="0" w:color="auto"/>
        <w:right w:val="none" w:sz="0" w:space="0" w:color="auto"/>
      </w:divBdr>
    </w:div>
    <w:div w:id="139600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REAL DECRETO 1055/2022, DE 27 DE DICIEMBRE, DE ENVASES Y RESIDUOS DE ENVASES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17</Pages>
  <Words>4640</Words>
  <Characters>25524</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maNUAL PARA LA IMPLANTACIÓN DE LA NORMATIVA DE ENVASES Y RESUDUOS DE ENVASES</vt:lpstr>
    </vt:vector>
  </TitlesOfParts>
  <Company/>
  <LinksUpToDate>false</LinksUpToDate>
  <CharactersWithSpaces>30104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PARA LA IMPLANTACIÓN DE LA NORMATIVA DE ENVASES Y RESIDUOS DE ENVASES</dc:title>
  <dc:subject/>
  <dc:creator>Laura Torrent Vidal</dc:creator>
  <cp:keywords/>
  <dc:description/>
  <cp:lastModifiedBy>33824</cp:lastModifiedBy>
  <cp:revision>9</cp:revision>
  <cp:lastPrinted>2023-03-23T08:54:00Z</cp:lastPrinted>
  <dcterms:created xsi:type="dcterms:W3CDTF">2023-03-22T20:02:00Z</dcterms:created>
  <dcterms:modified xsi:type="dcterms:W3CDTF">2023-03-29T10:44:00Z</dcterms:modified>
</cp:coreProperties>
</file>