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Documento DOCX para QA</w:t>
      </w:r>
    </w:p>
    <w:p>
      <w:r>
        <w:t>Este primer parrafo permite comprobar la importacion local y la conservacion de la estructura del documento.</w:t>
      </w:r>
    </w:p>
    <w:p>
      <w:pPr>
        <w:pStyle w:val="Heading2"/>
      </w:pPr>
      <w:r>
        <w:t>Segunda seccion</w:t>
      </w:r>
    </w:p>
    <w:p>
      <w:r>
        <w:t>Este segundo parrafo debe aparecer separado del anterior, sin recurrir a OCR ni enviar el archivo a una API.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