
<file path=[Content_Types].xml><?xml version="1.0" encoding="utf-8"?>
<Types xmlns="http://schemas.openxmlformats.org/package/2006/content-types">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3390436"/>
        <w:docPartObj>
          <w:docPartGallery w:val="Cover Pages"/>
          <w:docPartUnique/>
        </w:docPartObj>
      </w:sdtPr>
      <w:sdtContent>
        <w:p w:rsidR="00412165" w:rsidRDefault="00412165"/>
        <w:p w:rsidR="00412165" w:rsidRDefault="00412165">
          <w:r w:rsidRPr="00501FC8">
            <w:rPr>
              <w:noProof/>
            </w:rPr>
            <w:pict>
              <v:group id="_x0000_s1026"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964;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Organización"/>
                          <w:id w:val="15866524"/>
                          <w:placeholder>
                            <w:docPart w:val="99749C70D81542E782A6362EBF928256"/>
                          </w:placeholder>
                          <w:dataBinding w:prefixMappings="xmlns:ns0='http://schemas.openxmlformats.org/officeDocument/2006/extended-properties'" w:xpath="/ns0:Properties[1]/ns0:Company[1]" w:storeItemID="{6668398D-A668-4E3E-A5EB-62B293D839F1}"/>
                          <w:text/>
                        </w:sdtPr>
                        <w:sdtContent>
                          <w:p w:rsidR="00412165" w:rsidRDefault="00412165">
                            <w:pPr>
                              <w:spacing w:after="0"/>
                              <w:rPr>
                                <w:b/>
                                <w:bCs/>
                                <w:color w:val="808080" w:themeColor="text1" w:themeTint="7F"/>
                                <w:sz w:val="32"/>
                                <w:szCs w:val="32"/>
                              </w:rPr>
                            </w:pPr>
                            <w:r>
                              <w:rPr>
                                <w:b/>
                                <w:bCs/>
                                <w:color w:val="808080" w:themeColor="text1" w:themeTint="7F"/>
                                <w:sz w:val="32"/>
                                <w:szCs w:val="32"/>
                                <w:lang w:val="es-ES_tradnl"/>
                              </w:rPr>
                              <w:t xml:space="preserve"> </w:t>
                            </w:r>
                          </w:p>
                        </w:sdtContent>
                      </w:sdt>
                      <w:p w:rsidR="00412165" w:rsidRDefault="00412165">
                        <w:pPr>
                          <w:spacing w:after="0"/>
                          <w:rPr>
                            <w:b/>
                            <w:bCs/>
                            <w:color w:val="808080" w:themeColor="text1" w:themeTint="7F"/>
                            <w:sz w:val="32"/>
                            <w:szCs w:val="32"/>
                          </w:rPr>
                        </w:pPr>
                      </w:p>
                    </w:txbxContent>
                  </v:textbox>
                </v:rect>
                <v:rect id="_x0000_s1039" style="position:absolute;left:6494;top:11160;width:4998;height:1566;mso-position-horizontal-relative:margin;mso-position-vertical-relative:margin" filled="f" stroked="f">
                  <v:textbox style="mso-next-textbox:#_x0000_s1039;mso-fit-shape-to-text:t">
                    <w:txbxContent>
                      <w:p w:rsidR="00412165" w:rsidRDefault="00412165">
                        <w:pPr>
                          <w:jc w:val="right"/>
                          <w:rPr>
                            <w:sz w:val="96"/>
                            <w:szCs w:val="96"/>
                          </w:rPr>
                        </w:pPr>
                      </w:p>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ítulo"/>
                          <w:id w:val="15866532"/>
                          <w:placeholder>
                            <w:docPart w:val="D7557933756D4468A7E3D1C4ABB2D74C"/>
                          </w:placeholder>
                          <w:dataBinding w:prefixMappings="xmlns:ns0='http://schemas.openxmlformats.org/package/2006/metadata/core-properties' xmlns:ns1='http://purl.org/dc/elements/1.1/'" w:xpath="/ns0:coreProperties[1]/ns1:title[1]" w:storeItemID="{6C3C8BC8-F283-45AE-878A-BAB7291924A1}"/>
                          <w:text/>
                        </w:sdtPr>
                        <w:sdtContent>
                          <w:p w:rsidR="00412165" w:rsidRDefault="00412165">
                            <w:pPr>
                              <w:spacing w:after="0"/>
                              <w:rPr>
                                <w:b/>
                                <w:bCs/>
                                <w:color w:val="1F497D" w:themeColor="text2"/>
                                <w:sz w:val="72"/>
                                <w:szCs w:val="72"/>
                              </w:rPr>
                            </w:pPr>
                            <w:r>
                              <w:rPr>
                                <w:b/>
                                <w:bCs/>
                                <w:color w:val="1F497D" w:themeColor="text2"/>
                                <w:sz w:val="72"/>
                                <w:szCs w:val="72"/>
                              </w:rPr>
                              <w:t>Trabajo OMRON</w:t>
                            </w:r>
                          </w:p>
                        </w:sdtContent>
                      </w:sdt>
                      <w:sdt>
                        <w:sdtPr>
                          <w:rPr>
                            <w:b/>
                            <w:bCs/>
                            <w:color w:val="808080" w:themeColor="text1" w:themeTint="7F"/>
                            <w:sz w:val="32"/>
                            <w:szCs w:val="32"/>
                          </w:rPr>
                          <w:alias w:val="Autor"/>
                          <w:id w:val="15866544"/>
                          <w:placeholder>
                            <w:docPart w:val="94C86BD02D6743A7B52084D6EEEBA291"/>
                          </w:placeholder>
                          <w:dataBinding w:prefixMappings="xmlns:ns0='http://schemas.openxmlformats.org/package/2006/metadata/core-properties' xmlns:ns1='http://purl.org/dc/elements/1.1/'" w:xpath="/ns0:coreProperties[1]/ns1:creator[1]" w:storeItemID="{6C3C8BC8-F283-45AE-878A-BAB7291924A1}"/>
                          <w:text/>
                        </w:sdtPr>
                        <w:sdtContent>
                          <w:p w:rsidR="00412165" w:rsidRDefault="00412165">
                            <w:pPr>
                              <w:rPr>
                                <w:b/>
                                <w:bCs/>
                                <w:color w:val="808080" w:themeColor="text1" w:themeTint="7F"/>
                                <w:sz w:val="32"/>
                                <w:szCs w:val="32"/>
                              </w:rPr>
                            </w:pPr>
                            <w:r>
                              <w:rPr>
                                <w:b/>
                                <w:bCs/>
                                <w:color w:val="808080" w:themeColor="text1" w:themeTint="7F"/>
                                <w:sz w:val="32"/>
                                <w:szCs w:val="32"/>
                                <w:lang w:val="es-ES_tradnl"/>
                              </w:rPr>
                              <w:t>Raúl Pérula Martínez</w:t>
                            </w:r>
                          </w:p>
                        </w:sdtContent>
                      </w:sdt>
                      <w:p w:rsidR="00412165" w:rsidRDefault="00412165">
                        <w:pPr>
                          <w:rPr>
                            <w:b/>
                            <w:bCs/>
                            <w:color w:val="808080" w:themeColor="text1" w:themeTint="7F"/>
                            <w:sz w:val="32"/>
                            <w:szCs w:val="32"/>
                          </w:rPr>
                        </w:pPr>
                        <w:r>
                          <w:rPr>
                            <w:b/>
                            <w:bCs/>
                            <w:color w:val="808080" w:themeColor="text1" w:themeTint="7F"/>
                            <w:sz w:val="32"/>
                            <w:szCs w:val="32"/>
                          </w:rPr>
                          <w:t>Manuel Pedrero Luque</w:t>
                        </w:r>
                      </w:p>
                      <w:p w:rsidR="00412165" w:rsidRDefault="00412165">
                        <w:pPr>
                          <w:rPr>
                            <w:b/>
                            <w:bCs/>
                            <w:color w:val="808080" w:themeColor="text1" w:themeTint="7F"/>
                            <w:sz w:val="32"/>
                            <w:szCs w:val="32"/>
                          </w:rPr>
                        </w:pPr>
                      </w:p>
                      <w:p w:rsidR="00412165" w:rsidRDefault="00412165">
                        <w:pPr>
                          <w:rPr>
                            <w:b/>
                            <w:bCs/>
                            <w:color w:val="808080" w:themeColor="text1" w:themeTint="7F"/>
                            <w:sz w:val="32"/>
                            <w:szCs w:val="32"/>
                          </w:rPr>
                        </w:pPr>
                      </w:p>
                      <w:p w:rsidR="00412165" w:rsidRDefault="00412165" w:rsidP="00412165">
                        <w:pPr>
                          <w:jc w:val="center"/>
                        </w:pPr>
                        <w:r>
                          <w:rPr>
                            <w:noProof/>
                            <w:lang w:eastAsia="es-ES_tradnl"/>
                          </w:rPr>
                          <w:drawing>
                            <wp:inline distT="0" distB="0" distL="0" distR="0">
                              <wp:extent cx="1117460" cy="393651"/>
                              <wp:effectExtent l="19050" t="0" r="6490" b="0"/>
                              <wp:docPr id="1" name="0 Imagen" descr="88x31.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x31.png"/>
                                      <pic:cNvPicPr/>
                                    </pic:nvPicPr>
                                    <pic:blipFill>
                                      <a:blip r:embed="rId6"/>
                                      <a:stretch>
                                        <a:fillRect/>
                                      </a:stretch>
                                    </pic:blipFill>
                                    <pic:spPr>
                                      <a:xfrm>
                                        <a:off x="0" y="0"/>
                                        <a:ext cx="1117460" cy="393651"/>
                                      </a:xfrm>
                                      <a:prstGeom prst="rect">
                                        <a:avLst/>
                                      </a:prstGeom>
                                    </pic:spPr>
                                  </pic:pic>
                                </a:graphicData>
                              </a:graphic>
                            </wp:inline>
                          </w:drawing>
                        </w:r>
                      </w:p>
                      <w:p w:rsidR="00412165" w:rsidRPr="00CF190F" w:rsidRDefault="00412165" w:rsidP="00412165">
                        <w:pPr>
                          <w:jc w:val="center"/>
                          <w:rPr>
                            <w:lang w:val="en-US"/>
                          </w:rPr>
                        </w:pPr>
                        <w:r w:rsidRPr="00CF190F">
                          <w:rPr>
                            <w:lang w:val="en-US"/>
                          </w:rPr>
                          <w:t xml:space="preserve">This work by </w:t>
                        </w:r>
                        <w:hyperlink r:id="rId7" w:history="1">
                          <w:proofErr w:type="spellStart"/>
                          <w:r w:rsidRPr="00CF190F">
                            <w:rPr>
                              <w:rStyle w:val="Hipervnculo"/>
                              <w:lang w:val="en-US"/>
                            </w:rPr>
                            <w:t>Raúl</w:t>
                          </w:r>
                          <w:proofErr w:type="spellEnd"/>
                          <w:r w:rsidRPr="00CF190F">
                            <w:rPr>
                              <w:rStyle w:val="Hipervnculo"/>
                              <w:lang w:val="en-US"/>
                            </w:rPr>
                            <w:t xml:space="preserve"> Pérula-</w:t>
                          </w:r>
                          <w:proofErr w:type="spellStart"/>
                          <w:r w:rsidRPr="00CF190F">
                            <w:rPr>
                              <w:rStyle w:val="Hipervnculo"/>
                              <w:lang w:val="en-US"/>
                            </w:rPr>
                            <w:t>Martínez</w:t>
                          </w:r>
                          <w:proofErr w:type="spellEnd"/>
                        </w:hyperlink>
                        <w:r w:rsidRPr="00CF190F">
                          <w:rPr>
                            <w:lang w:val="en-US"/>
                          </w:rPr>
                          <w:t xml:space="preserve"> is licensed under a </w:t>
                        </w:r>
                        <w:hyperlink r:id="rId8" w:history="1">
                          <w:r w:rsidRPr="00CF190F">
                            <w:rPr>
                              <w:rStyle w:val="Hipervnculo"/>
                              <w:lang w:val="en-US"/>
                            </w:rPr>
                            <w:t>Creative Commons Attribution-</w:t>
                          </w:r>
                          <w:proofErr w:type="spellStart"/>
                          <w:r w:rsidRPr="00CF190F">
                            <w:rPr>
                              <w:rStyle w:val="Hipervnculo"/>
                              <w:lang w:val="en-US"/>
                            </w:rPr>
                            <w:t>ShareAlike</w:t>
                          </w:r>
                          <w:proofErr w:type="spellEnd"/>
                          <w:r w:rsidRPr="00CF190F">
                            <w:rPr>
                              <w:rStyle w:val="Hipervnculo"/>
                              <w:lang w:val="en-US"/>
                            </w:rPr>
                            <w:t xml:space="preserve"> 4.0 International License</w:t>
                          </w:r>
                        </w:hyperlink>
                        <w:r w:rsidRPr="00CF190F">
                          <w:rPr>
                            <w:lang w:val="en-US"/>
                          </w:rPr>
                          <w:t>.</w:t>
                        </w:r>
                      </w:p>
                      <w:p w:rsidR="00412165" w:rsidRPr="00412165" w:rsidRDefault="00412165">
                        <w:pPr>
                          <w:rPr>
                            <w:b/>
                            <w:bCs/>
                            <w:color w:val="808080" w:themeColor="text1" w:themeTint="7F"/>
                            <w:sz w:val="32"/>
                            <w:szCs w:val="32"/>
                            <w:lang w:val="en-US"/>
                          </w:rPr>
                        </w:pPr>
                      </w:p>
                    </w:txbxContent>
                  </v:textbox>
                </v:rect>
                <w10:wrap anchorx="page" anchory="margin"/>
              </v:group>
            </w:pict>
          </w:r>
        </w:p>
        <w:p w:rsidR="00412165" w:rsidRDefault="00412165">
          <w:pPr>
            <w:rPr>
              <w:rFonts w:asciiTheme="majorHAnsi" w:eastAsiaTheme="majorEastAsia" w:hAnsiTheme="majorHAnsi" w:cstheme="majorBidi"/>
              <w:b/>
              <w:bCs/>
              <w:color w:val="365F91" w:themeColor="accent1" w:themeShade="BF"/>
              <w:sz w:val="28"/>
              <w:szCs w:val="28"/>
            </w:rPr>
          </w:pPr>
          <w:r>
            <w:br w:type="page"/>
          </w:r>
        </w:p>
      </w:sdtContent>
    </w:sdt>
    <w:p w:rsidR="003E26BC" w:rsidRDefault="003E26BC" w:rsidP="003E26BC">
      <w:pPr>
        <w:pStyle w:val="Ttulo2"/>
        <w:pBdr>
          <w:bottom w:val="single" w:sz="4" w:space="1" w:color="auto"/>
        </w:pBdr>
      </w:pPr>
      <w:r>
        <w:lastRenderedPageBreak/>
        <w:t>Control de una piscifactoría</w:t>
      </w:r>
    </w:p>
    <w:p w:rsidR="003E26BC" w:rsidRDefault="003E26BC" w:rsidP="003E26BC"/>
    <w:p w:rsidR="003E26BC" w:rsidRDefault="003E26BC" w:rsidP="003E26BC">
      <w:r>
        <w:t>El sistema de control de alimentación y oxigenación de una piscifactoría consta de un dosificador de comida y de una bomba que toma el agua del fondo del tanque y la pulveriza en la superficie.  Este automatismo debe funcionar del modo indicado a continuación.</w:t>
      </w:r>
    </w:p>
    <w:p w:rsidR="003E26BC" w:rsidRDefault="003E26BC" w:rsidP="003E26BC">
      <w:pPr>
        <w:pStyle w:val="Prrafodelista"/>
        <w:numPr>
          <w:ilvl w:val="0"/>
          <w:numId w:val="1"/>
        </w:numPr>
      </w:pPr>
      <w:r>
        <w:t>Cada 4 horas se deberá aportar una dosis de comida al agua mediante el dosificador. Este dispositivo consta de dos electroválvulas, una superior EV1 y otra inferior EV2 que deberán ser abiertas del siguiente modo: cuando llegue la hora de alimentar a los peces se abrirá la electroválvula EV1 durante 5 segundos, a la vez que se acciona un agitador (KM3) para garantizar que la comida cae en el dosificador. Una vez transcurridos dichos 5 segundos se abrirá la electroválvula inferior EV2 durante 10 segundos, mientras sigue actuando el agitador, garantizando de este modo que no quedará nada de comida en el dosificador.</w:t>
      </w:r>
    </w:p>
    <w:p w:rsidR="00292940" w:rsidRDefault="003E26BC" w:rsidP="003E26BC">
      <w:pPr>
        <w:pStyle w:val="Prrafodelista"/>
        <w:numPr>
          <w:ilvl w:val="0"/>
          <w:numId w:val="1"/>
        </w:numPr>
      </w:pPr>
      <w:r>
        <w:t>Existe un sensor de oxígeno (O2) que está calibrado para activarse cuando la concentración de oxígeno del agua es menor de 2 mg/l y se desactiva cuando dicha concentración vuelve a ser mayor de los 2 mg/l. Así pues, cuando se active el sensor de oxígeno se deberá conectar la bomba para que extraiga el agua del fondo del tanque y la vuelva a arrojar en la superficie, pulverizándolo y, por tanto, oxigenándola. Se deberá garantizar que cada vez que se conecte la bomba de oxigenación está funcionando como mínimo 20 minutos, aunque el nivel de oxígeno se haya restablecido antes de este tiempo.</w:t>
      </w:r>
    </w:p>
    <w:p w:rsidR="003E26BC" w:rsidRDefault="003E26BC" w:rsidP="003E26BC">
      <w:pPr>
        <w:pStyle w:val="Ttulo2"/>
      </w:pPr>
      <w:r>
        <w:t>Comentario</w:t>
      </w:r>
    </w:p>
    <w:p w:rsidR="003E26BC" w:rsidRDefault="00AB5F66" w:rsidP="00AB5F66">
      <w:pPr>
        <w:pStyle w:val="Prrafodelista"/>
        <w:numPr>
          <w:ilvl w:val="0"/>
          <w:numId w:val="2"/>
        </w:numPr>
      </w:pPr>
      <w:r>
        <w:t>El temporizador de 4 horas se ha realizado combinando uno de 15 minutos (TIM000) con un contador de 16 iteraciones (CNT001).</w:t>
      </w:r>
    </w:p>
    <w:p w:rsidR="00AB5F66" w:rsidRDefault="00AB5F66" w:rsidP="00AB5F66">
      <w:pPr>
        <w:pStyle w:val="Prrafodelista"/>
        <w:numPr>
          <w:ilvl w:val="0"/>
          <w:numId w:val="2"/>
        </w:numPr>
      </w:pPr>
      <w:r>
        <w:t>El temporizador TIM002 cuenta los 5 segundos que deben estar activos la válvula superior (EV1) y el agitador (KM3).</w:t>
      </w:r>
    </w:p>
    <w:p w:rsidR="00AB5F66" w:rsidRDefault="00AB5F66" w:rsidP="00AB5F66">
      <w:pPr>
        <w:pStyle w:val="Prrafodelista"/>
        <w:numPr>
          <w:ilvl w:val="0"/>
          <w:numId w:val="2"/>
        </w:numPr>
      </w:pPr>
      <w:r>
        <w:t>El temporizador TIM003 cuenta los 10 segundos que deben estar activos la válvula inferior (EV2) y el agitador (KM3).</w:t>
      </w:r>
    </w:p>
    <w:p w:rsidR="00AB5F66" w:rsidRDefault="00AB5F66" w:rsidP="00AB5F66">
      <w:pPr>
        <w:pStyle w:val="Prrafodelista"/>
        <w:numPr>
          <w:ilvl w:val="0"/>
          <w:numId w:val="2"/>
        </w:numPr>
      </w:pPr>
      <w:r>
        <w:t xml:space="preserve">KM3 se activará cuando EV1 o EV2 estén activas, manteniéndose hasta que alguna de las dos se desactive. Esto se ha implementado con un KEEP. </w:t>
      </w:r>
    </w:p>
    <w:p w:rsidR="00AB5F66" w:rsidRDefault="00AB5F66" w:rsidP="00AB5F66">
      <w:pPr>
        <w:pStyle w:val="Prrafodelista"/>
        <w:numPr>
          <w:ilvl w:val="0"/>
          <w:numId w:val="2"/>
        </w:numPr>
      </w:pPr>
      <w:r>
        <w:t>En relación al sensor de oxígeno, el temporizador de 20 minutos se ha implementado combinando uno de 60 segundos (TIM004) y un contador de 20 iteraciones.</w:t>
      </w:r>
    </w:p>
    <w:p w:rsidR="00AB5F66" w:rsidRPr="003E26BC" w:rsidRDefault="00AB5F66" w:rsidP="00AB5F66">
      <w:pPr>
        <w:pStyle w:val="Prrafodelista"/>
        <w:numPr>
          <w:ilvl w:val="0"/>
          <w:numId w:val="2"/>
        </w:numPr>
      </w:pPr>
      <w:r>
        <w:t xml:space="preserve">Una vez que se pone en marcha la bomba de oxigenación, se pone en marcha el temporizador de 20 minutos descrito antes. Al cumplirse </w:t>
      </w:r>
      <w:r w:rsidR="00F93EEE">
        <w:t>el tiempo la bomba se desactiva.</w:t>
      </w:r>
    </w:p>
    <w:sectPr w:rsidR="00AB5F66" w:rsidRPr="003E26BC" w:rsidSect="00412165">
      <w:pgSz w:w="11906" w:h="16838"/>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22EF" w:usb1="C000205A" w:usb2="00000008" w:usb3="00000000" w:csb0="00000057"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2622F"/>
    <w:multiLevelType w:val="hybridMultilevel"/>
    <w:tmpl w:val="EF1CB21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502F66EA"/>
    <w:multiLevelType w:val="hybridMultilevel"/>
    <w:tmpl w:val="FAF8C13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3E26BC"/>
    <w:rsid w:val="001362C2"/>
    <w:rsid w:val="00292940"/>
    <w:rsid w:val="002961E6"/>
    <w:rsid w:val="003E26BC"/>
    <w:rsid w:val="00412165"/>
    <w:rsid w:val="006277CE"/>
    <w:rsid w:val="00924075"/>
    <w:rsid w:val="00AB5F66"/>
    <w:rsid w:val="00F93EEE"/>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2940"/>
  </w:style>
  <w:style w:type="paragraph" w:styleId="Ttulo1">
    <w:name w:val="heading 1"/>
    <w:basedOn w:val="Normal"/>
    <w:next w:val="Normal"/>
    <w:link w:val="Ttulo1Car"/>
    <w:uiPriority w:val="9"/>
    <w:qFormat/>
    <w:rsid w:val="003E26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E26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E26BC"/>
    <w:pPr>
      <w:spacing w:after="0" w:line="240" w:lineRule="auto"/>
    </w:pPr>
  </w:style>
  <w:style w:type="character" w:customStyle="1" w:styleId="Ttulo1Car">
    <w:name w:val="Título 1 Car"/>
    <w:basedOn w:val="Fuentedeprrafopredeter"/>
    <w:link w:val="Ttulo1"/>
    <w:uiPriority w:val="9"/>
    <w:rsid w:val="003E26BC"/>
    <w:rPr>
      <w:rFonts w:asciiTheme="majorHAnsi" w:eastAsiaTheme="majorEastAsia" w:hAnsiTheme="majorHAnsi" w:cstheme="majorBidi"/>
      <w:b/>
      <w:bCs/>
      <w:color w:val="365F91" w:themeColor="accent1" w:themeShade="BF"/>
      <w:sz w:val="28"/>
      <w:szCs w:val="28"/>
    </w:rPr>
  </w:style>
  <w:style w:type="paragraph" w:styleId="Mapadeldocumento">
    <w:name w:val="Document Map"/>
    <w:basedOn w:val="Normal"/>
    <w:link w:val="MapadeldocumentoCar"/>
    <w:uiPriority w:val="99"/>
    <w:semiHidden/>
    <w:unhideWhenUsed/>
    <w:rsid w:val="003E26BC"/>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3E26BC"/>
    <w:rPr>
      <w:rFonts w:ascii="Tahoma" w:hAnsi="Tahoma" w:cs="Tahoma"/>
      <w:sz w:val="16"/>
      <w:szCs w:val="16"/>
    </w:rPr>
  </w:style>
  <w:style w:type="character" w:customStyle="1" w:styleId="Ttulo2Car">
    <w:name w:val="Título 2 Car"/>
    <w:basedOn w:val="Fuentedeprrafopredeter"/>
    <w:link w:val="Ttulo2"/>
    <w:uiPriority w:val="9"/>
    <w:rsid w:val="003E26BC"/>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3E26BC"/>
    <w:pPr>
      <w:ind w:left="720"/>
      <w:contextualSpacing/>
    </w:pPr>
  </w:style>
  <w:style w:type="paragraph" w:styleId="Textodeglobo">
    <w:name w:val="Balloon Text"/>
    <w:basedOn w:val="Normal"/>
    <w:link w:val="TextodegloboCar"/>
    <w:uiPriority w:val="99"/>
    <w:semiHidden/>
    <w:unhideWhenUsed/>
    <w:rsid w:val="004121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2165"/>
    <w:rPr>
      <w:rFonts w:ascii="Tahoma" w:hAnsi="Tahoma" w:cs="Tahoma"/>
      <w:sz w:val="16"/>
      <w:szCs w:val="16"/>
    </w:rPr>
  </w:style>
  <w:style w:type="character" w:styleId="Hipervnculo">
    <w:name w:val="Hyperlink"/>
    <w:basedOn w:val="Fuentedeprrafopredeter"/>
    <w:uiPriority w:val="99"/>
    <w:unhideWhenUsed/>
    <w:rsid w:val="0041216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sa/4.0/" TargetMode="External"/><Relationship Id="rId3" Type="http://schemas.openxmlformats.org/officeDocument/2006/relationships/settings" Target="settings.xml"/><Relationship Id="rId7" Type="http://schemas.openxmlformats.org/officeDocument/2006/relationships/hyperlink" Target="http://educatech.sytes.net/rau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creativecommons.org/licenses/by-sa/4.0/" TargetMode="Externa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9749C70D81542E782A6362EBF928256"/>
        <w:category>
          <w:name w:val="General"/>
          <w:gallery w:val="placeholder"/>
        </w:category>
        <w:types>
          <w:type w:val="bbPlcHdr"/>
        </w:types>
        <w:behaviors>
          <w:behavior w:val="content"/>
        </w:behaviors>
        <w:guid w:val="{CA8EEE0D-BD16-4F80-89E9-32A8B714441D}"/>
      </w:docPartPr>
      <w:docPartBody>
        <w:p w:rsidR="00000000" w:rsidRDefault="00A56A67" w:rsidP="00A56A67">
          <w:pPr>
            <w:pStyle w:val="99749C70D81542E782A6362EBF928256"/>
          </w:pPr>
          <w:r>
            <w:rPr>
              <w:b/>
              <w:bCs/>
              <w:color w:val="808080" w:themeColor="text1" w:themeTint="7F"/>
              <w:sz w:val="32"/>
              <w:szCs w:val="32"/>
              <w:lang w:val="es-ES"/>
            </w:rPr>
            <w:t>[Escribir el nombre de la compañía]</w:t>
          </w:r>
        </w:p>
      </w:docPartBody>
    </w:docPart>
    <w:docPart>
      <w:docPartPr>
        <w:name w:val="D7557933756D4468A7E3D1C4ABB2D74C"/>
        <w:category>
          <w:name w:val="General"/>
          <w:gallery w:val="placeholder"/>
        </w:category>
        <w:types>
          <w:type w:val="bbPlcHdr"/>
        </w:types>
        <w:behaviors>
          <w:behavior w:val="content"/>
        </w:behaviors>
        <w:guid w:val="{55D092F4-FBB8-4AA8-990A-D3A811A1C87F}"/>
      </w:docPartPr>
      <w:docPartBody>
        <w:p w:rsidR="00000000" w:rsidRDefault="00A56A67" w:rsidP="00A56A67">
          <w:pPr>
            <w:pStyle w:val="D7557933756D4468A7E3D1C4ABB2D74C"/>
          </w:pPr>
          <w:r>
            <w:rPr>
              <w:b/>
              <w:bCs/>
              <w:color w:val="1F497D" w:themeColor="text2"/>
              <w:sz w:val="72"/>
              <w:szCs w:val="72"/>
              <w:lang w:val="es-ES"/>
            </w:rPr>
            <w:t>[Escribir el título del documento]</w:t>
          </w:r>
        </w:p>
      </w:docPartBody>
    </w:docPart>
    <w:docPart>
      <w:docPartPr>
        <w:name w:val="94C86BD02D6743A7B52084D6EEEBA291"/>
        <w:category>
          <w:name w:val="General"/>
          <w:gallery w:val="placeholder"/>
        </w:category>
        <w:types>
          <w:type w:val="bbPlcHdr"/>
        </w:types>
        <w:behaviors>
          <w:behavior w:val="content"/>
        </w:behaviors>
        <w:guid w:val="{772EDD73-E175-413E-A5CC-C5AA384C4FC8}"/>
      </w:docPartPr>
      <w:docPartBody>
        <w:p w:rsidR="00000000" w:rsidRDefault="00A56A67" w:rsidP="00A56A67">
          <w:pPr>
            <w:pStyle w:val="94C86BD02D6743A7B52084D6EEEBA291"/>
          </w:pPr>
          <w:r>
            <w:rPr>
              <w:b/>
              <w:bCs/>
              <w:color w:val="808080" w:themeColor="text1" w:themeTint="7F"/>
              <w:sz w:val="32"/>
              <w:szCs w:val="32"/>
              <w:lang w:val="es-ES"/>
            </w:rPr>
            <w:t>[Escribir el nombre del autor]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22EF" w:usb1="C000205A" w:usb2="00000008" w:usb3="00000000" w:csb0="00000057"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A56A67"/>
    <w:rsid w:val="00600B86"/>
    <w:rsid w:val="00A56A67"/>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9749C70D81542E782A6362EBF928256">
    <w:name w:val="99749C70D81542E782A6362EBF928256"/>
    <w:rsid w:val="00A56A67"/>
  </w:style>
  <w:style w:type="paragraph" w:customStyle="1" w:styleId="C4A289B82E254035ADBDCB6BD8AD6339">
    <w:name w:val="C4A289B82E254035ADBDCB6BD8AD6339"/>
    <w:rsid w:val="00A56A67"/>
  </w:style>
  <w:style w:type="paragraph" w:customStyle="1" w:styleId="D7557933756D4468A7E3D1C4ABB2D74C">
    <w:name w:val="D7557933756D4468A7E3D1C4ABB2D74C"/>
    <w:rsid w:val="00A56A67"/>
  </w:style>
  <w:style w:type="paragraph" w:customStyle="1" w:styleId="4C18BA2BA99D4EA49B7EC5DCC93C5B21">
    <w:name w:val="4C18BA2BA99D4EA49B7EC5DCC93C5B21"/>
    <w:rsid w:val="00A56A67"/>
  </w:style>
  <w:style w:type="paragraph" w:customStyle="1" w:styleId="94C86BD02D6743A7B52084D6EEEBA291">
    <w:name w:val="94C86BD02D6743A7B52084D6EEEBA291"/>
    <w:rsid w:val="00A56A6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361</Words>
  <Characters>1986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2343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OMRON</dc:title>
  <dc:creator>Raúl Pérula Martínez</dc:creator>
  <cp:lastModifiedBy>RAÚL PÉRULA MARTÍNEZ</cp:lastModifiedBy>
  <cp:revision>2</cp:revision>
  <dcterms:created xsi:type="dcterms:W3CDTF">2010-01-06T16:26:00Z</dcterms:created>
  <dcterms:modified xsi:type="dcterms:W3CDTF">2014-11-08T15:03:00Z</dcterms:modified>
</cp:coreProperties>
</file>