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16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Spotify, Youtube Music, Deezer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  </w:t>
      </w:r>
      <w:r w:rsidDel="00000000" w:rsidR="00000000" w:rsidRPr="00000000">
        <w:rPr>
          <w:highlight w:val="cyan"/>
          <w:rtl w:val="0"/>
        </w:rPr>
        <w:t xml:space="preserve">sim</w:t>
      </w:r>
      <w:r w:rsidDel="00000000" w:rsidR="00000000" w:rsidRPr="00000000">
        <w:rPr>
          <w:rtl w:val="0"/>
        </w:rPr>
        <w:t xml:space="preserve"> | 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</w:t>
      </w:r>
      <w:r w:rsidDel="00000000" w:rsidR="00000000" w:rsidRPr="00000000">
        <w:rPr>
          <w:highlight w:val="cyan"/>
          <w:rtl w:val="0"/>
        </w:rPr>
        <w:t xml:space="preserve">sim</w:t>
      </w:r>
      <w:r w:rsidDel="00000000" w:rsidR="00000000" w:rsidRPr="00000000">
        <w:rPr>
          <w:rtl w:val="0"/>
        </w:rPr>
        <w:t xml:space="preserve"> 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2  |  </w:t>
      </w:r>
      <w:r w:rsidDel="00000000" w:rsidR="00000000" w:rsidRPr="00000000">
        <w:rPr>
          <w:highlight w:val="cyan"/>
          <w:rtl w:val="0"/>
        </w:rPr>
        <w:t xml:space="preserve">3</w:t>
      </w:r>
      <w:r w:rsidDel="00000000" w:rsidR="00000000" w:rsidRPr="00000000">
        <w:rPr>
          <w:rtl w:val="0"/>
        </w:rPr>
        <w:t xml:space="preserve">  |  4 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Não tem transições entre as telas. Não gostei do posicionamento da fonte. O sininho ainda está me dando nervoso (tamanho da fonte)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Youtube já tentou implementar algo assim e poucas pessoas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Seria melhor apresentar formas de conhecer pessoas com mesmo gosto musical em vez de conectar só com pessoas conhecidas. Na hora que eu </w:t>
      </w:r>
      <w:r w:rsidDel="00000000" w:rsidR="00000000" w:rsidRPr="00000000">
        <w:rPr>
          <w:rtl w:val="0"/>
        </w:rPr>
        <w:t xml:space="preserve">pesquisasse</w:t>
      </w:r>
      <w:r w:rsidDel="00000000" w:rsidR="00000000" w:rsidRPr="00000000">
        <w:rPr>
          <w:rtl w:val="0"/>
        </w:rPr>
        <w:t xml:space="preserve"> uma banda, por exemplo, poderia aparecer sugestões de chat em grupo público.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