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57F2B" w14:textId="77777777" w:rsidR="00F55B0F" w:rsidRDefault="00F55B0F" w:rsidP="00337B99">
      <w:pPr>
        <w:pStyle w:val="NormalWeb"/>
        <w:jc w:val="center"/>
        <w:rPr>
          <w:rFonts w:ascii="Calibri" w:hAnsi="Calibri" w:cs="Calibri"/>
          <w:b/>
          <w:bCs/>
          <w:color w:val="000000"/>
          <w:sz w:val="32"/>
          <w:szCs w:val="32"/>
        </w:rPr>
      </w:pPr>
    </w:p>
    <w:p w14:paraId="75203444" w14:textId="77777777" w:rsidR="00F55B0F" w:rsidRDefault="00F55B0F" w:rsidP="00337B99">
      <w:pPr>
        <w:pStyle w:val="NormalWeb"/>
        <w:jc w:val="center"/>
        <w:rPr>
          <w:rFonts w:ascii="Calibri" w:hAnsi="Calibri" w:cs="Calibri"/>
          <w:b/>
          <w:bCs/>
          <w:color w:val="000000"/>
          <w:sz w:val="32"/>
          <w:szCs w:val="32"/>
        </w:rPr>
      </w:pPr>
    </w:p>
    <w:p w14:paraId="69A899A3" w14:textId="77777777" w:rsidR="00F55B0F" w:rsidRDefault="00F55B0F" w:rsidP="00337B99">
      <w:pPr>
        <w:pStyle w:val="NormalWeb"/>
        <w:jc w:val="center"/>
        <w:rPr>
          <w:rFonts w:ascii="Calibri" w:hAnsi="Calibri" w:cs="Calibri"/>
          <w:b/>
          <w:bCs/>
          <w:color w:val="000000"/>
          <w:sz w:val="32"/>
          <w:szCs w:val="32"/>
        </w:rPr>
      </w:pPr>
    </w:p>
    <w:p w14:paraId="173F0254" w14:textId="77777777" w:rsidR="00F55B0F" w:rsidRDefault="00F55B0F" w:rsidP="00337B99">
      <w:pPr>
        <w:pStyle w:val="NormalWeb"/>
        <w:jc w:val="center"/>
        <w:rPr>
          <w:rFonts w:ascii="Calibri" w:hAnsi="Calibri" w:cs="Calibri"/>
          <w:b/>
          <w:bCs/>
          <w:color w:val="000000"/>
          <w:sz w:val="32"/>
          <w:szCs w:val="32"/>
        </w:rPr>
      </w:pPr>
    </w:p>
    <w:p w14:paraId="7741F7E8" w14:textId="77777777" w:rsidR="00F55B0F" w:rsidRDefault="00F55B0F" w:rsidP="00337B99">
      <w:pPr>
        <w:pStyle w:val="NormalWeb"/>
        <w:jc w:val="center"/>
        <w:rPr>
          <w:rFonts w:ascii="Calibri" w:hAnsi="Calibri" w:cs="Calibri"/>
          <w:b/>
          <w:bCs/>
          <w:color w:val="000000"/>
          <w:sz w:val="32"/>
          <w:szCs w:val="32"/>
        </w:rPr>
      </w:pPr>
    </w:p>
    <w:p w14:paraId="32754142" w14:textId="77777777" w:rsidR="00F55B0F" w:rsidRDefault="00F55B0F" w:rsidP="00337B99">
      <w:pPr>
        <w:pStyle w:val="NormalWeb"/>
        <w:jc w:val="center"/>
        <w:rPr>
          <w:rFonts w:ascii="Calibri" w:hAnsi="Calibri" w:cs="Calibri"/>
          <w:b/>
          <w:bCs/>
          <w:color w:val="000000"/>
          <w:sz w:val="32"/>
          <w:szCs w:val="32"/>
        </w:rPr>
      </w:pPr>
    </w:p>
    <w:p w14:paraId="104EC053" w14:textId="38D0846E" w:rsidR="00337B99" w:rsidRDefault="00337B99" w:rsidP="00337B99">
      <w:pPr>
        <w:pStyle w:val="NormalWeb"/>
        <w:jc w:val="center"/>
        <w:rPr>
          <w:rFonts w:ascii="Calibri" w:hAnsi="Calibri" w:cs="Calibri"/>
          <w:b/>
          <w:bCs/>
          <w:color w:val="000000"/>
          <w:sz w:val="32"/>
          <w:szCs w:val="32"/>
        </w:rPr>
      </w:pPr>
      <w:r w:rsidRPr="00F55B0F">
        <w:rPr>
          <w:rFonts w:ascii="Calibri" w:hAnsi="Calibri" w:cs="Calibri"/>
          <w:b/>
          <w:bCs/>
          <w:color w:val="000000"/>
          <w:sz w:val="32"/>
          <w:szCs w:val="32"/>
        </w:rPr>
        <w:t xml:space="preserve">FADM Assignment </w:t>
      </w:r>
    </w:p>
    <w:p w14:paraId="0E2814BB" w14:textId="1838FB65" w:rsidR="00337B99" w:rsidRPr="00F55B0F" w:rsidRDefault="00DA473A" w:rsidP="00DA473A">
      <w:pPr>
        <w:pStyle w:val="NormalWeb"/>
        <w:jc w:val="center"/>
        <w:rPr>
          <w:rFonts w:ascii="Calibri" w:hAnsi="Calibri" w:cs="Calibri"/>
          <w:b/>
          <w:bCs/>
          <w:color w:val="000000"/>
          <w:sz w:val="32"/>
          <w:szCs w:val="32"/>
        </w:rPr>
      </w:pPr>
      <w:r>
        <w:rPr>
          <w:rFonts w:ascii="Calibri" w:hAnsi="Calibri" w:cs="Calibri"/>
          <w:b/>
          <w:bCs/>
          <w:color w:val="000000"/>
          <w:sz w:val="32"/>
          <w:szCs w:val="32"/>
        </w:rPr>
        <w:t>GROUP - 3</w:t>
      </w:r>
    </w:p>
    <w:p w14:paraId="1167C665" w14:textId="65EFC642" w:rsidR="00F55B0F" w:rsidRDefault="00F55B0F" w:rsidP="00F55B0F">
      <w:pPr>
        <w:pStyle w:val="NormalWeb"/>
        <w:jc w:val="center"/>
        <w:rPr>
          <w:rFonts w:ascii="Calibri" w:hAnsi="Calibri" w:cs="Calibri"/>
          <w:b/>
          <w:bCs/>
          <w:color w:val="000000"/>
          <w:sz w:val="32"/>
          <w:szCs w:val="32"/>
        </w:rPr>
      </w:pPr>
      <w:r>
        <w:rPr>
          <w:rFonts w:ascii="Calibri" w:hAnsi="Calibri" w:cs="Calibri"/>
          <w:b/>
          <w:bCs/>
          <w:color w:val="000000"/>
          <w:sz w:val="32"/>
          <w:szCs w:val="32"/>
        </w:rPr>
        <w:t>HUL</w:t>
      </w:r>
    </w:p>
    <w:p w14:paraId="2B786B85" w14:textId="77777777" w:rsidR="00CF6BB3" w:rsidRDefault="00CF6BB3" w:rsidP="00F55B0F">
      <w:pPr>
        <w:pStyle w:val="NormalWeb"/>
        <w:jc w:val="center"/>
        <w:rPr>
          <w:rFonts w:ascii="Calibri" w:hAnsi="Calibri" w:cs="Calibri"/>
          <w:b/>
          <w:bCs/>
          <w:color w:val="000000"/>
          <w:sz w:val="32"/>
          <w:szCs w:val="32"/>
        </w:rPr>
      </w:pPr>
    </w:p>
    <w:p w14:paraId="70C3B702" w14:textId="77777777" w:rsidR="00DA473A" w:rsidRDefault="00DA473A" w:rsidP="00F55B0F">
      <w:pPr>
        <w:pStyle w:val="NormalWeb"/>
        <w:jc w:val="center"/>
        <w:rPr>
          <w:rFonts w:ascii="Calibri" w:hAnsi="Calibri" w:cs="Calibri"/>
          <w:b/>
          <w:bCs/>
          <w:color w:val="000000"/>
          <w:sz w:val="32"/>
          <w:szCs w:val="32"/>
        </w:rPr>
      </w:pPr>
    </w:p>
    <w:p w14:paraId="74BA592E" w14:textId="77777777" w:rsidR="00DA473A" w:rsidRDefault="00DA473A" w:rsidP="00F55B0F">
      <w:pPr>
        <w:pStyle w:val="NormalWeb"/>
        <w:jc w:val="center"/>
        <w:rPr>
          <w:rFonts w:ascii="Calibri" w:hAnsi="Calibri" w:cs="Calibri"/>
          <w:b/>
          <w:bCs/>
          <w:color w:val="000000"/>
          <w:sz w:val="32"/>
          <w:szCs w:val="32"/>
        </w:rPr>
      </w:pPr>
    </w:p>
    <w:p w14:paraId="03BFD4EF" w14:textId="77777777" w:rsidR="00DA473A" w:rsidRPr="00F55B0F" w:rsidRDefault="00DA473A" w:rsidP="00F55B0F">
      <w:pPr>
        <w:pStyle w:val="NormalWeb"/>
        <w:jc w:val="center"/>
        <w:rPr>
          <w:rFonts w:ascii="Calibri" w:hAnsi="Calibri" w:cs="Calibri"/>
          <w:b/>
          <w:bCs/>
          <w:color w:val="000000"/>
          <w:sz w:val="32"/>
          <w:szCs w:val="32"/>
        </w:rPr>
      </w:pPr>
    </w:p>
    <w:p w14:paraId="1B230EB0" w14:textId="09A802F6" w:rsidR="00F55B0F" w:rsidRPr="00F55B0F" w:rsidRDefault="00CF6BB3" w:rsidP="00CF6BB3">
      <w:pPr>
        <w:pStyle w:val="NormalWeb"/>
        <w:jc w:val="center"/>
        <w:rPr>
          <w:rFonts w:ascii="Calibri" w:hAnsi="Calibri" w:cs="Calibri"/>
          <w:b/>
          <w:bCs/>
          <w:color w:val="000000"/>
          <w:sz w:val="32"/>
          <w:szCs w:val="32"/>
        </w:rPr>
      </w:pPr>
      <w:r>
        <w:rPr>
          <w:rFonts w:ascii="Calibri" w:hAnsi="Calibri" w:cs="Calibri"/>
          <w:b/>
          <w:bCs/>
          <w:color w:val="000000"/>
          <w:sz w:val="32"/>
          <w:szCs w:val="32"/>
        </w:rPr>
        <w:t>Group Members</w:t>
      </w:r>
    </w:p>
    <w:tbl>
      <w:tblPr>
        <w:tblStyle w:val="TableGrid"/>
        <w:tblW w:w="0" w:type="auto"/>
        <w:tblLook w:val="04A0" w:firstRow="1" w:lastRow="0" w:firstColumn="1" w:lastColumn="0" w:noHBand="0" w:noVBand="1"/>
      </w:tblPr>
      <w:tblGrid>
        <w:gridCol w:w="4508"/>
        <w:gridCol w:w="4508"/>
      </w:tblGrid>
      <w:tr w:rsidR="00CF6BB3" w14:paraId="52C76FFB" w14:textId="77777777" w:rsidTr="00023402">
        <w:tc>
          <w:tcPr>
            <w:tcW w:w="4508" w:type="dxa"/>
          </w:tcPr>
          <w:p w14:paraId="0059CF2C" w14:textId="4B5099B4" w:rsidR="00CF6BB3" w:rsidRDefault="00CF6BB3" w:rsidP="00337B99">
            <w:pPr>
              <w:pStyle w:val="NormalWeb"/>
              <w:jc w:val="center"/>
              <w:rPr>
                <w:rFonts w:ascii="Calibri" w:hAnsi="Calibri" w:cs="Calibri"/>
                <w:b/>
                <w:bCs/>
                <w:color w:val="000000"/>
                <w:sz w:val="32"/>
                <w:szCs w:val="32"/>
              </w:rPr>
            </w:pPr>
            <w:r>
              <w:rPr>
                <w:rFonts w:ascii="Calibri" w:hAnsi="Calibri" w:cs="Calibri"/>
                <w:b/>
                <w:bCs/>
                <w:color w:val="000000"/>
                <w:sz w:val="32"/>
                <w:szCs w:val="32"/>
              </w:rPr>
              <w:t>Roll Number</w:t>
            </w:r>
          </w:p>
        </w:tc>
        <w:tc>
          <w:tcPr>
            <w:tcW w:w="4508" w:type="dxa"/>
          </w:tcPr>
          <w:p w14:paraId="106D78FE" w14:textId="53E85416" w:rsidR="00CF6BB3" w:rsidRDefault="00CF6BB3" w:rsidP="00F06D11">
            <w:pPr>
              <w:pStyle w:val="NormalWeb"/>
              <w:jc w:val="center"/>
              <w:rPr>
                <w:rFonts w:ascii="Calibri" w:hAnsi="Calibri" w:cs="Calibri"/>
                <w:b/>
                <w:bCs/>
                <w:color w:val="000000"/>
                <w:sz w:val="32"/>
                <w:szCs w:val="32"/>
              </w:rPr>
            </w:pPr>
            <w:r>
              <w:rPr>
                <w:rFonts w:ascii="Calibri" w:hAnsi="Calibri" w:cs="Calibri"/>
                <w:b/>
                <w:bCs/>
                <w:color w:val="000000"/>
                <w:sz w:val="32"/>
                <w:szCs w:val="32"/>
              </w:rPr>
              <w:t>Name</w:t>
            </w:r>
          </w:p>
        </w:tc>
      </w:tr>
      <w:tr w:rsidR="00023402" w14:paraId="5BCBE0A5" w14:textId="77777777" w:rsidTr="00023402">
        <w:tc>
          <w:tcPr>
            <w:tcW w:w="4508" w:type="dxa"/>
          </w:tcPr>
          <w:p w14:paraId="18933EA8" w14:textId="5BAC75B2" w:rsidR="00023402" w:rsidRPr="00CF6BB3" w:rsidRDefault="00F06D11" w:rsidP="00337B99">
            <w:pPr>
              <w:pStyle w:val="NormalWeb"/>
              <w:jc w:val="center"/>
              <w:rPr>
                <w:rFonts w:ascii="Calibri" w:hAnsi="Calibri" w:cs="Calibri"/>
                <w:color w:val="000000"/>
                <w:sz w:val="32"/>
                <w:szCs w:val="32"/>
              </w:rPr>
            </w:pPr>
            <w:r w:rsidRPr="00CF6BB3">
              <w:rPr>
                <w:rFonts w:ascii="Calibri" w:hAnsi="Calibri" w:cs="Calibri"/>
                <w:color w:val="000000"/>
                <w:sz w:val="32"/>
                <w:szCs w:val="32"/>
              </w:rPr>
              <w:t>P2511077</w:t>
            </w:r>
          </w:p>
        </w:tc>
        <w:tc>
          <w:tcPr>
            <w:tcW w:w="4508" w:type="dxa"/>
          </w:tcPr>
          <w:p w14:paraId="63D775B7" w14:textId="5D9E753A" w:rsidR="00F06D11" w:rsidRPr="00CF6BB3" w:rsidRDefault="00F06D11" w:rsidP="00F06D11">
            <w:pPr>
              <w:pStyle w:val="NormalWeb"/>
              <w:jc w:val="center"/>
              <w:rPr>
                <w:rFonts w:ascii="Calibri" w:hAnsi="Calibri" w:cs="Calibri"/>
                <w:color w:val="000000"/>
                <w:sz w:val="32"/>
                <w:szCs w:val="32"/>
              </w:rPr>
            </w:pPr>
            <w:r w:rsidRPr="00CF6BB3">
              <w:rPr>
                <w:rFonts w:ascii="Calibri" w:hAnsi="Calibri" w:cs="Calibri"/>
                <w:color w:val="000000"/>
                <w:sz w:val="32"/>
                <w:szCs w:val="32"/>
              </w:rPr>
              <w:t>Yashika Dhawan</w:t>
            </w:r>
          </w:p>
        </w:tc>
      </w:tr>
      <w:tr w:rsidR="00023402" w14:paraId="503814BC" w14:textId="77777777" w:rsidTr="00023402">
        <w:tc>
          <w:tcPr>
            <w:tcW w:w="4508" w:type="dxa"/>
          </w:tcPr>
          <w:p w14:paraId="3775FAC0" w14:textId="57CEB74E" w:rsidR="00023402" w:rsidRPr="00CF6BB3" w:rsidRDefault="00F06D11" w:rsidP="00337B99">
            <w:pPr>
              <w:pStyle w:val="NormalWeb"/>
              <w:jc w:val="center"/>
              <w:rPr>
                <w:rFonts w:ascii="Calibri" w:hAnsi="Calibri" w:cs="Calibri"/>
                <w:color w:val="000000"/>
                <w:sz w:val="32"/>
                <w:szCs w:val="32"/>
              </w:rPr>
            </w:pPr>
            <w:r w:rsidRPr="00CF6BB3">
              <w:rPr>
                <w:rFonts w:ascii="Calibri" w:hAnsi="Calibri" w:cs="Calibri"/>
                <w:color w:val="000000"/>
                <w:sz w:val="32"/>
                <w:szCs w:val="32"/>
              </w:rPr>
              <w:t>P2511056</w:t>
            </w:r>
          </w:p>
        </w:tc>
        <w:tc>
          <w:tcPr>
            <w:tcW w:w="4508" w:type="dxa"/>
          </w:tcPr>
          <w:p w14:paraId="4421654D" w14:textId="67FEB355" w:rsidR="00023402" w:rsidRPr="00CF6BB3" w:rsidRDefault="00F06D11" w:rsidP="00337B99">
            <w:pPr>
              <w:pStyle w:val="NormalWeb"/>
              <w:jc w:val="center"/>
              <w:rPr>
                <w:rFonts w:ascii="Calibri" w:hAnsi="Calibri" w:cs="Calibri"/>
                <w:color w:val="000000"/>
                <w:sz w:val="32"/>
                <w:szCs w:val="32"/>
              </w:rPr>
            </w:pPr>
            <w:r w:rsidRPr="00CF6BB3">
              <w:rPr>
                <w:rFonts w:ascii="Calibri" w:hAnsi="Calibri" w:cs="Calibri"/>
                <w:color w:val="000000"/>
                <w:sz w:val="32"/>
                <w:szCs w:val="32"/>
              </w:rPr>
              <w:t>Raunak Singh</w:t>
            </w:r>
          </w:p>
        </w:tc>
      </w:tr>
      <w:tr w:rsidR="00023402" w14:paraId="1BABD376" w14:textId="77777777" w:rsidTr="00023402">
        <w:tc>
          <w:tcPr>
            <w:tcW w:w="4508" w:type="dxa"/>
          </w:tcPr>
          <w:p w14:paraId="1280615E" w14:textId="593E2886" w:rsidR="00023402" w:rsidRPr="00CF6BB3" w:rsidRDefault="00F06D11" w:rsidP="00337B99">
            <w:pPr>
              <w:pStyle w:val="NormalWeb"/>
              <w:jc w:val="center"/>
              <w:rPr>
                <w:rFonts w:ascii="Calibri" w:hAnsi="Calibri" w:cs="Calibri"/>
                <w:color w:val="000000"/>
                <w:sz w:val="32"/>
                <w:szCs w:val="32"/>
              </w:rPr>
            </w:pPr>
            <w:r w:rsidRPr="00CF6BB3">
              <w:rPr>
                <w:rFonts w:ascii="Calibri" w:hAnsi="Calibri" w:cs="Calibri"/>
                <w:color w:val="000000"/>
                <w:sz w:val="32"/>
                <w:szCs w:val="32"/>
              </w:rPr>
              <w:t>P2511</w:t>
            </w:r>
            <w:r w:rsidR="00CC00BE" w:rsidRPr="00CF6BB3">
              <w:rPr>
                <w:rFonts w:ascii="Calibri" w:hAnsi="Calibri" w:cs="Calibri"/>
                <w:color w:val="000000"/>
                <w:sz w:val="32"/>
                <w:szCs w:val="32"/>
              </w:rPr>
              <w:t>0</w:t>
            </w:r>
            <w:r w:rsidR="00021C93" w:rsidRPr="00CF6BB3">
              <w:rPr>
                <w:rFonts w:ascii="Calibri" w:hAnsi="Calibri" w:cs="Calibri"/>
                <w:color w:val="000000"/>
                <w:sz w:val="32"/>
                <w:szCs w:val="32"/>
              </w:rPr>
              <w:t>35</w:t>
            </w:r>
          </w:p>
        </w:tc>
        <w:tc>
          <w:tcPr>
            <w:tcW w:w="4508" w:type="dxa"/>
          </w:tcPr>
          <w:p w14:paraId="62240A4B" w14:textId="4F34ECE1" w:rsidR="00023402" w:rsidRPr="00CF6BB3" w:rsidRDefault="00021C93" w:rsidP="00337B99">
            <w:pPr>
              <w:pStyle w:val="NormalWeb"/>
              <w:jc w:val="center"/>
              <w:rPr>
                <w:rFonts w:ascii="Calibri" w:hAnsi="Calibri" w:cs="Calibri"/>
                <w:color w:val="000000"/>
                <w:sz w:val="32"/>
                <w:szCs w:val="32"/>
              </w:rPr>
            </w:pPr>
            <w:r w:rsidRPr="00CF6BB3">
              <w:rPr>
                <w:rFonts w:ascii="Calibri" w:hAnsi="Calibri" w:cs="Calibri"/>
                <w:color w:val="000000"/>
                <w:sz w:val="32"/>
                <w:szCs w:val="32"/>
              </w:rPr>
              <w:t>Jiten Gupta</w:t>
            </w:r>
          </w:p>
        </w:tc>
      </w:tr>
      <w:tr w:rsidR="00023402" w14:paraId="27315068" w14:textId="77777777" w:rsidTr="00023402">
        <w:tc>
          <w:tcPr>
            <w:tcW w:w="4508" w:type="dxa"/>
          </w:tcPr>
          <w:p w14:paraId="29DC2525" w14:textId="04EE6419" w:rsidR="00023402" w:rsidRPr="00CF6BB3" w:rsidRDefault="00021C93" w:rsidP="00337B99">
            <w:pPr>
              <w:pStyle w:val="NormalWeb"/>
              <w:jc w:val="center"/>
              <w:rPr>
                <w:rFonts w:ascii="Calibri" w:hAnsi="Calibri" w:cs="Calibri"/>
                <w:color w:val="000000"/>
                <w:sz w:val="32"/>
                <w:szCs w:val="32"/>
              </w:rPr>
            </w:pPr>
            <w:r w:rsidRPr="00CF6BB3">
              <w:rPr>
                <w:rFonts w:ascii="Calibri" w:hAnsi="Calibri" w:cs="Calibri"/>
                <w:color w:val="000000"/>
                <w:sz w:val="32"/>
                <w:szCs w:val="32"/>
              </w:rPr>
              <w:t>P25110</w:t>
            </w:r>
            <w:r w:rsidR="001E4B85" w:rsidRPr="00CF6BB3">
              <w:rPr>
                <w:rFonts w:ascii="Calibri" w:hAnsi="Calibri" w:cs="Calibri"/>
                <w:color w:val="000000"/>
                <w:sz w:val="32"/>
                <w:szCs w:val="32"/>
              </w:rPr>
              <w:t>33</w:t>
            </w:r>
          </w:p>
        </w:tc>
        <w:tc>
          <w:tcPr>
            <w:tcW w:w="4508" w:type="dxa"/>
          </w:tcPr>
          <w:p w14:paraId="7D89B6A8" w14:textId="028DA159" w:rsidR="00023402" w:rsidRPr="00CF6BB3" w:rsidRDefault="001E4B85" w:rsidP="00337B99">
            <w:pPr>
              <w:pStyle w:val="NormalWeb"/>
              <w:jc w:val="center"/>
              <w:rPr>
                <w:rFonts w:ascii="Calibri" w:hAnsi="Calibri" w:cs="Calibri"/>
                <w:color w:val="000000"/>
                <w:sz w:val="32"/>
                <w:szCs w:val="32"/>
              </w:rPr>
            </w:pPr>
            <w:r w:rsidRPr="00CF6BB3">
              <w:rPr>
                <w:rFonts w:ascii="Calibri" w:hAnsi="Calibri" w:cs="Calibri"/>
                <w:color w:val="000000"/>
                <w:sz w:val="32"/>
                <w:szCs w:val="32"/>
              </w:rPr>
              <w:t>Jaya Agarwal</w:t>
            </w:r>
          </w:p>
        </w:tc>
      </w:tr>
      <w:tr w:rsidR="00023402" w14:paraId="52F031C3" w14:textId="77777777" w:rsidTr="00023402">
        <w:tc>
          <w:tcPr>
            <w:tcW w:w="4508" w:type="dxa"/>
          </w:tcPr>
          <w:p w14:paraId="29E6658C" w14:textId="0968E962" w:rsidR="00023402" w:rsidRPr="00CF6BB3" w:rsidRDefault="001E4B85" w:rsidP="00337B99">
            <w:pPr>
              <w:pStyle w:val="NormalWeb"/>
              <w:jc w:val="center"/>
              <w:rPr>
                <w:rFonts w:ascii="Calibri" w:hAnsi="Calibri" w:cs="Calibri"/>
                <w:color w:val="000000"/>
                <w:sz w:val="32"/>
                <w:szCs w:val="32"/>
              </w:rPr>
            </w:pPr>
            <w:r w:rsidRPr="00CF6BB3">
              <w:rPr>
                <w:rFonts w:ascii="Calibri" w:hAnsi="Calibri" w:cs="Calibri"/>
                <w:color w:val="000000"/>
                <w:sz w:val="32"/>
                <w:szCs w:val="32"/>
              </w:rPr>
              <w:t>P25110</w:t>
            </w:r>
            <w:r w:rsidR="009B3794" w:rsidRPr="00CF6BB3">
              <w:rPr>
                <w:rFonts w:ascii="Calibri" w:hAnsi="Calibri" w:cs="Calibri"/>
                <w:color w:val="000000"/>
                <w:sz w:val="32"/>
                <w:szCs w:val="32"/>
              </w:rPr>
              <w:t>09</w:t>
            </w:r>
          </w:p>
        </w:tc>
        <w:tc>
          <w:tcPr>
            <w:tcW w:w="4508" w:type="dxa"/>
          </w:tcPr>
          <w:p w14:paraId="06D27571" w14:textId="7FA9BB13" w:rsidR="00023402" w:rsidRPr="00CF6BB3" w:rsidRDefault="001E4B85" w:rsidP="00337B99">
            <w:pPr>
              <w:pStyle w:val="NormalWeb"/>
              <w:jc w:val="center"/>
              <w:rPr>
                <w:rFonts w:ascii="Calibri" w:hAnsi="Calibri" w:cs="Calibri"/>
                <w:color w:val="000000"/>
                <w:sz w:val="32"/>
                <w:szCs w:val="32"/>
              </w:rPr>
            </w:pPr>
            <w:r w:rsidRPr="00CF6BB3">
              <w:rPr>
                <w:rFonts w:ascii="Calibri" w:hAnsi="Calibri" w:cs="Calibri"/>
                <w:color w:val="000000"/>
                <w:sz w:val="32"/>
                <w:szCs w:val="32"/>
              </w:rPr>
              <w:t>Ananya Negi</w:t>
            </w:r>
          </w:p>
        </w:tc>
      </w:tr>
      <w:tr w:rsidR="00023402" w14:paraId="1F87EBC4" w14:textId="77777777" w:rsidTr="00023402">
        <w:tc>
          <w:tcPr>
            <w:tcW w:w="4508" w:type="dxa"/>
          </w:tcPr>
          <w:p w14:paraId="63B1EB24" w14:textId="730B87F6" w:rsidR="00023402" w:rsidRPr="00CF6BB3" w:rsidRDefault="009B3794" w:rsidP="00337B99">
            <w:pPr>
              <w:pStyle w:val="NormalWeb"/>
              <w:jc w:val="center"/>
              <w:rPr>
                <w:rFonts w:ascii="Calibri" w:hAnsi="Calibri" w:cs="Calibri"/>
                <w:color w:val="000000"/>
                <w:sz w:val="32"/>
                <w:szCs w:val="32"/>
              </w:rPr>
            </w:pPr>
            <w:r w:rsidRPr="00CF6BB3">
              <w:rPr>
                <w:rFonts w:ascii="Calibri" w:hAnsi="Calibri" w:cs="Calibri"/>
                <w:color w:val="000000"/>
                <w:sz w:val="32"/>
                <w:szCs w:val="32"/>
              </w:rPr>
              <w:t>P2511018</w:t>
            </w:r>
          </w:p>
        </w:tc>
        <w:tc>
          <w:tcPr>
            <w:tcW w:w="4508" w:type="dxa"/>
          </w:tcPr>
          <w:p w14:paraId="3B96B419" w14:textId="3FEBBCBF" w:rsidR="00023402" w:rsidRPr="00CF6BB3" w:rsidRDefault="009B3794" w:rsidP="00337B99">
            <w:pPr>
              <w:pStyle w:val="NormalWeb"/>
              <w:jc w:val="center"/>
              <w:rPr>
                <w:rFonts w:ascii="Calibri" w:hAnsi="Calibri" w:cs="Calibri"/>
                <w:color w:val="000000"/>
                <w:sz w:val="32"/>
                <w:szCs w:val="32"/>
              </w:rPr>
            </w:pPr>
            <w:r w:rsidRPr="00CF6BB3">
              <w:rPr>
                <w:rFonts w:ascii="Calibri" w:hAnsi="Calibri" w:cs="Calibri"/>
                <w:color w:val="000000"/>
                <w:sz w:val="32"/>
                <w:szCs w:val="32"/>
              </w:rPr>
              <w:t>Ayush Dixit</w:t>
            </w:r>
          </w:p>
        </w:tc>
      </w:tr>
      <w:tr w:rsidR="009B3794" w14:paraId="2D3EBCC0" w14:textId="77777777" w:rsidTr="00023402">
        <w:tc>
          <w:tcPr>
            <w:tcW w:w="4508" w:type="dxa"/>
          </w:tcPr>
          <w:p w14:paraId="2B2FDEB1" w14:textId="54D7C926" w:rsidR="009B3794" w:rsidRPr="00CF6BB3" w:rsidRDefault="009B3794" w:rsidP="00337B99">
            <w:pPr>
              <w:pStyle w:val="NormalWeb"/>
              <w:jc w:val="center"/>
              <w:rPr>
                <w:rFonts w:ascii="Calibri" w:hAnsi="Calibri" w:cs="Calibri"/>
                <w:color w:val="000000"/>
                <w:sz w:val="32"/>
                <w:szCs w:val="32"/>
              </w:rPr>
            </w:pPr>
            <w:r w:rsidRPr="00CF6BB3">
              <w:rPr>
                <w:rFonts w:ascii="Calibri" w:hAnsi="Calibri" w:cs="Calibri"/>
                <w:color w:val="000000"/>
                <w:sz w:val="32"/>
                <w:szCs w:val="32"/>
              </w:rPr>
              <w:t>P25110</w:t>
            </w:r>
            <w:r w:rsidR="00CF6BB3" w:rsidRPr="00CF6BB3">
              <w:rPr>
                <w:rFonts w:ascii="Calibri" w:hAnsi="Calibri" w:cs="Calibri"/>
                <w:color w:val="000000"/>
                <w:sz w:val="32"/>
                <w:szCs w:val="32"/>
              </w:rPr>
              <w:t>69</w:t>
            </w:r>
          </w:p>
        </w:tc>
        <w:tc>
          <w:tcPr>
            <w:tcW w:w="4508" w:type="dxa"/>
          </w:tcPr>
          <w:p w14:paraId="667EE5B2" w14:textId="0C76F4D2" w:rsidR="009B3794" w:rsidRPr="00CF6BB3" w:rsidRDefault="00CF6BB3" w:rsidP="00337B99">
            <w:pPr>
              <w:pStyle w:val="NormalWeb"/>
              <w:jc w:val="center"/>
              <w:rPr>
                <w:rFonts w:ascii="Calibri" w:hAnsi="Calibri" w:cs="Calibri"/>
                <w:color w:val="000000"/>
                <w:sz w:val="32"/>
                <w:szCs w:val="32"/>
              </w:rPr>
            </w:pPr>
            <w:r w:rsidRPr="00CF6BB3">
              <w:rPr>
                <w:rFonts w:ascii="Calibri" w:hAnsi="Calibri" w:cs="Calibri"/>
                <w:color w:val="000000"/>
                <w:sz w:val="32"/>
                <w:szCs w:val="32"/>
              </w:rPr>
              <w:t>Siddhi Kumari</w:t>
            </w:r>
          </w:p>
        </w:tc>
      </w:tr>
    </w:tbl>
    <w:p w14:paraId="51E083B0" w14:textId="77777777" w:rsidR="00F55B0F" w:rsidRPr="00F55B0F" w:rsidRDefault="00F55B0F" w:rsidP="00337B99">
      <w:pPr>
        <w:pStyle w:val="NormalWeb"/>
        <w:jc w:val="center"/>
        <w:rPr>
          <w:rFonts w:ascii="Calibri" w:hAnsi="Calibri" w:cs="Calibri"/>
          <w:b/>
          <w:bCs/>
          <w:color w:val="000000"/>
          <w:sz w:val="32"/>
          <w:szCs w:val="32"/>
        </w:rPr>
      </w:pPr>
    </w:p>
    <w:p w14:paraId="311EDC29" w14:textId="77777777" w:rsidR="00023402" w:rsidRPr="00F55B0F" w:rsidRDefault="00023402" w:rsidP="00F55B0F">
      <w:pPr>
        <w:pStyle w:val="NormalWeb"/>
        <w:rPr>
          <w:rFonts w:ascii="Calibri" w:hAnsi="Calibri" w:cs="Calibri"/>
          <w:color w:val="000000"/>
          <w:sz w:val="21"/>
          <w:szCs w:val="21"/>
        </w:rPr>
      </w:pPr>
    </w:p>
    <w:p w14:paraId="3FEC26C3" w14:textId="0DCFC0F5" w:rsidR="00851585" w:rsidRPr="008F6FE9" w:rsidRDefault="0033755B" w:rsidP="00F55B0F">
      <w:pPr>
        <w:pStyle w:val="NormalWeb"/>
        <w:jc w:val="center"/>
        <w:rPr>
          <w:rFonts w:ascii="Calibri" w:hAnsi="Calibri" w:cs="Calibri"/>
          <w:sz w:val="52"/>
          <w:szCs w:val="52"/>
          <w:u w:val="single"/>
        </w:rPr>
      </w:pPr>
      <w:r>
        <w:rPr>
          <w:noProof/>
        </w:rPr>
        <w:lastRenderedPageBreak/>
        <w:drawing>
          <wp:anchor distT="0" distB="0" distL="114300" distR="114300" simplePos="0" relativeHeight="251665408" behindDoc="0" locked="0" layoutInCell="1" allowOverlap="1" wp14:anchorId="31550E0A" wp14:editId="0F61C225">
            <wp:simplePos x="0" y="0"/>
            <wp:positionH relativeFrom="column">
              <wp:posOffset>4411345</wp:posOffset>
            </wp:positionH>
            <wp:positionV relativeFrom="paragraph">
              <wp:posOffset>2084110</wp:posOffset>
            </wp:positionV>
            <wp:extent cx="1805940" cy="800735"/>
            <wp:effectExtent l="0" t="0" r="3810" b="0"/>
            <wp:wrapSquare wrapText="bothSides"/>
            <wp:docPr id="15849979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5940" cy="8007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472A">
        <w:rPr>
          <w:noProof/>
        </w:rPr>
        <w:drawing>
          <wp:anchor distT="0" distB="0" distL="114300" distR="114300" simplePos="0" relativeHeight="251661312" behindDoc="1" locked="0" layoutInCell="1" allowOverlap="1" wp14:anchorId="09D92997" wp14:editId="1FA9EEF9">
            <wp:simplePos x="0" y="0"/>
            <wp:positionH relativeFrom="column">
              <wp:posOffset>4410075</wp:posOffset>
            </wp:positionH>
            <wp:positionV relativeFrom="paragraph">
              <wp:posOffset>552450</wp:posOffset>
            </wp:positionV>
            <wp:extent cx="1809750" cy="695325"/>
            <wp:effectExtent l="0" t="0" r="0" b="9525"/>
            <wp:wrapSquare wrapText="bothSides"/>
            <wp:docPr id="1814239515" name="Picture 1" descr="Prospective HUL Distributo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spective HUL Distributors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9750" cy="695325"/>
                    </a:xfrm>
                    <a:prstGeom prst="rect">
                      <a:avLst/>
                    </a:prstGeom>
                    <a:noFill/>
                    <a:ln>
                      <a:noFill/>
                    </a:ln>
                  </pic:spPr>
                </pic:pic>
              </a:graphicData>
            </a:graphic>
            <wp14:sizeRelH relativeFrom="margin">
              <wp14:pctWidth>0</wp14:pctWidth>
            </wp14:sizeRelH>
          </wp:anchor>
        </w:drawing>
      </w:r>
      <w:r w:rsidR="00851585" w:rsidRPr="008F6FE9">
        <w:rPr>
          <w:rFonts w:ascii="Calibri" w:hAnsi="Calibri" w:cs="Calibri"/>
          <w:b/>
          <w:bCs/>
          <w:color w:val="000000"/>
          <w:sz w:val="52"/>
          <w:szCs w:val="52"/>
          <w:u w:val="single"/>
        </w:rPr>
        <w:t>Section I — Introduction</w:t>
      </w:r>
      <w:r w:rsidR="00C349B7">
        <w:rPr>
          <w:rFonts w:ascii="Calibri" w:hAnsi="Calibri" w:cs="Calibri"/>
          <w:b/>
          <w:bCs/>
          <w:color w:val="000000"/>
          <w:sz w:val="52"/>
          <w:szCs w:val="52"/>
          <w:u w:val="single"/>
        </w:rPr>
        <w:t xml:space="preserve"> to HUL</w:t>
      </w:r>
    </w:p>
    <w:p w14:paraId="128617B7" w14:textId="762A2AC7" w:rsidR="00402522" w:rsidRDefault="00CF10D2" w:rsidP="0033755B">
      <w:pPr>
        <w:pStyle w:val="NormalWeb"/>
        <w:tabs>
          <w:tab w:val="left" w:pos="720"/>
          <w:tab w:val="left" w:pos="1440"/>
          <w:tab w:val="left" w:pos="2160"/>
          <w:tab w:val="left" w:pos="2880"/>
          <w:tab w:val="left" w:pos="3600"/>
          <w:tab w:val="left" w:pos="4320"/>
          <w:tab w:val="left" w:pos="5040"/>
          <w:tab w:val="left" w:pos="5760"/>
          <w:tab w:val="left" w:pos="7245"/>
        </w:tabs>
        <w:rPr>
          <w:rFonts w:ascii="Calibri" w:hAnsi="Calibri" w:cs="Calibri"/>
          <w:b/>
          <w:bCs/>
          <w:color w:val="000000"/>
        </w:rPr>
      </w:pPr>
      <w:r>
        <w:rPr>
          <w:noProof/>
        </w:rPr>
        <mc:AlternateContent>
          <mc:Choice Requires="wps">
            <w:drawing>
              <wp:anchor distT="0" distB="0" distL="114300" distR="114300" simplePos="0" relativeHeight="251684864" behindDoc="0" locked="0" layoutInCell="1" allowOverlap="1" wp14:anchorId="3D8A906A" wp14:editId="7B3B59E7">
                <wp:simplePos x="0" y="0"/>
                <wp:positionH relativeFrom="column">
                  <wp:posOffset>4408170</wp:posOffset>
                </wp:positionH>
                <wp:positionV relativeFrom="paragraph">
                  <wp:posOffset>2359660</wp:posOffset>
                </wp:positionV>
                <wp:extent cx="1805940" cy="170180"/>
                <wp:effectExtent l="0" t="0" r="3810" b="1270"/>
                <wp:wrapSquare wrapText="bothSides"/>
                <wp:docPr id="604161128" name="Text Box 1"/>
                <wp:cNvGraphicFramePr/>
                <a:graphic xmlns:a="http://schemas.openxmlformats.org/drawingml/2006/main">
                  <a:graphicData uri="http://schemas.microsoft.com/office/word/2010/wordprocessingShape">
                    <wps:wsp>
                      <wps:cNvSpPr txBox="1"/>
                      <wps:spPr>
                        <a:xfrm>
                          <a:off x="0" y="0"/>
                          <a:ext cx="1805940" cy="170180"/>
                        </a:xfrm>
                        <a:prstGeom prst="rect">
                          <a:avLst/>
                        </a:prstGeom>
                        <a:solidFill>
                          <a:prstClr val="white"/>
                        </a:solidFill>
                        <a:ln>
                          <a:noFill/>
                        </a:ln>
                      </wps:spPr>
                      <wps:txbx>
                        <w:txbxContent>
                          <w:p w14:paraId="1944A555" w14:textId="390BD907" w:rsidR="00CF10D2" w:rsidRPr="00332866" w:rsidRDefault="00CF10D2" w:rsidP="00CF10D2">
                            <w:pPr>
                              <w:pStyle w:val="Caption"/>
                              <w:jc w:val="right"/>
                              <w:rPr>
                                <w:noProof/>
                              </w:rPr>
                            </w:pPr>
                            <w:r>
                              <w:t>Source: www.screener.com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D8A906A" id="_x0000_t202" coordsize="21600,21600" o:spt="202" path="m,l,21600r21600,l21600,xe">
                <v:stroke joinstyle="miter"/>
                <v:path gradientshapeok="t" o:connecttype="rect"/>
              </v:shapetype>
              <v:shape id="Text Box 1" o:spid="_x0000_s1026" type="#_x0000_t202" style="position:absolute;margin-left:347.1pt;margin-top:185.8pt;width:142.2pt;height:13.4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" stroked="f">
                <v:textbox inset="0,0,0,0">
                  <w:txbxContent>
                    <w:p w14:paraId="1944A555" w14:textId="390BD907" w:rsidR="00CF10D2" w:rsidRPr="00332866" w:rsidRDefault="00CF10D2" w:rsidP="00CF10D2">
                      <w:pPr>
                        <w:pStyle w:val="Caption"/>
                        <w:jc w:val="right"/>
                        <w:rPr>
                          <w:noProof/>
                        </w:rPr>
                      </w:pPr>
                      <w:r>
                        <w:t>Source: www.screener.com</w:t>
                      </w:r>
                    </w:p>
                  </w:txbxContent>
                </v:textbox>
                <w10:wrap type="square"/>
              </v:shape>
            </w:pict>
          </mc:Fallback>
        </mc:AlternateContent>
      </w:r>
      <w:r w:rsidR="00402522" w:rsidRPr="00731C8A">
        <w:rPr>
          <w:rFonts w:ascii="Calibri" w:hAnsi="Calibri" w:cs="Calibri"/>
          <w:noProof/>
          <w:color w:val="000000"/>
        </w:rPr>
        <mc:AlternateContent>
          <mc:Choice Requires="wps">
            <w:drawing>
              <wp:anchor distT="45720" distB="45720" distL="114300" distR="114300" simplePos="0" relativeHeight="251667456" behindDoc="0" locked="0" layoutInCell="1" allowOverlap="1" wp14:anchorId="08CE4C51" wp14:editId="24350589">
                <wp:simplePos x="0" y="0"/>
                <wp:positionH relativeFrom="column">
                  <wp:posOffset>-26670</wp:posOffset>
                </wp:positionH>
                <wp:positionV relativeFrom="paragraph">
                  <wp:posOffset>264160</wp:posOffset>
                </wp:positionV>
                <wp:extent cx="4381500" cy="2140585"/>
                <wp:effectExtent l="0" t="0" r="0" b="0"/>
                <wp:wrapSquare wrapText="bothSides"/>
                <wp:docPr id="1049986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0" cy="2140585"/>
                        </a:xfrm>
                        <a:prstGeom prst="rect">
                          <a:avLst/>
                        </a:prstGeom>
                        <a:solidFill>
                          <a:srgbClr val="FFFFFF"/>
                        </a:solidFill>
                        <a:ln w="9525">
                          <a:noFill/>
                          <a:miter lim="800000"/>
                          <a:headEnd/>
                          <a:tailEnd/>
                        </a:ln>
                      </wps:spPr>
                      <wps:txbx>
                        <w:txbxContent>
                          <w:p w14:paraId="49DED08E" w14:textId="77182EE8" w:rsidR="00731C8A" w:rsidRPr="00C349B7" w:rsidRDefault="0033755B" w:rsidP="00C349B7">
                            <w:pPr>
                              <w:jc w:val="both"/>
                              <w:rPr>
                                <w:rFonts w:ascii="Calibri" w:hAnsi="Calibri" w:cs="Calibri"/>
                              </w:rPr>
                            </w:pPr>
                            <w:r w:rsidRPr="00C349B7">
                              <w:rPr>
                                <w:rFonts w:ascii="Calibri" w:hAnsi="Calibri" w:cs="Calibri"/>
                              </w:rPr>
                              <w:t>Hindustan Unilever Limited (HUL) is one of the top fast-moving consumer goods (FMCG) companies in India which operates in different categories of Home Care, Beauty &amp; Personal Care, and Foods &amp; Refreshment. HUL has a long heritage that goes back for decades and has many brands that meet the everyday needs of millions of consumers. The company operates high quality manufacturing plants throughout the country and has an extensive distribution network so that its products are available anywhere. HUL has a primary focus on India, but continues to grow through innovation, sustainability to consumers, and other approaches consistent with being an FMCG leader.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CE4C51" id="Text Box 2" o:spid="_x0000_s1027" type="#_x0000_t202" style="position:absolute;margin-left:-2.1pt;margin-top:20.8pt;width:345pt;height:168.5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" stroked="f">
                <v:textbox>
                  <w:txbxContent>
                    <w:p w14:paraId="49DED08E" w14:textId="77182EE8" w:rsidR="00731C8A" w:rsidRPr="00C349B7" w:rsidRDefault="0033755B" w:rsidP="00C349B7">
                      <w:pPr>
                        <w:jc w:val="both"/>
                        <w:rPr>
                          <w:rFonts w:ascii="Calibri" w:hAnsi="Calibri" w:cs="Calibri"/>
                        </w:rPr>
                      </w:pPr>
                      <w:r w:rsidRPr="00C349B7">
                        <w:rPr>
                          <w:rFonts w:ascii="Calibri" w:hAnsi="Calibri" w:cs="Calibri"/>
                        </w:rPr>
                        <w:t>Hindustan Unilever Limited (HUL) is one of the top fast-moving consumer goods (FMCG) companies in India which operates in different categories of Home Care, Beauty &amp; Personal Care, and Foods &amp; Refreshment. HUL has a long heritage that goes back for decades and has many brands that meet the everyday needs of millions of consumers. The company operates high quality manufacturing plants throughout the country and has an extensive distribution network so that its products are available anywhere. HUL has a primary focus on India, but continues to grow through innovation, sustainability to consumers, and other approaches consistent with being an FMCG leader.</w:t>
                      </w:r>
                    </w:p>
                  </w:txbxContent>
                </v:textbox>
                <w10:wrap type="square"/>
              </v:shape>
            </w:pict>
          </mc:Fallback>
        </mc:AlternateContent>
      </w:r>
      <w:r w:rsidR="00175EF5" w:rsidRPr="00A40D20">
        <w:rPr>
          <w:rFonts w:ascii="Calibri" w:hAnsi="Calibri" w:cs="Calibri"/>
          <w:b/>
          <w:bCs/>
          <w:noProof/>
          <w:color w:val="000000"/>
        </w:rPr>
        <mc:AlternateContent>
          <mc:Choice Requires="wps">
            <w:drawing>
              <wp:anchor distT="45720" distB="45720" distL="114300" distR="114300" simplePos="0" relativeHeight="251669504" behindDoc="0" locked="0" layoutInCell="1" allowOverlap="1" wp14:anchorId="21A968D2" wp14:editId="3B004380">
                <wp:simplePos x="0" y="0"/>
                <wp:positionH relativeFrom="column">
                  <wp:posOffset>4407535</wp:posOffset>
                </wp:positionH>
                <wp:positionV relativeFrom="paragraph">
                  <wp:posOffset>661035</wp:posOffset>
                </wp:positionV>
                <wp:extent cx="1805940" cy="839470"/>
                <wp:effectExtent l="0" t="0" r="381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940" cy="839470"/>
                        </a:xfrm>
                        <a:prstGeom prst="rect">
                          <a:avLst/>
                        </a:prstGeom>
                        <a:solidFill>
                          <a:srgbClr val="FFFFFF"/>
                        </a:solidFill>
                        <a:ln w="9525">
                          <a:noFill/>
                          <a:miter lim="800000"/>
                          <a:headEnd/>
                          <a:tailEnd/>
                        </a:ln>
                      </wps:spPr>
                      <wps:txbx>
                        <w:txbxContent>
                          <w:p w14:paraId="5994F08E" w14:textId="77777777" w:rsidR="00175EF5" w:rsidRPr="003B731D" w:rsidRDefault="00175EF5" w:rsidP="00175EF5">
                            <w:pPr>
                              <w:rPr>
                                <w:sz w:val="14"/>
                                <w:szCs w:val="14"/>
                                <w:lang w:val="en-US"/>
                              </w:rPr>
                            </w:pPr>
                            <w:r w:rsidRPr="003B731D">
                              <w:rPr>
                                <w:sz w:val="14"/>
                                <w:szCs w:val="14"/>
                                <w:lang w:val="en-US"/>
                              </w:rPr>
                              <w:t>Stock Market data as 26 September, 2025</w:t>
                            </w:r>
                          </w:p>
                          <w:p w14:paraId="41DD6761" w14:textId="77777777" w:rsidR="00175EF5" w:rsidRDefault="00175EF5" w:rsidP="00175EF5"/>
                          <w:p w14:paraId="65D3CE60" w14:textId="77777777" w:rsidR="00175EF5" w:rsidRPr="00C129F7" w:rsidRDefault="00175EF5" w:rsidP="00175EF5">
                            <w:pPr>
                              <w:rPr>
                                <w:sz w:val="16"/>
                                <w:szCs w:val="16"/>
                              </w:rPr>
                            </w:pPr>
                            <w:r w:rsidRPr="00C129F7">
                              <w:rPr>
                                <w:sz w:val="16"/>
                                <w:szCs w:val="16"/>
                              </w:rPr>
                              <w:t>Market Cap</w:t>
                            </w:r>
                            <w:r w:rsidRPr="00C129F7">
                              <w:rPr>
                                <w:sz w:val="16"/>
                                <w:szCs w:val="16"/>
                              </w:rPr>
                              <w:tab/>
                              <w:t>- ₹ 5,90, 170 Cr.</w:t>
                            </w:r>
                          </w:p>
                          <w:p w14:paraId="09A1266C" w14:textId="77777777" w:rsidR="00175EF5" w:rsidRPr="00C129F7" w:rsidRDefault="00175EF5" w:rsidP="00175EF5">
                            <w:pPr>
                              <w:rPr>
                                <w:sz w:val="16"/>
                                <w:szCs w:val="16"/>
                              </w:rPr>
                            </w:pPr>
                            <w:r w:rsidRPr="00C129F7">
                              <w:rPr>
                                <w:sz w:val="16"/>
                                <w:szCs w:val="16"/>
                              </w:rPr>
                              <w:t>CMP</w:t>
                            </w:r>
                            <w:r w:rsidRPr="00C129F7">
                              <w:rPr>
                                <w:sz w:val="16"/>
                                <w:szCs w:val="16"/>
                              </w:rPr>
                              <w:tab/>
                            </w:r>
                            <w:r w:rsidRPr="00C129F7">
                              <w:rPr>
                                <w:sz w:val="16"/>
                                <w:szCs w:val="16"/>
                              </w:rPr>
                              <w:tab/>
                              <w:t>- ₹ 2,512</w:t>
                            </w:r>
                          </w:p>
                          <w:p w14:paraId="064BC625" w14:textId="77777777" w:rsidR="00175EF5" w:rsidRDefault="00175EF5" w:rsidP="00175EF5">
                            <w:pPr>
                              <w:rPr>
                                <w:sz w:val="16"/>
                                <w:szCs w:val="16"/>
                              </w:rPr>
                            </w:pPr>
                            <w:r w:rsidRPr="00C129F7">
                              <w:rPr>
                                <w:sz w:val="16"/>
                                <w:szCs w:val="16"/>
                              </w:rPr>
                              <w:t>High/Low</w:t>
                            </w:r>
                            <w:r w:rsidRPr="00C129F7">
                              <w:rPr>
                                <w:sz w:val="16"/>
                                <w:szCs w:val="16"/>
                              </w:rPr>
                              <w:tab/>
                            </w:r>
                            <w:r>
                              <w:rPr>
                                <w:sz w:val="16"/>
                                <w:szCs w:val="16"/>
                              </w:rPr>
                              <w:tab/>
                            </w:r>
                            <w:r w:rsidRPr="00C129F7">
                              <w:rPr>
                                <w:sz w:val="16"/>
                                <w:szCs w:val="16"/>
                              </w:rPr>
                              <w:t>- ₹ 2,998/2,136</w:t>
                            </w:r>
                          </w:p>
                          <w:p w14:paraId="23FD22CE" w14:textId="77777777" w:rsidR="00175EF5" w:rsidRPr="00C129F7" w:rsidRDefault="00175EF5" w:rsidP="00175EF5">
                            <w:pPr>
                              <w:rPr>
                                <w:sz w:val="16"/>
                                <w:szCs w:val="16"/>
                              </w:rPr>
                            </w:pPr>
                            <w:r>
                              <w:rPr>
                                <w:sz w:val="16"/>
                                <w:szCs w:val="16"/>
                              </w:rPr>
                              <w:t>Stock Trends (Sept. 2024 – Sept. 2025)</w:t>
                            </w:r>
                          </w:p>
                          <w:p w14:paraId="412CF681" w14:textId="77777777" w:rsidR="00175EF5" w:rsidRDefault="00175EF5" w:rsidP="00175EF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A968D2" id="_x0000_s1028" type="#_x0000_t202" style="position:absolute;margin-left:347.05pt;margin-top:52.05pt;width:142.2pt;height:66.1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" stroked="f">
                <v:textbox>
                  <w:txbxContent>
                    <w:p w14:paraId="5994F08E" w14:textId="77777777" w:rsidR="00175EF5" w:rsidRPr="003B731D" w:rsidRDefault="00175EF5" w:rsidP="00175EF5">
                      <w:pPr>
                        <w:rPr>
                          <w:sz w:val="14"/>
                          <w:szCs w:val="14"/>
                          <w:lang w:val="en-US"/>
                        </w:rPr>
                      </w:pPr>
                      <w:r w:rsidRPr="003B731D">
                        <w:rPr>
                          <w:sz w:val="14"/>
                          <w:szCs w:val="14"/>
                          <w:lang w:val="en-US"/>
                        </w:rPr>
                        <w:t>Stock Market data as 26 September, 2025</w:t>
                      </w:r>
                    </w:p>
                    <w:p w14:paraId="41DD6761" w14:textId="77777777" w:rsidR="00175EF5" w:rsidRDefault="00175EF5" w:rsidP="00175EF5"/>
                    <w:p w14:paraId="65D3CE60" w14:textId="77777777" w:rsidR="00175EF5" w:rsidRPr="00C129F7" w:rsidRDefault="00175EF5" w:rsidP="00175EF5">
                      <w:pPr>
                        <w:rPr>
                          <w:sz w:val="16"/>
                          <w:szCs w:val="16"/>
                        </w:rPr>
                      </w:pPr>
                      <w:r w:rsidRPr="00C129F7">
                        <w:rPr>
                          <w:sz w:val="16"/>
                          <w:szCs w:val="16"/>
                        </w:rPr>
                        <w:t>Market Cap</w:t>
                      </w:r>
                      <w:r w:rsidRPr="00C129F7">
                        <w:rPr>
                          <w:sz w:val="16"/>
                          <w:szCs w:val="16"/>
                        </w:rPr>
                        <w:tab/>
                        <w:t>- ₹ 5,90, 170 Cr.</w:t>
                      </w:r>
                    </w:p>
                    <w:p w14:paraId="09A1266C" w14:textId="77777777" w:rsidR="00175EF5" w:rsidRPr="00C129F7" w:rsidRDefault="00175EF5" w:rsidP="00175EF5">
                      <w:pPr>
                        <w:rPr>
                          <w:sz w:val="16"/>
                          <w:szCs w:val="16"/>
                        </w:rPr>
                      </w:pPr>
                      <w:r w:rsidRPr="00C129F7">
                        <w:rPr>
                          <w:sz w:val="16"/>
                          <w:szCs w:val="16"/>
                        </w:rPr>
                        <w:t>CMP</w:t>
                      </w:r>
                      <w:r w:rsidRPr="00C129F7">
                        <w:rPr>
                          <w:sz w:val="16"/>
                          <w:szCs w:val="16"/>
                        </w:rPr>
                        <w:tab/>
                      </w:r>
                      <w:r w:rsidRPr="00C129F7">
                        <w:rPr>
                          <w:sz w:val="16"/>
                          <w:szCs w:val="16"/>
                        </w:rPr>
                        <w:tab/>
                        <w:t>- ₹ 2,512</w:t>
                      </w:r>
                    </w:p>
                    <w:p w14:paraId="064BC625" w14:textId="77777777" w:rsidR="00175EF5" w:rsidRDefault="00175EF5" w:rsidP="00175EF5">
                      <w:pPr>
                        <w:rPr>
                          <w:sz w:val="16"/>
                          <w:szCs w:val="16"/>
                        </w:rPr>
                      </w:pPr>
                      <w:r w:rsidRPr="00C129F7">
                        <w:rPr>
                          <w:sz w:val="16"/>
                          <w:szCs w:val="16"/>
                        </w:rPr>
                        <w:t>High/Low</w:t>
                      </w:r>
                      <w:r w:rsidRPr="00C129F7">
                        <w:rPr>
                          <w:sz w:val="16"/>
                          <w:szCs w:val="16"/>
                        </w:rPr>
                        <w:tab/>
                      </w:r>
                      <w:r>
                        <w:rPr>
                          <w:sz w:val="16"/>
                          <w:szCs w:val="16"/>
                        </w:rPr>
                        <w:tab/>
                      </w:r>
                      <w:r w:rsidRPr="00C129F7">
                        <w:rPr>
                          <w:sz w:val="16"/>
                          <w:szCs w:val="16"/>
                        </w:rPr>
                        <w:t>- ₹ 2,998/2,136</w:t>
                      </w:r>
                    </w:p>
                    <w:p w14:paraId="23FD22CE" w14:textId="77777777" w:rsidR="00175EF5" w:rsidRPr="00C129F7" w:rsidRDefault="00175EF5" w:rsidP="00175EF5">
                      <w:pPr>
                        <w:rPr>
                          <w:sz w:val="16"/>
                          <w:szCs w:val="16"/>
                        </w:rPr>
                      </w:pPr>
                      <w:r>
                        <w:rPr>
                          <w:sz w:val="16"/>
                          <w:szCs w:val="16"/>
                        </w:rPr>
                        <w:t>Stock Trends (Sept. 2024 – Sept. 2025)</w:t>
                      </w:r>
                    </w:p>
                    <w:p w14:paraId="412CF681" w14:textId="77777777" w:rsidR="00175EF5" w:rsidRDefault="00175EF5" w:rsidP="00175EF5"/>
                  </w:txbxContent>
                </v:textbox>
                <w10:wrap type="square"/>
              </v:shape>
            </w:pict>
          </mc:Fallback>
        </mc:AlternateContent>
      </w:r>
      <w:r w:rsidR="00C349B7">
        <w:rPr>
          <w:rFonts w:ascii="Calibri" w:hAnsi="Calibri" w:cs="Calibri"/>
          <w:b/>
          <w:bCs/>
          <w:color w:val="000000"/>
        </w:rPr>
        <w:t xml:space="preserve">  About the Company</w:t>
      </w:r>
    </w:p>
    <w:p w14:paraId="2000E1EC" w14:textId="77777777" w:rsidR="00402522" w:rsidRDefault="00402522" w:rsidP="0033755B">
      <w:pPr>
        <w:pStyle w:val="NormalWeb"/>
        <w:tabs>
          <w:tab w:val="left" w:pos="720"/>
          <w:tab w:val="left" w:pos="1440"/>
          <w:tab w:val="left" w:pos="2160"/>
          <w:tab w:val="left" w:pos="2880"/>
          <w:tab w:val="left" w:pos="3600"/>
          <w:tab w:val="left" w:pos="4320"/>
          <w:tab w:val="left" w:pos="5040"/>
          <w:tab w:val="left" w:pos="5760"/>
          <w:tab w:val="left" w:pos="7245"/>
        </w:tabs>
        <w:rPr>
          <w:rFonts w:ascii="Calibri" w:hAnsi="Calibri" w:cs="Calibri"/>
          <w:b/>
          <w:bCs/>
          <w:color w:val="000000"/>
        </w:rPr>
      </w:pPr>
    </w:p>
    <w:p w14:paraId="578D0F68" w14:textId="287CC37D" w:rsidR="00175EF5" w:rsidRPr="00402522" w:rsidRDefault="00175EF5" w:rsidP="006F3348">
      <w:pPr>
        <w:pStyle w:val="NormalWeb"/>
        <w:tabs>
          <w:tab w:val="left" w:pos="720"/>
          <w:tab w:val="left" w:pos="1440"/>
          <w:tab w:val="left" w:pos="2160"/>
          <w:tab w:val="left" w:pos="2880"/>
          <w:tab w:val="left" w:pos="3600"/>
          <w:tab w:val="left" w:pos="4320"/>
          <w:tab w:val="left" w:pos="5040"/>
          <w:tab w:val="left" w:pos="5760"/>
          <w:tab w:val="left" w:pos="7245"/>
        </w:tabs>
        <w:jc w:val="both"/>
        <w:rPr>
          <w:rFonts w:ascii="Calibri" w:hAnsi="Calibri" w:cs="Calibri"/>
          <w:color w:val="000000"/>
        </w:rPr>
      </w:pPr>
      <w:r w:rsidRPr="00F55B0F">
        <w:rPr>
          <w:rFonts w:ascii="Calibri" w:hAnsi="Calibri" w:cs="Calibri"/>
          <w:b/>
          <w:bCs/>
          <w:color w:val="000000"/>
        </w:rPr>
        <w:t>Deliverable:</w:t>
      </w:r>
      <w:r w:rsidRPr="00F55B0F">
        <w:rPr>
          <w:rFonts w:ascii="Calibri" w:hAnsi="Calibri" w:cs="Calibri"/>
          <w:color w:val="000000"/>
        </w:rPr>
        <w:t xml:space="preserve"> Group written assignment - Analysis (listed company) using ratios for investment decision</w:t>
      </w:r>
    </w:p>
    <w:p w14:paraId="7CC6C245" w14:textId="31B71428" w:rsidR="00F55B0F" w:rsidRPr="00F55B0F" w:rsidRDefault="00337B99" w:rsidP="006F3348">
      <w:pPr>
        <w:spacing w:before="100" w:beforeAutospacing="1" w:after="100" w:afterAutospacing="1"/>
        <w:jc w:val="both"/>
        <w:outlineLvl w:val="0"/>
        <w:rPr>
          <w:rFonts w:ascii="Calibri" w:hAnsi="Calibri" w:cs="Calibri"/>
          <w:b/>
          <w:bCs/>
          <w:kern w:val="36"/>
        </w:rPr>
      </w:pPr>
      <w:r w:rsidRPr="00337B99">
        <w:rPr>
          <w:rFonts w:ascii="Calibri" w:hAnsi="Calibri" w:cs="Calibri"/>
          <w:b/>
          <w:bCs/>
          <w:kern w:val="36"/>
        </w:rPr>
        <w:t>Why We Chose Hindustan Unilever Limited (HUL)</w:t>
      </w:r>
    </w:p>
    <w:p w14:paraId="65386D11" w14:textId="46339A22" w:rsidR="00337B99" w:rsidRPr="00337B99" w:rsidRDefault="00337B99" w:rsidP="006F3348">
      <w:pPr>
        <w:spacing w:before="100" w:beforeAutospacing="1" w:after="100" w:afterAutospacing="1"/>
        <w:jc w:val="both"/>
        <w:outlineLvl w:val="1"/>
        <w:rPr>
          <w:rFonts w:ascii="Calibri" w:hAnsi="Calibri" w:cs="Calibri"/>
          <w:b/>
          <w:bCs/>
        </w:rPr>
      </w:pPr>
      <w:r w:rsidRPr="00337B99">
        <w:rPr>
          <w:rFonts w:ascii="Calibri" w:hAnsi="Calibri" w:cs="Calibri"/>
          <w:b/>
          <w:bCs/>
        </w:rPr>
        <w:t>Everyday Presence</w:t>
      </w:r>
    </w:p>
    <w:p w14:paraId="40BD0413" w14:textId="77777777" w:rsidR="00337B99" w:rsidRPr="00337B99" w:rsidRDefault="00337B99" w:rsidP="006F3348">
      <w:pPr>
        <w:spacing w:before="100" w:beforeAutospacing="1" w:after="100" w:afterAutospacing="1"/>
        <w:jc w:val="both"/>
        <w:rPr>
          <w:rFonts w:ascii="Calibri" w:hAnsi="Calibri" w:cs="Calibri"/>
        </w:rPr>
      </w:pPr>
      <w:r w:rsidRPr="00337B99">
        <w:rPr>
          <w:rFonts w:ascii="Calibri" w:hAnsi="Calibri" w:cs="Calibri"/>
        </w:rPr>
        <w:t xml:space="preserve">When we began thinking about which company to </w:t>
      </w:r>
      <w:proofErr w:type="spellStart"/>
      <w:r w:rsidRPr="00337B99">
        <w:rPr>
          <w:rFonts w:ascii="Calibri" w:hAnsi="Calibri" w:cs="Calibri"/>
        </w:rPr>
        <w:t>analyze</w:t>
      </w:r>
      <w:proofErr w:type="spellEnd"/>
      <w:r w:rsidRPr="00337B99">
        <w:rPr>
          <w:rFonts w:ascii="Calibri" w:hAnsi="Calibri" w:cs="Calibri"/>
        </w:rPr>
        <w:t xml:space="preserve"> for this project, our group wanted to choose one that is not just big on paper but also deeply connected to our everyday lives. That is why we selected Hindustan Unilever Limited (HUL). Almost every Indian household has a piece of HUL in it, whether we notice it or not.</w:t>
      </w:r>
    </w:p>
    <w:p w14:paraId="2E52156F" w14:textId="77777777" w:rsidR="00337B99" w:rsidRPr="00337B99" w:rsidRDefault="00337B99" w:rsidP="006F3348">
      <w:pPr>
        <w:spacing w:before="100" w:beforeAutospacing="1" w:after="100" w:afterAutospacing="1"/>
        <w:jc w:val="both"/>
        <w:rPr>
          <w:rFonts w:ascii="Calibri" w:hAnsi="Calibri" w:cs="Calibri"/>
        </w:rPr>
      </w:pPr>
      <w:r w:rsidRPr="00337B99">
        <w:rPr>
          <w:rFonts w:ascii="Calibri" w:hAnsi="Calibri" w:cs="Calibri"/>
        </w:rPr>
        <w:t xml:space="preserve">In the bathroom, you would almost always find brands like Dove, Lux, or Surf Excel. In the kitchen, there would be </w:t>
      </w:r>
      <w:proofErr w:type="spellStart"/>
      <w:r w:rsidRPr="00337B99">
        <w:rPr>
          <w:rFonts w:ascii="Calibri" w:hAnsi="Calibri" w:cs="Calibri"/>
        </w:rPr>
        <w:t>Kissan</w:t>
      </w:r>
      <w:proofErr w:type="spellEnd"/>
      <w:r w:rsidRPr="00337B99">
        <w:rPr>
          <w:rFonts w:ascii="Calibri" w:hAnsi="Calibri" w:cs="Calibri"/>
        </w:rPr>
        <w:t xml:space="preserve"> ketchup or Brooke Bond tea. On the dressing table, </w:t>
      </w:r>
      <w:proofErr w:type="spellStart"/>
      <w:r w:rsidRPr="00337B99">
        <w:rPr>
          <w:rFonts w:ascii="Calibri" w:hAnsi="Calibri" w:cs="Calibri"/>
        </w:rPr>
        <w:t>Lakmé</w:t>
      </w:r>
      <w:proofErr w:type="spellEnd"/>
      <w:r w:rsidRPr="00337B99">
        <w:rPr>
          <w:rFonts w:ascii="Calibri" w:hAnsi="Calibri" w:cs="Calibri"/>
        </w:rPr>
        <w:t xml:space="preserve">, Pond’s, or Vaseline might be placed neatly. And opening the fridge, there is a good chance of finding a </w:t>
      </w:r>
      <w:proofErr w:type="spellStart"/>
      <w:r w:rsidRPr="00337B99">
        <w:rPr>
          <w:rFonts w:ascii="Calibri" w:hAnsi="Calibri" w:cs="Calibri"/>
        </w:rPr>
        <w:t>Kwality</w:t>
      </w:r>
      <w:proofErr w:type="spellEnd"/>
      <w:r w:rsidRPr="00337B99">
        <w:rPr>
          <w:rFonts w:ascii="Calibri" w:hAnsi="Calibri" w:cs="Calibri"/>
        </w:rPr>
        <w:t xml:space="preserve"> Wall’s ice cream. HUL has quietly woven itself into the fabric of our daily routines. This simple observation itself became one of our strongest reasons to pick HUL for our project.</w:t>
      </w:r>
    </w:p>
    <w:p w14:paraId="1E0D1692" w14:textId="77777777" w:rsidR="00337B99" w:rsidRPr="00337B99" w:rsidRDefault="00337B99" w:rsidP="006F3348">
      <w:pPr>
        <w:spacing w:before="100" w:beforeAutospacing="1" w:after="100" w:afterAutospacing="1"/>
        <w:jc w:val="both"/>
        <w:outlineLvl w:val="1"/>
        <w:rPr>
          <w:rFonts w:ascii="Calibri" w:hAnsi="Calibri" w:cs="Calibri"/>
          <w:b/>
          <w:bCs/>
        </w:rPr>
      </w:pPr>
      <w:r w:rsidRPr="00337B99">
        <w:rPr>
          <w:rFonts w:ascii="Calibri" w:hAnsi="Calibri" w:cs="Calibri"/>
          <w:b/>
          <w:bCs/>
        </w:rPr>
        <w:t>Why Not Others?</w:t>
      </w:r>
    </w:p>
    <w:p w14:paraId="7727B14F" w14:textId="77777777" w:rsidR="00337B99" w:rsidRPr="00337B99" w:rsidRDefault="00337B99" w:rsidP="006F3348">
      <w:pPr>
        <w:spacing w:before="100" w:beforeAutospacing="1" w:after="100" w:afterAutospacing="1"/>
        <w:jc w:val="both"/>
        <w:rPr>
          <w:rFonts w:ascii="Calibri" w:hAnsi="Calibri" w:cs="Calibri"/>
        </w:rPr>
      </w:pPr>
      <w:r w:rsidRPr="00337B99">
        <w:rPr>
          <w:rFonts w:ascii="Calibri" w:hAnsi="Calibri" w:cs="Calibri"/>
        </w:rPr>
        <w:t>While shortlisting companies, we did consider other FMCG giants like ITC, Nestlé, and P&amp;G. Each of them has its strengths — ITC with its cigarettes and foods business, Nestlé with Maggi and dairy, P&amp;G with personal care. But we realized that none of them had quite the same universal presence across so many categories of Indian households as HUL does. With HUL, it wasn’t just about studying a company; it was about studying a companion of everyday life.</w:t>
      </w:r>
    </w:p>
    <w:p w14:paraId="48CA0E79" w14:textId="77777777" w:rsidR="00337B99" w:rsidRPr="00337B99" w:rsidRDefault="00337B99" w:rsidP="006F3348">
      <w:pPr>
        <w:spacing w:before="100" w:beforeAutospacing="1" w:after="100" w:afterAutospacing="1"/>
        <w:jc w:val="both"/>
        <w:outlineLvl w:val="1"/>
        <w:rPr>
          <w:rFonts w:ascii="Calibri" w:hAnsi="Calibri" w:cs="Calibri"/>
          <w:b/>
          <w:bCs/>
        </w:rPr>
      </w:pPr>
      <w:r w:rsidRPr="00337B99">
        <w:rPr>
          <w:rFonts w:ascii="Calibri" w:hAnsi="Calibri" w:cs="Calibri"/>
          <w:b/>
          <w:bCs/>
        </w:rPr>
        <w:t>A Legacy of 90+ Years</w:t>
      </w:r>
    </w:p>
    <w:p w14:paraId="0A9A0BA8" w14:textId="77777777" w:rsidR="00337B99" w:rsidRPr="00337B99" w:rsidRDefault="00337B99" w:rsidP="006F3348">
      <w:pPr>
        <w:spacing w:before="100" w:beforeAutospacing="1" w:after="100" w:afterAutospacing="1"/>
        <w:jc w:val="both"/>
        <w:rPr>
          <w:rFonts w:ascii="Calibri" w:hAnsi="Calibri" w:cs="Calibri"/>
        </w:rPr>
      </w:pPr>
      <w:r w:rsidRPr="00337B99">
        <w:rPr>
          <w:rFonts w:ascii="Calibri" w:hAnsi="Calibri" w:cs="Calibri"/>
        </w:rPr>
        <w:lastRenderedPageBreak/>
        <w:t>Beyond its household presence, there are deeper reasons why we admire this company. First, HUL has been operating in India for more than 90 years. Very few companies have been able to adapt to the changing tastes, generations, and economic conditions of India the way HUL has. From the pre-independence era to today’s digital age, HUL has not only survived but also remained the clear market leader in fast-moving consumer goods. For us, studying this means learning how businesses can remain relevant across time.</w:t>
      </w:r>
    </w:p>
    <w:p w14:paraId="52BDDB63" w14:textId="77777777" w:rsidR="00337B99" w:rsidRPr="00337B99" w:rsidRDefault="00337B99" w:rsidP="006F3348">
      <w:pPr>
        <w:spacing w:before="100" w:beforeAutospacing="1" w:after="100" w:afterAutospacing="1"/>
        <w:jc w:val="both"/>
        <w:outlineLvl w:val="1"/>
        <w:rPr>
          <w:rFonts w:ascii="Calibri" w:hAnsi="Calibri" w:cs="Calibri"/>
          <w:b/>
          <w:bCs/>
        </w:rPr>
      </w:pPr>
      <w:r w:rsidRPr="00337B99">
        <w:rPr>
          <w:rFonts w:ascii="Calibri" w:hAnsi="Calibri" w:cs="Calibri"/>
          <w:b/>
          <w:bCs/>
        </w:rPr>
        <w:t>Diverse Portfolio</w:t>
      </w:r>
    </w:p>
    <w:p w14:paraId="58963703" w14:textId="77777777" w:rsidR="00337B99" w:rsidRPr="00337B99" w:rsidRDefault="00337B99" w:rsidP="006F3348">
      <w:pPr>
        <w:spacing w:before="100" w:beforeAutospacing="1" w:after="100" w:afterAutospacing="1"/>
        <w:jc w:val="both"/>
        <w:rPr>
          <w:rFonts w:ascii="Calibri" w:hAnsi="Calibri" w:cs="Calibri"/>
        </w:rPr>
      </w:pPr>
      <w:r w:rsidRPr="00337B99">
        <w:rPr>
          <w:rFonts w:ascii="Calibri" w:hAnsi="Calibri" w:cs="Calibri"/>
        </w:rPr>
        <w:t>Second, we were drawn to HUL because of the variety and scale of its operations. With more than 50 brands across personal care, food, and home care, HUL does not depend on one single product line. Instead, it has a balanced presence across categories that are part of daily consumption. This allows us to see how different product segments contribute to the larger financial picture of the company.</w:t>
      </w:r>
    </w:p>
    <w:p w14:paraId="15C943F6" w14:textId="77777777" w:rsidR="00337B99" w:rsidRPr="00337B99" w:rsidRDefault="00337B99" w:rsidP="006F3348">
      <w:pPr>
        <w:spacing w:before="100" w:beforeAutospacing="1" w:after="100" w:afterAutospacing="1"/>
        <w:jc w:val="both"/>
        <w:outlineLvl w:val="1"/>
        <w:rPr>
          <w:rFonts w:ascii="Calibri" w:hAnsi="Calibri" w:cs="Calibri"/>
          <w:b/>
          <w:bCs/>
        </w:rPr>
      </w:pPr>
      <w:r w:rsidRPr="00337B99">
        <w:rPr>
          <w:rFonts w:ascii="Calibri" w:hAnsi="Calibri" w:cs="Calibri"/>
          <w:b/>
          <w:bCs/>
        </w:rPr>
        <w:t>Innovation and Adaptability</w:t>
      </w:r>
    </w:p>
    <w:p w14:paraId="6540EDFC" w14:textId="77777777" w:rsidR="00337B99" w:rsidRPr="00337B99" w:rsidRDefault="00337B99" w:rsidP="006F3348">
      <w:pPr>
        <w:spacing w:before="100" w:beforeAutospacing="1" w:after="100" w:afterAutospacing="1"/>
        <w:jc w:val="both"/>
        <w:rPr>
          <w:rFonts w:ascii="Calibri" w:hAnsi="Calibri" w:cs="Calibri"/>
        </w:rPr>
      </w:pPr>
      <w:r w:rsidRPr="00337B99">
        <w:rPr>
          <w:rFonts w:ascii="Calibri" w:hAnsi="Calibri" w:cs="Calibri"/>
        </w:rPr>
        <w:t>Third, we were interested in HUL’s ability to innovate and change with consumer needs. Over the years, it has launched premium products, responded to sustainability concerns, and even reshaped some of its oldest brands to fit modern times. For example, campaigns like “</w:t>
      </w:r>
      <w:proofErr w:type="spellStart"/>
      <w:r w:rsidRPr="00337B99">
        <w:rPr>
          <w:rFonts w:ascii="Calibri" w:hAnsi="Calibri" w:cs="Calibri"/>
        </w:rPr>
        <w:t>Daag</w:t>
      </w:r>
      <w:proofErr w:type="spellEnd"/>
      <w:r w:rsidRPr="00337B99">
        <w:rPr>
          <w:rFonts w:ascii="Calibri" w:hAnsi="Calibri" w:cs="Calibri"/>
        </w:rPr>
        <w:t xml:space="preserve"> Ache Hain” or the rebranding of “Fair &amp; Lovely” show that HUL is not afraid to evolve with society. We felt this would give us a chance to study how strategic decisions impact financial performance.</w:t>
      </w:r>
    </w:p>
    <w:p w14:paraId="06F6D08A" w14:textId="77777777" w:rsidR="00337B99" w:rsidRPr="00337B99" w:rsidRDefault="00337B99" w:rsidP="006F3348">
      <w:pPr>
        <w:spacing w:before="100" w:beforeAutospacing="1" w:after="100" w:afterAutospacing="1"/>
        <w:jc w:val="both"/>
        <w:outlineLvl w:val="1"/>
        <w:rPr>
          <w:rFonts w:ascii="Calibri" w:hAnsi="Calibri" w:cs="Calibri"/>
          <w:b/>
          <w:bCs/>
        </w:rPr>
      </w:pPr>
      <w:r w:rsidRPr="00337B99">
        <w:rPr>
          <w:rFonts w:ascii="Calibri" w:hAnsi="Calibri" w:cs="Calibri"/>
          <w:b/>
          <w:bCs/>
        </w:rPr>
        <w:t>A Personal Connect</w:t>
      </w:r>
    </w:p>
    <w:p w14:paraId="45AAF880" w14:textId="77777777" w:rsidR="00337B99" w:rsidRPr="00337B99" w:rsidRDefault="00337B99" w:rsidP="006F3348">
      <w:pPr>
        <w:spacing w:before="100" w:beforeAutospacing="1" w:after="100" w:afterAutospacing="1"/>
        <w:jc w:val="both"/>
        <w:rPr>
          <w:rFonts w:ascii="Calibri" w:hAnsi="Calibri" w:cs="Calibri"/>
        </w:rPr>
      </w:pPr>
      <w:r w:rsidRPr="00337B99">
        <w:rPr>
          <w:rFonts w:ascii="Calibri" w:hAnsi="Calibri" w:cs="Calibri"/>
        </w:rPr>
        <w:t xml:space="preserve">Lastly, as students, there is also a personal element. When we realized that almost everything from our hostel shelves to our homes carried an HUL brand, it felt natural to </w:t>
      </w:r>
      <w:proofErr w:type="spellStart"/>
      <w:r w:rsidRPr="00337B99">
        <w:rPr>
          <w:rFonts w:ascii="Calibri" w:hAnsi="Calibri" w:cs="Calibri"/>
        </w:rPr>
        <w:t>analyze</w:t>
      </w:r>
      <w:proofErr w:type="spellEnd"/>
      <w:r w:rsidRPr="00337B99">
        <w:rPr>
          <w:rFonts w:ascii="Calibri" w:hAnsi="Calibri" w:cs="Calibri"/>
        </w:rPr>
        <w:t xml:space="preserve"> a company that we personally interact with every single day. It is not just numbers on a balance sheet for us; it is a company we see, use, and experience in our own lives.</w:t>
      </w:r>
    </w:p>
    <w:p w14:paraId="4B0C3372" w14:textId="77777777" w:rsidR="00337B99" w:rsidRPr="00337B99" w:rsidRDefault="00337B99" w:rsidP="006F3348">
      <w:pPr>
        <w:spacing w:before="100" w:beforeAutospacing="1" w:after="100" w:afterAutospacing="1"/>
        <w:jc w:val="both"/>
        <w:outlineLvl w:val="1"/>
        <w:rPr>
          <w:rFonts w:ascii="Calibri" w:hAnsi="Calibri" w:cs="Calibri"/>
          <w:b/>
          <w:bCs/>
        </w:rPr>
      </w:pPr>
      <w:r w:rsidRPr="00337B99">
        <w:rPr>
          <w:rFonts w:ascii="Calibri" w:hAnsi="Calibri" w:cs="Calibri"/>
          <w:b/>
          <w:bCs/>
        </w:rPr>
        <w:t>Conclusion</w:t>
      </w:r>
    </w:p>
    <w:p w14:paraId="11698F2A" w14:textId="77777777" w:rsidR="00F55B0F" w:rsidRPr="00F55B0F" w:rsidRDefault="00337B99" w:rsidP="006F3348">
      <w:pPr>
        <w:spacing w:before="100" w:beforeAutospacing="1" w:after="100" w:afterAutospacing="1"/>
        <w:jc w:val="both"/>
        <w:rPr>
          <w:rFonts w:ascii="Calibri" w:hAnsi="Calibri" w:cs="Calibri"/>
        </w:rPr>
      </w:pPr>
      <w:r w:rsidRPr="00337B99">
        <w:rPr>
          <w:rFonts w:ascii="Calibri" w:hAnsi="Calibri" w:cs="Calibri"/>
        </w:rPr>
        <w:t xml:space="preserve">For all these reasons — its presence in Indian households, its long history, its diverse portfolio, and its ability to adapt — we chose HUL. In the next sections, we will look at the company’s financial performance, </w:t>
      </w:r>
      <w:proofErr w:type="spellStart"/>
      <w:r w:rsidRPr="00337B99">
        <w:rPr>
          <w:rFonts w:ascii="Calibri" w:hAnsi="Calibri" w:cs="Calibri"/>
        </w:rPr>
        <w:t>analyze</w:t>
      </w:r>
      <w:proofErr w:type="spellEnd"/>
      <w:r w:rsidRPr="00337B99">
        <w:rPr>
          <w:rFonts w:ascii="Calibri" w:hAnsi="Calibri" w:cs="Calibri"/>
        </w:rPr>
        <w:t xml:space="preserve"> its strengths and weaknesses through ratios, and finally form an investment view on whether HUL continues to be as strong on paper as it is in our daily lives.</w:t>
      </w:r>
    </w:p>
    <w:p w14:paraId="7C320726" w14:textId="77777777" w:rsidR="006F3348" w:rsidRDefault="006F3348" w:rsidP="00F55B0F">
      <w:pPr>
        <w:spacing w:before="100" w:beforeAutospacing="1" w:after="100" w:afterAutospacing="1"/>
        <w:jc w:val="center"/>
        <w:rPr>
          <w:rFonts w:ascii="Calibri" w:hAnsi="Calibri" w:cs="Calibri"/>
          <w:b/>
          <w:bCs/>
          <w:color w:val="000000"/>
          <w:sz w:val="52"/>
          <w:szCs w:val="52"/>
        </w:rPr>
      </w:pPr>
    </w:p>
    <w:p w14:paraId="5F972B6D" w14:textId="77777777" w:rsidR="006F3348" w:rsidRDefault="006F3348" w:rsidP="00F55B0F">
      <w:pPr>
        <w:spacing w:before="100" w:beforeAutospacing="1" w:after="100" w:afterAutospacing="1"/>
        <w:jc w:val="center"/>
        <w:rPr>
          <w:rFonts w:ascii="Calibri" w:hAnsi="Calibri" w:cs="Calibri"/>
          <w:b/>
          <w:bCs/>
          <w:color w:val="000000"/>
          <w:sz w:val="52"/>
          <w:szCs w:val="52"/>
        </w:rPr>
      </w:pPr>
    </w:p>
    <w:p w14:paraId="07524E2A" w14:textId="77777777" w:rsidR="006F3348" w:rsidRDefault="006F3348" w:rsidP="00F55B0F">
      <w:pPr>
        <w:spacing w:before="100" w:beforeAutospacing="1" w:after="100" w:afterAutospacing="1"/>
        <w:jc w:val="center"/>
        <w:rPr>
          <w:rFonts w:ascii="Calibri" w:hAnsi="Calibri" w:cs="Calibri"/>
          <w:b/>
          <w:bCs/>
          <w:color w:val="000000"/>
          <w:sz w:val="52"/>
          <w:szCs w:val="52"/>
        </w:rPr>
      </w:pPr>
    </w:p>
    <w:p w14:paraId="61FA885D" w14:textId="4569CFB6" w:rsidR="00851585" w:rsidRPr="006F3348" w:rsidRDefault="00851585" w:rsidP="00F55B0F">
      <w:pPr>
        <w:spacing w:before="100" w:beforeAutospacing="1" w:after="100" w:afterAutospacing="1"/>
        <w:jc w:val="center"/>
        <w:rPr>
          <w:rFonts w:ascii="Calibri" w:hAnsi="Calibri" w:cs="Calibri"/>
          <w:sz w:val="52"/>
          <w:szCs w:val="52"/>
          <w:u w:val="single"/>
        </w:rPr>
      </w:pPr>
      <w:r w:rsidRPr="006F3348">
        <w:rPr>
          <w:rFonts w:ascii="Calibri" w:hAnsi="Calibri" w:cs="Calibri"/>
          <w:b/>
          <w:bCs/>
          <w:color w:val="000000"/>
          <w:sz w:val="52"/>
          <w:szCs w:val="52"/>
          <w:u w:val="single"/>
        </w:rPr>
        <w:lastRenderedPageBreak/>
        <w:t>Section II — Analysis &amp; Interpretation</w:t>
      </w:r>
    </w:p>
    <w:p w14:paraId="48C0736C" w14:textId="77777777" w:rsidR="004D0E4B" w:rsidRPr="00F55B0F" w:rsidRDefault="004D0E4B" w:rsidP="00851585">
      <w:pPr>
        <w:pStyle w:val="NormalWeb"/>
        <w:rPr>
          <w:rFonts w:ascii="Calibri" w:hAnsi="Calibri" w:cs="Calibri"/>
          <w:b/>
          <w:bCs/>
          <w:color w:val="000000"/>
        </w:rPr>
      </w:pPr>
    </w:p>
    <w:p w14:paraId="478E1C92" w14:textId="05BDC784" w:rsidR="004D0E4B" w:rsidRPr="0010154A" w:rsidRDefault="0056406A" w:rsidP="00851585">
      <w:pPr>
        <w:pStyle w:val="NormalWeb"/>
        <w:rPr>
          <w:rFonts w:ascii="Calibri" w:hAnsi="Calibri" w:cs="Calibri"/>
          <w:b/>
          <w:bCs/>
          <w:color w:val="000000"/>
          <w:sz w:val="28"/>
          <w:szCs w:val="28"/>
          <w:u w:val="single"/>
        </w:rPr>
      </w:pPr>
      <w:r w:rsidRPr="0010154A">
        <w:rPr>
          <w:rFonts w:ascii="Calibri" w:hAnsi="Calibri" w:cs="Calibri"/>
          <w:b/>
          <w:bCs/>
          <w:color w:val="000000"/>
          <w:sz w:val="28"/>
          <w:szCs w:val="28"/>
          <w:u w:val="single"/>
        </w:rPr>
        <w:t>Vertical Analysis</w:t>
      </w:r>
    </w:p>
    <w:p w14:paraId="40E3D220" w14:textId="3944D308" w:rsidR="004D0E4B" w:rsidRDefault="004D0E4B" w:rsidP="00851585">
      <w:pPr>
        <w:pStyle w:val="NormalWeb"/>
        <w:rPr>
          <w:rFonts w:ascii="Calibri" w:hAnsi="Calibri" w:cs="Calibri"/>
          <w:b/>
          <w:bCs/>
          <w:color w:val="000000"/>
        </w:rPr>
      </w:pPr>
      <w:r w:rsidRPr="00F55B0F">
        <w:rPr>
          <w:rFonts w:ascii="Calibri" w:hAnsi="Calibri" w:cs="Calibri"/>
          <w:b/>
          <w:bCs/>
          <w:color w:val="000000"/>
        </w:rPr>
        <w:t xml:space="preserve">Income Statement: </w:t>
      </w:r>
    </w:p>
    <w:p w14:paraId="70FA0929" w14:textId="77777777" w:rsidR="009040FB" w:rsidRDefault="001E4D59" w:rsidP="009040FB">
      <w:pPr>
        <w:pStyle w:val="NormalWeb"/>
        <w:keepNext/>
      </w:pPr>
      <w:r>
        <w:rPr>
          <w:rFonts w:ascii="Calibri" w:hAnsi="Calibri" w:cs="Calibri"/>
          <w:b/>
          <w:bCs/>
          <w:noProof/>
          <w:color w:val="000000"/>
          <w14:ligatures w14:val="standardContextual"/>
        </w:rPr>
        <w:drawing>
          <wp:inline distT="0" distB="0" distL="0" distR="0" wp14:anchorId="38B1EB1B" wp14:editId="52F4610D">
            <wp:extent cx="5731510" cy="1862920"/>
            <wp:effectExtent l="0" t="0" r="2540" b="4445"/>
            <wp:docPr id="1089371784" name="Picture 7" descr="A chart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71784" name="Picture 7" descr="A chart with numbers and lette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3870" cy="1863687"/>
                    </a:xfrm>
                    <a:prstGeom prst="rect">
                      <a:avLst/>
                    </a:prstGeom>
                  </pic:spPr>
                </pic:pic>
              </a:graphicData>
            </a:graphic>
          </wp:inline>
        </w:drawing>
      </w:r>
    </w:p>
    <w:p w14:paraId="65E2E3D0" w14:textId="260B7EE7" w:rsidR="00424A9F" w:rsidRDefault="009040FB" w:rsidP="009040FB">
      <w:pPr>
        <w:pStyle w:val="Caption"/>
        <w:jc w:val="center"/>
        <w:rPr>
          <w:rFonts w:ascii="Calibri" w:hAnsi="Calibri" w:cs="Calibri"/>
          <w:b/>
          <w:bCs/>
          <w:color w:val="000000"/>
        </w:rPr>
      </w:pPr>
      <w:r>
        <w:t xml:space="preserve">Figure </w:t>
      </w:r>
      <w:r>
        <w:fldChar w:fldCharType="begin"/>
      </w:r>
      <w:r>
        <w:instrText xml:space="preserve"> SEQ Figure \* ARABIC </w:instrText>
      </w:r>
      <w:r>
        <w:fldChar w:fldCharType="separate"/>
      </w:r>
      <w:r w:rsidR="00CF10D2">
        <w:rPr>
          <w:noProof/>
        </w:rPr>
        <w:t>2</w:t>
      </w:r>
      <w:r>
        <w:fldChar w:fldCharType="end"/>
      </w:r>
      <w:r>
        <w:t xml:space="preserve"> Income Statement Vertical Analysis</w:t>
      </w:r>
    </w:p>
    <w:p w14:paraId="7CAC8817" w14:textId="77777777" w:rsidR="00504E17" w:rsidRDefault="00504E17" w:rsidP="00B11561">
      <w:pPr>
        <w:jc w:val="both"/>
        <w:rPr>
          <w:rFonts w:ascii="Calibri" w:hAnsi="Calibri" w:cs="Calibri"/>
          <w:b/>
          <w:bCs/>
          <w:color w:val="000000"/>
        </w:rPr>
      </w:pPr>
      <w:r>
        <w:rPr>
          <w:rFonts w:ascii="Calibri" w:hAnsi="Calibri" w:cs="Calibri"/>
          <w:b/>
          <w:bCs/>
          <w:color w:val="000000"/>
        </w:rPr>
        <w:t>Inference:</w:t>
      </w:r>
    </w:p>
    <w:p w14:paraId="4A200998" w14:textId="77777777" w:rsidR="002D2B8F" w:rsidRPr="00AC7491" w:rsidRDefault="002D2B8F" w:rsidP="00B11561">
      <w:pPr>
        <w:numPr>
          <w:ilvl w:val="0"/>
          <w:numId w:val="7"/>
        </w:numPr>
        <w:spacing w:line="259" w:lineRule="auto"/>
        <w:jc w:val="both"/>
        <w:rPr>
          <w:rFonts w:ascii="Calibri" w:hAnsi="Calibri" w:cs="Calibri"/>
        </w:rPr>
      </w:pPr>
      <w:r w:rsidRPr="00AC7491">
        <w:rPr>
          <w:rFonts w:ascii="Calibri" w:eastAsiaTheme="majorEastAsia" w:hAnsi="Calibri" w:cs="Calibri"/>
          <w:b/>
          <w:bCs/>
        </w:rPr>
        <w:t>Revenue Growth</w:t>
      </w:r>
      <w:r w:rsidRPr="00AC7491">
        <w:rPr>
          <w:rFonts w:ascii="Calibri" w:hAnsi="Calibri" w:cs="Calibri"/>
        </w:rPr>
        <w:t>: Steady increase each year, reaching ₹62,646 in Mar-25.</w:t>
      </w:r>
    </w:p>
    <w:p w14:paraId="4A1CEF46" w14:textId="77777777" w:rsidR="002D2B8F" w:rsidRPr="00AC7491" w:rsidRDefault="002D2B8F" w:rsidP="00B11561">
      <w:pPr>
        <w:numPr>
          <w:ilvl w:val="0"/>
          <w:numId w:val="7"/>
        </w:numPr>
        <w:spacing w:line="259" w:lineRule="auto"/>
        <w:jc w:val="both"/>
        <w:rPr>
          <w:rFonts w:ascii="Calibri" w:hAnsi="Calibri" w:cs="Calibri"/>
        </w:rPr>
      </w:pPr>
      <w:r w:rsidRPr="00AC7491">
        <w:rPr>
          <w:rFonts w:ascii="Calibri" w:eastAsiaTheme="majorEastAsia" w:hAnsi="Calibri" w:cs="Calibri"/>
          <w:b/>
          <w:bCs/>
        </w:rPr>
        <w:t>COGS Trend</w:t>
      </w:r>
      <w:r w:rsidRPr="00AC7491">
        <w:rPr>
          <w:rFonts w:ascii="Calibri" w:hAnsi="Calibri" w:cs="Calibri"/>
        </w:rPr>
        <w:t>: Fluctuates between 46–52% of revenue; peaks in Mar-23, reducing gross profit margin that year.</w:t>
      </w:r>
    </w:p>
    <w:p w14:paraId="53142F37" w14:textId="77777777" w:rsidR="002D2B8F" w:rsidRPr="00AC7491" w:rsidRDefault="002D2B8F" w:rsidP="00B11561">
      <w:pPr>
        <w:numPr>
          <w:ilvl w:val="0"/>
          <w:numId w:val="7"/>
        </w:numPr>
        <w:spacing w:line="259" w:lineRule="auto"/>
        <w:jc w:val="both"/>
        <w:rPr>
          <w:rFonts w:ascii="Calibri" w:hAnsi="Calibri" w:cs="Calibri"/>
        </w:rPr>
      </w:pPr>
      <w:r w:rsidRPr="00AC7491">
        <w:rPr>
          <w:rFonts w:ascii="Calibri" w:eastAsiaTheme="majorEastAsia" w:hAnsi="Calibri" w:cs="Calibri"/>
          <w:b/>
          <w:bCs/>
        </w:rPr>
        <w:t>Gross Profit</w:t>
      </w:r>
      <w:r w:rsidRPr="00AC7491">
        <w:rPr>
          <w:rFonts w:ascii="Calibri" w:hAnsi="Calibri" w:cs="Calibri"/>
        </w:rPr>
        <w:t>: Consistently strong, ~48–53% of revenue; highest in Mar-24 (52.27%).</w:t>
      </w:r>
    </w:p>
    <w:p w14:paraId="48642234" w14:textId="77777777" w:rsidR="002D2B8F" w:rsidRPr="00AC7491" w:rsidRDefault="002D2B8F" w:rsidP="00B11561">
      <w:pPr>
        <w:numPr>
          <w:ilvl w:val="0"/>
          <w:numId w:val="7"/>
        </w:numPr>
        <w:spacing w:line="259" w:lineRule="auto"/>
        <w:jc w:val="both"/>
        <w:rPr>
          <w:rFonts w:ascii="Calibri" w:hAnsi="Calibri" w:cs="Calibri"/>
        </w:rPr>
      </w:pPr>
      <w:r w:rsidRPr="00AC7491">
        <w:rPr>
          <w:rFonts w:ascii="Calibri" w:eastAsiaTheme="majorEastAsia" w:hAnsi="Calibri" w:cs="Calibri"/>
          <w:b/>
          <w:bCs/>
        </w:rPr>
        <w:t>Expenses</w:t>
      </w:r>
      <w:r w:rsidRPr="00AC7491">
        <w:rPr>
          <w:rFonts w:ascii="Calibri" w:hAnsi="Calibri" w:cs="Calibri"/>
        </w:rPr>
        <w:t>:</w:t>
      </w:r>
    </w:p>
    <w:p w14:paraId="4480FAD5" w14:textId="77777777" w:rsidR="002D2B8F" w:rsidRPr="00AC7491" w:rsidRDefault="002D2B8F" w:rsidP="00B11561">
      <w:pPr>
        <w:numPr>
          <w:ilvl w:val="1"/>
          <w:numId w:val="7"/>
        </w:numPr>
        <w:spacing w:line="259" w:lineRule="auto"/>
        <w:jc w:val="both"/>
        <w:rPr>
          <w:rFonts w:ascii="Calibri" w:hAnsi="Calibri" w:cs="Calibri"/>
        </w:rPr>
      </w:pPr>
      <w:r w:rsidRPr="00AC7491">
        <w:rPr>
          <w:rFonts w:ascii="Calibri" w:hAnsi="Calibri" w:cs="Calibri"/>
        </w:rPr>
        <w:t>Employee cost stable at ~4.5% of revenue.</w:t>
      </w:r>
    </w:p>
    <w:p w14:paraId="2323A455" w14:textId="77777777" w:rsidR="002D2B8F" w:rsidRPr="00AC7491" w:rsidRDefault="002D2B8F" w:rsidP="00B11561">
      <w:pPr>
        <w:numPr>
          <w:ilvl w:val="1"/>
          <w:numId w:val="7"/>
        </w:numPr>
        <w:spacing w:line="259" w:lineRule="auto"/>
        <w:jc w:val="both"/>
        <w:rPr>
          <w:rFonts w:ascii="Calibri" w:hAnsi="Calibri" w:cs="Calibri"/>
        </w:rPr>
      </w:pPr>
      <w:r w:rsidRPr="00AC7491">
        <w:rPr>
          <w:rFonts w:ascii="Calibri" w:hAnsi="Calibri" w:cs="Calibri"/>
        </w:rPr>
        <w:t>Other fixed expenses reduced proportionally from 23.15% (Mar-21) to ~22% (Mar-25), showing cost efficiency.</w:t>
      </w:r>
    </w:p>
    <w:p w14:paraId="29641A63" w14:textId="77777777" w:rsidR="002D2B8F" w:rsidRPr="00AC7491" w:rsidRDefault="002D2B8F" w:rsidP="00B11561">
      <w:pPr>
        <w:numPr>
          <w:ilvl w:val="0"/>
          <w:numId w:val="7"/>
        </w:numPr>
        <w:spacing w:line="259" w:lineRule="auto"/>
        <w:jc w:val="both"/>
        <w:rPr>
          <w:rFonts w:ascii="Calibri" w:hAnsi="Calibri" w:cs="Calibri"/>
        </w:rPr>
      </w:pPr>
      <w:r w:rsidRPr="00AC7491">
        <w:rPr>
          <w:rFonts w:ascii="Calibri" w:eastAsiaTheme="majorEastAsia" w:hAnsi="Calibri" w:cs="Calibri"/>
          <w:b/>
          <w:bCs/>
        </w:rPr>
        <w:t>EBITDA</w:t>
      </w:r>
      <w:r w:rsidRPr="00AC7491">
        <w:rPr>
          <w:rFonts w:ascii="Calibri" w:hAnsi="Calibri" w:cs="Calibri"/>
        </w:rPr>
        <w:t>: Maintained healthy levels (23–25% of revenue), slight dip in Mar-23.</w:t>
      </w:r>
    </w:p>
    <w:p w14:paraId="005502B6" w14:textId="77777777" w:rsidR="002D2B8F" w:rsidRPr="00AC7491" w:rsidRDefault="002D2B8F" w:rsidP="00B11561">
      <w:pPr>
        <w:numPr>
          <w:ilvl w:val="0"/>
          <w:numId w:val="7"/>
        </w:numPr>
        <w:spacing w:line="259" w:lineRule="auto"/>
        <w:jc w:val="both"/>
        <w:rPr>
          <w:rFonts w:ascii="Calibri" w:hAnsi="Calibri" w:cs="Calibri"/>
        </w:rPr>
      </w:pPr>
      <w:r w:rsidRPr="00AC7491">
        <w:rPr>
          <w:rFonts w:ascii="Calibri" w:eastAsiaTheme="majorEastAsia" w:hAnsi="Calibri" w:cs="Calibri"/>
          <w:b/>
          <w:bCs/>
        </w:rPr>
        <w:t>Depreciation</w:t>
      </w:r>
      <w:r w:rsidRPr="00AC7491">
        <w:rPr>
          <w:rFonts w:ascii="Calibri" w:hAnsi="Calibri" w:cs="Calibri"/>
        </w:rPr>
        <w:t>: Relatively low and stable at ~1.7–2%.</w:t>
      </w:r>
    </w:p>
    <w:p w14:paraId="5855C32D" w14:textId="77777777" w:rsidR="002D2B8F" w:rsidRPr="00AC7491" w:rsidRDefault="002D2B8F" w:rsidP="00B11561">
      <w:pPr>
        <w:numPr>
          <w:ilvl w:val="0"/>
          <w:numId w:val="7"/>
        </w:numPr>
        <w:spacing w:line="259" w:lineRule="auto"/>
        <w:jc w:val="both"/>
        <w:rPr>
          <w:rFonts w:ascii="Calibri" w:hAnsi="Calibri" w:cs="Calibri"/>
        </w:rPr>
      </w:pPr>
      <w:r w:rsidRPr="00AC7491">
        <w:rPr>
          <w:rFonts w:ascii="Calibri" w:eastAsiaTheme="majorEastAsia" w:hAnsi="Calibri" w:cs="Calibri"/>
          <w:b/>
          <w:bCs/>
        </w:rPr>
        <w:t>Finance Cost</w:t>
      </w:r>
      <w:r w:rsidRPr="00AC7491">
        <w:rPr>
          <w:rFonts w:ascii="Calibri" w:hAnsi="Calibri" w:cs="Calibri"/>
        </w:rPr>
        <w:t>: Negligible (&lt;1%).</w:t>
      </w:r>
    </w:p>
    <w:p w14:paraId="6D2D84FD" w14:textId="77777777" w:rsidR="002D2B8F" w:rsidRPr="00AC7491" w:rsidRDefault="002D2B8F" w:rsidP="00B11561">
      <w:pPr>
        <w:numPr>
          <w:ilvl w:val="0"/>
          <w:numId w:val="7"/>
        </w:numPr>
        <w:spacing w:line="259" w:lineRule="auto"/>
        <w:jc w:val="both"/>
        <w:rPr>
          <w:rFonts w:ascii="Calibri" w:hAnsi="Calibri" w:cs="Calibri"/>
        </w:rPr>
      </w:pPr>
      <w:r w:rsidRPr="00AC7491">
        <w:rPr>
          <w:rFonts w:ascii="Calibri" w:eastAsiaTheme="majorEastAsia" w:hAnsi="Calibri" w:cs="Calibri"/>
          <w:b/>
          <w:bCs/>
        </w:rPr>
        <w:t>Profitability</w:t>
      </w:r>
      <w:r w:rsidRPr="00AC7491">
        <w:rPr>
          <w:rFonts w:ascii="Calibri" w:hAnsi="Calibri" w:cs="Calibri"/>
        </w:rPr>
        <w:t>:</w:t>
      </w:r>
    </w:p>
    <w:p w14:paraId="0653DEDE" w14:textId="77777777" w:rsidR="002D2B8F" w:rsidRPr="00AC7491" w:rsidRDefault="002D2B8F" w:rsidP="00B11561">
      <w:pPr>
        <w:numPr>
          <w:ilvl w:val="1"/>
          <w:numId w:val="7"/>
        </w:numPr>
        <w:spacing w:line="259" w:lineRule="auto"/>
        <w:jc w:val="both"/>
        <w:rPr>
          <w:rFonts w:ascii="Calibri" w:hAnsi="Calibri" w:cs="Calibri"/>
        </w:rPr>
      </w:pPr>
      <w:r w:rsidRPr="00AC7491">
        <w:rPr>
          <w:rFonts w:ascii="Calibri" w:hAnsi="Calibri" w:cs="Calibri"/>
        </w:rPr>
        <w:t>EBT consistently ~23–24%.</w:t>
      </w:r>
    </w:p>
    <w:p w14:paraId="5A998EFD" w14:textId="77777777" w:rsidR="002D2B8F" w:rsidRPr="00AC7491" w:rsidRDefault="002D2B8F" w:rsidP="00B11561">
      <w:pPr>
        <w:numPr>
          <w:ilvl w:val="1"/>
          <w:numId w:val="7"/>
        </w:numPr>
        <w:spacing w:line="259" w:lineRule="auto"/>
        <w:jc w:val="both"/>
        <w:rPr>
          <w:rFonts w:ascii="Calibri" w:hAnsi="Calibri" w:cs="Calibri"/>
        </w:rPr>
      </w:pPr>
      <w:r w:rsidRPr="00AC7491">
        <w:rPr>
          <w:rFonts w:ascii="Calibri" w:hAnsi="Calibri" w:cs="Calibri"/>
        </w:rPr>
        <w:t>PAT margin stable between 17–18.8%, showing resilience.</w:t>
      </w:r>
    </w:p>
    <w:p w14:paraId="500F5D6C" w14:textId="77777777" w:rsidR="002D2B8F" w:rsidRPr="002D2B8F" w:rsidRDefault="002D2B8F" w:rsidP="00B11561">
      <w:pPr>
        <w:jc w:val="both"/>
        <w:rPr>
          <w:rFonts w:ascii="Calibri" w:hAnsi="Calibri" w:cs="Calibri"/>
        </w:rPr>
      </w:pPr>
      <w:r w:rsidRPr="00AC7491">
        <w:rPr>
          <w:rFonts w:ascii="Calibri" w:eastAsiaTheme="majorEastAsia" w:hAnsi="Calibri" w:cs="Calibri"/>
          <w:b/>
          <w:bCs/>
        </w:rPr>
        <w:t>Overall Inference</w:t>
      </w:r>
      <w:r w:rsidRPr="00AC7491">
        <w:rPr>
          <w:rFonts w:ascii="Calibri" w:hAnsi="Calibri" w:cs="Calibri"/>
        </w:rPr>
        <w:t>: The company maintains stable margins with efficient cost management, negligible debt cost, and consistent profitability. Strong gross profit and PAT margins reflect operational efficiency and sustainability.</w:t>
      </w:r>
    </w:p>
    <w:p w14:paraId="49674871" w14:textId="045CF195" w:rsidR="004D0E4B" w:rsidRDefault="00504E17" w:rsidP="00B11561">
      <w:pPr>
        <w:jc w:val="both"/>
        <w:rPr>
          <w:rFonts w:ascii="Calibri" w:hAnsi="Calibri" w:cs="Calibri"/>
          <w:b/>
          <w:bCs/>
          <w:color w:val="000000"/>
        </w:rPr>
      </w:pPr>
      <w:r>
        <w:rPr>
          <w:rFonts w:ascii="Calibri" w:hAnsi="Calibri" w:cs="Calibri"/>
          <w:b/>
          <w:bCs/>
          <w:color w:val="000000"/>
        </w:rPr>
        <w:t xml:space="preserve"> </w:t>
      </w:r>
    </w:p>
    <w:p w14:paraId="2D1AA38B" w14:textId="77777777" w:rsidR="00C2073C" w:rsidRDefault="00C2073C">
      <w:pPr>
        <w:rPr>
          <w:rFonts w:ascii="Calibri" w:hAnsi="Calibri" w:cs="Calibri"/>
          <w:b/>
          <w:bCs/>
          <w:color w:val="000000"/>
        </w:rPr>
      </w:pPr>
    </w:p>
    <w:p w14:paraId="242F0B29" w14:textId="77777777" w:rsidR="00C2073C" w:rsidRDefault="00C2073C">
      <w:pPr>
        <w:rPr>
          <w:rFonts w:ascii="Calibri" w:hAnsi="Calibri" w:cs="Calibri"/>
          <w:b/>
          <w:bCs/>
          <w:color w:val="000000"/>
        </w:rPr>
      </w:pPr>
    </w:p>
    <w:p w14:paraId="1B6A6BA1" w14:textId="77777777" w:rsidR="00C2073C" w:rsidRDefault="00C2073C">
      <w:pPr>
        <w:rPr>
          <w:rFonts w:ascii="Calibri" w:hAnsi="Calibri" w:cs="Calibri"/>
          <w:b/>
          <w:bCs/>
          <w:color w:val="000000"/>
        </w:rPr>
      </w:pPr>
    </w:p>
    <w:p w14:paraId="5A9CC8F9" w14:textId="77777777" w:rsidR="00C2073C" w:rsidRDefault="00C2073C">
      <w:pPr>
        <w:rPr>
          <w:rFonts w:ascii="Calibri" w:hAnsi="Calibri" w:cs="Calibri"/>
          <w:b/>
          <w:bCs/>
          <w:color w:val="000000"/>
        </w:rPr>
      </w:pPr>
    </w:p>
    <w:p w14:paraId="0AF2836C" w14:textId="77777777" w:rsidR="00C2073C" w:rsidRDefault="00C2073C">
      <w:pPr>
        <w:rPr>
          <w:rFonts w:ascii="Calibri" w:hAnsi="Calibri" w:cs="Calibri"/>
          <w:b/>
          <w:bCs/>
          <w:color w:val="000000"/>
        </w:rPr>
      </w:pPr>
    </w:p>
    <w:p w14:paraId="20C4B099" w14:textId="77777777" w:rsidR="00C2073C" w:rsidRDefault="00C2073C">
      <w:pPr>
        <w:rPr>
          <w:rFonts w:ascii="Calibri" w:hAnsi="Calibri" w:cs="Calibri"/>
          <w:b/>
          <w:bCs/>
          <w:color w:val="000000"/>
        </w:rPr>
      </w:pPr>
    </w:p>
    <w:p w14:paraId="048C185D" w14:textId="77777777" w:rsidR="00C2073C" w:rsidRDefault="00C2073C">
      <w:pPr>
        <w:rPr>
          <w:rFonts w:ascii="Calibri" w:hAnsi="Calibri" w:cs="Calibri"/>
          <w:b/>
          <w:bCs/>
          <w:color w:val="000000"/>
        </w:rPr>
      </w:pPr>
    </w:p>
    <w:p w14:paraId="4127031F" w14:textId="0D8F4CBA" w:rsidR="00D55FDC" w:rsidRDefault="007D1824">
      <w:pPr>
        <w:rPr>
          <w:rFonts w:ascii="Calibri" w:hAnsi="Calibri" w:cs="Calibri"/>
          <w:b/>
          <w:bCs/>
          <w:color w:val="000000"/>
        </w:rPr>
      </w:pPr>
      <w:r>
        <w:rPr>
          <w:rFonts w:ascii="Calibri" w:hAnsi="Calibri" w:cs="Calibri"/>
          <w:b/>
          <w:bCs/>
          <w:color w:val="000000"/>
        </w:rPr>
        <w:t>Balance Sheet:</w:t>
      </w:r>
    </w:p>
    <w:p w14:paraId="58B285BB" w14:textId="77777777" w:rsidR="007A080D" w:rsidRDefault="001E4D59" w:rsidP="007A080D">
      <w:pPr>
        <w:keepNext/>
      </w:pPr>
      <w:r>
        <w:rPr>
          <w:rFonts w:ascii="Calibri" w:hAnsi="Calibri" w:cs="Calibri"/>
          <w:b/>
          <w:bCs/>
          <w:noProof/>
          <w:color w:val="000000"/>
          <w14:ligatures w14:val="standardContextual"/>
        </w:rPr>
        <w:drawing>
          <wp:inline distT="0" distB="0" distL="0" distR="0" wp14:anchorId="052DF3F3" wp14:editId="48318458">
            <wp:extent cx="5731510" cy="3275965"/>
            <wp:effectExtent l="0" t="0" r="2540" b="635"/>
            <wp:docPr id="17281362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36203" name="Picture 1728136203"/>
                    <pic:cNvPicPr/>
                  </pic:nvPicPr>
                  <pic:blipFill>
                    <a:blip r:embed="rId11">
                      <a:extLst>
                        <a:ext uri="{28A0092B-C50C-407E-A947-70E740481C1C}">
                          <a14:useLocalDpi xmlns:a14="http://schemas.microsoft.com/office/drawing/2010/main" val="0"/>
                        </a:ext>
                      </a:extLst>
                    </a:blip>
                    <a:stretch>
                      <a:fillRect/>
                    </a:stretch>
                  </pic:blipFill>
                  <pic:spPr>
                    <a:xfrm>
                      <a:off x="0" y="0"/>
                      <a:ext cx="5731510" cy="3275965"/>
                    </a:xfrm>
                    <a:prstGeom prst="rect">
                      <a:avLst/>
                    </a:prstGeom>
                  </pic:spPr>
                </pic:pic>
              </a:graphicData>
            </a:graphic>
          </wp:inline>
        </w:drawing>
      </w:r>
    </w:p>
    <w:p w14:paraId="31AAAE7D" w14:textId="1E11383A" w:rsidR="004D0E4B" w:rsidRPr="00F55B0F" w:rsidRDefault="007A080D" w:rsidP="007A080D">
      <w:pPr>
        <w:pStyle w:val="Caption"/>
        <w:jc w:val="center"/>
        <w:rPr>
          <w:rFonts w:ascii="Calibri" w:hAnsi="Calibri" w:cs="Calibri"/>
          <w:b/>
          <w:bCs/>
          <w:color w:val="000000"/>
        </w:rPr>
      </w:pPr>
      <w:r>
        <w:t xml:space="preserve">Figure </w:t>
      </w:r>
      <w:r>
        <w:fldChar w:fldCharType="begin"/>
      </w:r>
      <w:r>
        <w:instrText xml:space="preserve"> SEQ Figure \* ARABIC </w:instrText>
      </w:r>
      <w:r>
        <w:fldChar w:fldCharType="separate"/>
      </w:r>
      <w:r w:rsidR="00CF10D2">
        <w:rPr>
          <w:noProof/>
        </w:rPr>
        <w:t>3</w:t>
      </w:r>
      <w:r>
        <w:fldChar w:fldCharType="end"/>
      </w:r>
      <w:r>
        <w:t xml:space="preserve"> Balance Sheet Vertical Analysis</w:t>
      </w:r>
    </w:p>
    <w:p w14:paraId="6FDCE29D" w14:textId="4120DA25" w:rsidR="0056406A" w:rsidRDefault="0056406A" w:rsidP="00B11561">
      <w:pPr>
        <w:jc w:val="both"/>
        <w:rPr>
          <w:rFonts w:ascii="Calibri" w:hAnsi="Calibri" w:cs="Calibri"/>
          <w:b/>
          <w:bCs/>
          <w:color w:val="000000"/>
        </w:rPr>
      </w:pPr>
      <w:r w:rsidRPr="00F55B0F">
        <w:rPr>
          <w:rFonts w:ascii="Calibri" w:hAnsi="Calibri" w:cs="Calibri"/>
          <w:b/>
          <w:bCs/>
          <w:color w:val="000000"/>
        </w:rPr>
        <w:t>Inference</w:t>
      </w:r>
      <w:r w:rsidR="00BD5903">
        <w:rPr>
          <w:rFonts w:ascii="Calibri" w:hAnsi="Calibri" w:cs="Calibri"/>
          <w:b/>
          <w:bCs/>
          <w:color w:val="000000"/>
        </w:rPr>
        <w:t xml:space="preserve">: </w:t>
      </w:r>
    </w:p>
    <w:p w14:paraId="240B24B1" w14:textId="77777777" w:rsidR="0010154A" w:rsidRPr="00AC7491" w:rsidRDefault="0010154A" w:rsidP="00B11561">
      <w:pPr>
        <w:numPr>
          <w:ilvl w:val="0"/>
          <w:numId w:val="8"/>
        </w:numPr>
        <w:spacing w:line="259" w:lineRule="auto"/>
        <w:jc w:val="both"/>
        <w:rPr>
          <w:rFonts w:ascii="Calibri" w:hAnsi="Calibri" w:cs="Calibri"/>
        </w:rPr>
      </w:pPr>
      <w:r w:rsidRPr="00AC7491">
        <w:rPr>
          <w:rFonts w:ascii="Calibri" w:eastAsiaTheme="majorEastAsia" w:hAnsi="Calibri" w:cs="Calibri"/>
          <w:b/>
          <w:bCs/>
        </w:rPr>
        <w:t>Asset Structure</w:t>
      </w:r>
      <w:r w:rsidRPr="00AC7491">
        <w:rPr>
          <w:rFonts w:ascii="Calibri" w:hAnsi="Calibri" w:cs="Calibri"/>
        </w:rPr>
        <w:t>:</w:t>
      </w:r>
    </w:p>
    <w:p w14:paraId="5A8B4EF9" w14:textId="77777777" w:rsidR="0010154A" w:rsidRPr="00AC7491" w:rsidRDefault="0010154A" w:rsidP="00B11561">
      <w:pPr>
        <w:numPr>
          <w:ilvl w:val="1"/>
          <w:numId w:val="8"/>
        </w:numPr>
        <w:spacing w:line="259" w:lineRule="auto"/>
        <w:jc w:val="both"/>
        <w:rPr>
          <w:rFonts w:ascii="Calibri" w:hAnsi="Calibri" w:cs="Calibri"/>
        </w:rPr>
      </w:pPr>
      <w:r w:rsidRPr="00AC7491">
        <w:rPr>
          <w:rFonts w:ascii="Calibri" w:hAnsi="Calibri" w:cs="Calibri"/>
        </w:rPr>
        <w:t>Non-current assets dominate (~73–80% of total), mainly intangible assets (falling from 66% in Mar-21 to ~57% in Mar-25).</w:t>
      </w:r>
    </w:p>
    <w:p w14:paraId="2D619AE6" w14:textId="77777777" w:rsidR="0010154A" w:rsidRPr="00AC7491" w:rsidRDefault="0010154A" w:rsidP="00B11561">
      <w:pPr>
        <w:numPr>
          <w:ilvl w:val="1"/>
          <w:numId w:val="8"/>
        </w:numPr>
        <w:spacing w:line="259" w:lineRule="auto"/>
        <w:jc w:val="both"/>
        <w:rPr>
          <w:rFonts w:ascii="Calibri" w:hAnsi="Calibri" w:cs="Calibri"/>
        </w:rPr>
      </w:pPr>
      <w:r w:rsidRPr="00AC7491">
        <w:rPr>
          <w:rFonts w:ascii="Calibri" w:hAnsi="Calibri" w:cs="Calibri"/>
        </w:rPr>
        <w:t>Tangible assets steadily rising (from 8.5% to ~9.9%), showing gradual strengthening of physical base.</w:t>
      </w:r>
    </w:p>
    <w:p w14:paraId="14802760" w14:textId="77777777" w:rsidR="0010154A" w:rsidRPr="00AC7491" w:rsidRDefault="0010154A" w:rsidP="00B11561">
      <w:pPr>
        <w:numPr>
          <w:ilvl w:val="1"/>
          <w:numId w:val="8"/>
        </w:numPr>
        <w:spacing w:line="259" w:lineRule="auto"/>
        <w:jc w:val="both"/>
        <w:rPr>
          <w:rFonts w:ascii="Calibri" w:hAnsi="Calibri" w:cs="Calibri"/>
        </w:rPr>
      </w:pPr>
      <w:r w:rsidRPr="00AC7491">
        <w:rPr>
          <w:rFonts w:ascii="Calibri" w:hAnsi="Calibri" w:cs="Calibri"/>
        </w:rPr>
        <w:t>Current assets increased from 20% to ~27% of total, driven by higher cash &amp; receivables, improving liquidity.</w:t>
      </w:r>
    </w:p>
    <w:p w14:paraId="13733BBC" w14:textId="77777777" w:rsidR="0010154A" w:rsidRPr="00AC7491" w:rsidRDefault="0010154A" w:rsidP="00B11561">
      <w:pPr>
        <w:numPr>
          <w:ilvl w:val="0"/>
          <w:numId w:val="8"/>
        </w:numPr>
        <w:spacing w:line="259" w:lineRule="auto"/>
        <w:jc w:val="both"/>
        <w:rPr>
          <w:rFonts w:ascii="Calibri" w:hAnsi="Calibri" w:cs="Calibri"/>
        </w:rPr>
      </w:pPr>
      <w:r w:rsidRPr="00AC7491">
        <w:rPr>
          <w:rFonts w:ascii="Calibri" w:eastAsiaTheme="majorEastAsia" w:hAnsi="Calibri" w:cs="Calibri"/>
          <w:b/>
          <w:bCs/>
        </w:rPr>
        <w:t>Liabilities</w:t>
      </w:r>
      <w:r w:rsidRPr="00AC7491">
        <w:rPr>
          <w:rFonts w:ascii="Calibri" w:hAnsi="Calibri" w:cs="Calibri"/>
        </w:rPr>
        <w:t>:</w:t>
      </w:r>
    </w:p>
    <w:p w14:paraId="46C75511" w14:textId="77777777" w:rsidR="0010154A" w:rsidRPr="00AC7491" w:rsidRDefault="0010154A" w:rsidP="00B11561">
      <w:pPr>
        <w:numPr>
          <w:ilvl w:val="1"/>
          <w:numId w:val="8"/>
        </w:numPr>
        <w:spacing w:line="259" w:lineRule="auto"/>
        <w:jc w:val="both"/>
        <w:rPr>
          <w:rFonts w:ascii="Calibri" w:hAnsi="Calibri" w:cs="Calibri"/>
        </w:rPr>
      </w:pPr>
      <w:r w:rsidRPr="00AC7491">
        <w:rPr>
          <w:rFonts w:ascii="Calibri" w:hAnsi="Calibri" w:cs="Calibri"/>
        </w:rPr>
        <w:t>Debt stable in % terms (14–17%), manageable leverage.</w:t>
      </w:r>
    </w:p>
    <w:p w14:paraId="681748BC" w14:textId="77777777" w:rsidR="0010154A" w:rsidRPr="00AC7491" w:rsidRDefault="0010154A" w:rsidP="00B11561">
      <w:pPr>
        <w:numPr>
          <w:ilvl w:val="1"/>
          <w:numId w:val="8"/>
        </w:numPr>
        <w:spacing w:line="259" w:lineRule="auto"/>
        <w:jc w:val="both"/>
        <w:rPr>
          <w:rFonts w:ascii="Calibri" w:hAnsi="Calibri" w:cs="Calibri"/>
        </w:rPr>
      </w:pPr>
      <w:r w:rsidRPr="00AC7491">
        <w:rPr>
          <w:rFonts w:ascii="Calibri" w:hAnsi="Calibri" w:cs="Calibri"/>
        </w:rPr>
        <w:t>Current liabilities rose from ~15.9% to 20%, led by trade payables, indicating higher reliance on short-term credit.</w:t>
      </w:r>
    </w:p>
    <w:p w14:paraId="604E5326" w14:textId="77777777" w:rsidR="0010154A" w:rsidRPr="00AC7491" w:rsidRDefault="0010154A" w:rsidP="00B11561">
      <w:pPr>
        <w:numPr>
          <w:ilvl w:val="0"/>
          <w:numId w:val="8"/>
        </w:numPr>
        <w:spacing w:line="259" w:lineRule="auto"/>
        <w:jc w:val="both"/>
        <w:rPr>
          <w:rFonts w:ascii="Calibri" w:hAnsi="Calibri" w:cs="Calibri"/>
        </w:rPr>
      </w:pPr>
      <w:r w:rsidRPr="00AC7491">
        <w:rPr>
          <w:rFonts w:ascii="Calibri" w:eastAsiaTheme="majorEastAsia" w:hAnsi="Calibri" w:cs="Calibri"/>
          <w:b/>
          <w:bCs/>
        </w:rPr>
        <w:t>Equity &amp; Reserves</w:t>
      </w:r>
      <w:r w:rsidRPr="00AC7491">
        <w:rPr>
          <w:rFonts w:ascii="Calibri" w:hAnsi="Calibri" w:cs="Calibri"/>
        </w:rPr>
        <w:t>:</w:t>
      </w:r>
    </w:p>
    <w:p w14:paraId="37D8C680" w14:textId="77777777" w:rsidR="0010154A" w:rsidRPr="00AC7491" w:rsidRDefault="0010154A" w:rsidP="00B11561">
      <w:pPr>
        <w:numPr>
          <w:ilvl w:val="1"/>
          <w:numId w:val="8"/>
        </w:numPr>
        <w:spacing w:line="259" w:lineRule="auto"/>
        <w:jc w:val="both"/>
        <w:rPr>
          <w:rFonts w:ascii="Calibri" w:hAnsi="Calibri" w:cs="Calibri"/>
        </w:rPr>
      </w:pPr>
      <w:r w:rsidRPr="00AC7491">
        <w:rPr>
          <w:rFonts w:ascii="Calibri" w:hAnsi="Calibri" w:cs="Calibri"/>
        </w:rPr>
        <w:t>Shareholders’ fund remains strong (~65–70% of total assets), though reserves’ share declined slightly (69% → 62%), suggesting increased liability dependence.</w:t>
      </w:r>
    </w:p>
    <w:p w14:paraId="1243F358" w14:textId="77777777" w:rsidR="0010154A" w:rsidRPr="0010154A" w:rsidRDefault="0010154A" w:rsidP="00B11561">
      <w:pPr>
        <w:jc w:val="both"/>
        <w:rPr>
          <w:rFonts w:ascii="Calibri" w:hAnsi="Calibri" w:cs="Calibri"/>
        </w:rPr>
      </w:pPr>
      <w:r w:rsidRPr="00AC7491">
        <w:rPr>
          <w:rFonts w:ascii="Calibri" w:eastAsiaTheme="majorEastAsia" w:hAnsi="Calibri" w:cs="Calibri"/>
          <w:b/>
          <w:bCs/>
        </w:rPr>
        <w:t>Overall Inference</w:t>
      </w:r>
      <w:r w:rsidRPr="00AC7491">
        <w:rPr>
          <w:rFonts w:ascii="Calibri" w:hAnsi="Calibri" w:cs="Calibri"/>
        </w:rPr>
        <w:t>: The company is asset-heavy with strong intangibles but gradually shifting towards higher tangible and current assets. Equity base is robust, but rising current liabilities signal greater short-term obligations. Liquidity is improving, though liability management is crucial to maintain balance.</w:t>
      </w:r>
    </w:p>
    <w:p w14:paraId="09D216BF" w14:textId="77777777" w:rsidR="00BD5903" w:rsidRPr="00F55B0F" w:rsidRDefault="00BD5903" w:rsidP="0056406A">
      <w:pPr>
        <w:rPr>
          <w:rFonts w:ascii="Calibri" w:hAnsi="Calibri" w:cs="Calibri"/>
          <w:b/>
          <w:bCs/>
          <w:color w:val="000000"/>
        </w:rPr>
      </w:pPr>
    </w:p>
    <w:p w14:paraId="62A505D0" w14:textId="5CF3FD6B" w:rsidR="0056406A" w:rsidRPr="00F55B0F" w:rsidRDefault="0056406A">
      <w:pPr>
        <w:rPr>
          <w:rFonts w:ascii="Calibri" w:hAnsi="Calibri" w:cs="Calibri"/>
          <w:b/>
          <w:bCs/>
          <w:color w:val="000000"/>
        </w:rPr>
      </w:pPr>
    </w:p>
    <w:p w14:paraId="167A6895" w14:textId="3D12FC0A" w:rsidR="00181EF4" w:rsidRPr="00F55B0F" w:rsidRDefault="00181EF4">
      <w:pPr>
        <w:rPr>
          <w:rFonts w:ascii="Calibri" w:hAnsi="Calibri" w:cs="Calibri"/>
          <w:b/>
          <w:bCs/>
          <w:color w:val="000000"/>
        </w:rPr>
      </w:pPr>
    </w:p>
    <w:p w14:paraId="4B0F8DD6" w14:textId="0A61629D" w:rsidR="00181EF4" w:rsidRPr="00F55B0F" w:rsidRDefault="00181EF4">
      <w:pPr>
        <w:rPr>
          <w:rFonts w:ascii="Calibri" w:hAnsi="Calibri" w:cs="Calibri"/>
          <w:b/>
          <w:bCs/>
          <w:color w:val="000000"/>
        </w:rPr>
      </w:pPr>
    </w:p>
    <w:p w14:paraId="5F23F241" w14:textId="77777777" w:rsidR="00C2073C" w:rsidRDefault="00C2073C">
      <w:pPr>
        <w:rPr>
          <w:rFonts w:ascii="Calibri" w:hAnsi="Calibri" w:cs="Calibri"/>
          <w:b/>
          <w:bCs/>
          <w:color w:val="000000"/>
          <w:sz w:val="28"/>
          <w:szCs w:val="28"/>
          <w:u w:val="single"/>
        </w:rPr>
      </w:pPr>
    </w:p>
    <w:p w14:paraId="1CC1B5B7" w14:textId="77777777" w:rsidR="00C2073C" w:rsidRDefault="00C2073C">
      <w:pPr>
        <w:rPr>
          <w:rFonts w:ascii="Calibri" w:hAnsi="Calibri" w:cs="Calibri"/>
          <w:b/>
          <w:bCs/>
          <w:color w:val="000000"/>
          <w:sz w:val="28"/>
          <w:szCs w:val="28"/>
          <w:u w:val="single"/>
        </w:rPr>
      </w:pPr>
    </w:p>
    <w:p w14:paraId="0E7E9B09" w14:textId="77777777" w:rsidR="00C2073C" w:rsidRDefault="00C2073C">
      <w:pPr>
        <w:rPr>
          <w:rFonts w:ascii="Calibri" w:hAnsi="Calibri" w:cs="Calibri"/>
          <w:b/>
          <w:bCs/>
          <w:color w:val="000000"/>
          <w:sz w:val="28"/>
          <w:szCs w:val="28"/>
          <w:u w:val="single"/>
        </w:rPr>
      </w:pPr>
    </w:p>
    <w:p w14:paraId="0AE674C5" w14:textId="4E64DCFC" w:rsidR="004D0E4B" w:rsidRDefault="00C17F71">
      <w:pPr>
        <w:rPr>
          <w:rFonts w:ascii="Calibri" w:hAnsi="Calibri" w:cs="Calibri"/>
          <w:b/>
          <w:bCs/>
          <w:color w:val="000000"/>
          <w:sz w:val="28"/>
          <w:szCs w:val="28"/>
          <w:u w:val="single"/>
        </w:rPr>
      </w:pPr>
      <w:r>
        <w:rPr>
          <w:rFonts w:ascii="Calibri" w:hAnsi="Calibri" w:cs="Calibri"/>
          <w:b/>
          <w:bCs/>
          <w:color w:val="000000"/>
          <w:sz w:val="28"/>
          <w:szCs w:val="28"/>
          <w:u w:val="single"/>
        </w:rPr>
        <w:t>Horizontal Analysis</w:t>
      </w:r>
    </w:p>
    <w:p w14:paraId="0BB473D5" w14:textId="77777777" w:rsidR="00C17F71" w:rsidRDefault="00C17F71">
      <w:pPr>
        <w:rPr>
          <w:rFonts w:ascii="Calibri" w:hAnsi="Calibri" w:cs="Calibri"/>
          <w:b/>
          <w:bCs/>
          <w:color w:val="000000"/>
          <w:sz w:val="28"/>
          <w:szCs w:val="28"/>
          <w:u w:val="single"/>
        </w:rPr>
      </w:pPr>
    </w:p>
    <w:p w14:paraId="51B6E55B" w14:textId="33315A83" w:rsidR="00C17F71" w:rsidRDefault="00C17F71">
      <w:pPr>
        <w:rPr>
          <w:rFonts w:ascii="Calibri" w:hAnsi="Calibri" w:cs="Calibri"/>
          <w:b/>
          <w:bCs/>
          <w:color w:val="000000"/>
        </w:rPr>
      </w:pPr>
      <w:r w:rsidRPr="00DD3F50">
        <w:rPr>
          <w:rFonts w:ascii="Calibri" w:hAnsi="Calibri" w:cs="Calibri"/>
          <w:b/>
          <w:bCs/>
          <w:color w:val="000000"/>
        </w:rPr>
        <w:t>Income</w:t>
      </w:r>
      <w:r w:rsidR="00DD3F50" w:rsidRPr="00DD3F50">
        <w:rPr>
          <w:rFonts w:ascii="Calibri" w:hAnsi="Calibri" w:cs="Calibri"/>
          <w:b/>
          <w:bCs/>
          <w:color w:val="000000"/>
        </w:rPr>
        <w:t xml:space="preserve"> Statement</w:t>
      </w:r>
    </w:p>
    <w:p w14:paraId="7714805F" w14:textId="77777777" w:rsidR="00C6482B" w:rsidRDefault="00C6482B">
      <w:pPr>
        <w:rPr>
          <w:rFonts w:ascii="Calibri" w:hAnsi="Calibri" w:cs="Calibri"/>
          <w:b/>
          <w:bCs/>
          <w:color w:val="000000"/>
        </w:rPr>
      </w:pPr>
    </w:p>
    <w:p w14:paraId="75E1A532" w14:textId="77777777" w:rsidR="005D2B46" w:rsidRDefault="00C5283B" w:rsidP="005D2B46">
      <w:pPr>
        <w:keepNext/>
      </w:pPr>
      <w:r>
        <w:rPr>
          <w:rFonts w:ascii="Calibri" w:hAnsi="Calibri" w:cs="Calibri"/>
          <w:b/>
          <w:bCs/>
          <w:noProof/>
          <w:color w:val="000000"/>
          <w14:ligatures w14:val="standardContextual"/>
        </w:rPr>
        <w:drawing>
          <wp:inline distT="0" distB="0" distL="0" distR="0" wp14:anchorId="4E1FFAD5" wp14:editId="65DF1200">
            <wp:extent cx="5921822" cy="3063923"/>
            <wp:effectExtent l="0" t="0" r="3175" b="3175"/>
            <wp:docPr id="739909853" name="Picture 4" descr="A table with numbers and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09853" name="Picture 4" descr="A table with numbers and a number of peopl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38364" cy="3072482"/>
                    </a:xfrm>
                    <a:prstGeom prst="rect">
                      <a:avLst/>
                    </a:prstGeom>
                  </pic:spPr>
                </pic:pic>
              </a:graphicData>
            </a:graphic>
          </wp:inline>
        </w:drawing>
      </w:r>
    </w:p>
    <w:p w14:paraId="0BD70F3F" w14:textId="0836DDBD" w:rsidR="00DD3F50" w:rsidRPr="00DD3F50" w:rsidRDefault="005D2B46" w:rsidP="00DA2A78">
      <w:pPr>
        <w:pStyle w:val="Caption"/>
        <w:jc w:val="center"/>
        <w:rPr>
          <w:rFonts w:ascii="Calibri" w:hAnsi="Calibri" w:cs="Calibri"/>
          <w:b/>
          <w:bCs/>
          <w:color w:val="000000"/>
          <w:sz w:val="24"/>
          <w:szCs w:val="24"/>
        </w:rPr>
      </w:pPr>
      <w:r>
        <w:t xml:space="preserve">Figure </w:t>
      </w:r>
      <w:r w:rsidR="00DA2A78">
        <w:t>1</w:t>
      </w:r>
      <w:r>
        <w:t xml:space="preserve"> Income Statement Horizontal Analysis</w:t>
      </w:r>
    </w:p>
    <w:p w14:paraId="005783D8" w14:textId="77777777" w:rsidR="00C6482B" w:rsidRDefault="00C6482B" w:rsidP="00181EF4">
      <w:pPr>
        <w:rPr>
          <w:rFonts w:ascii="Calibri" w:hAnsi="Calibri" w:cs="Calibri"/>
          <w:b/>
          <w:bCs/>
          <w:color w:val="000000"/>
        </w:rPr>
      </w:pPr>
    </w:p>
    <w:p w14:paraId="50EE38E5" w14:textId="77777777" w:rsidR="00C6482B" w:rsidRDefault="00C6482B" w:rsidP="00181EF4">
      <w:pPr>
        <w:rPr>
          <w:rFonts w:ascii="Calibri" w:hAnsi="Calibri" w:cs="Calibri"/>
          <w:b/>
          <w:bCs/>
          <w:color w:val="000000"/>
        </w:rPr>
      </w:pPr>
    </w:p>
    <w:p w14:paraId="23929D1C" w14:textId="5C76B442" w:rsidR="00D55FDC" w:rsidRDefault="005A667B" w:rsidP="00B11561">
      <w:pPr>
        <w:jc w:val="both"/>
        <w:rPr>
          <w:rFonts w:ascii="Calibri" w:hAnsi="Calibri" w:cs="Calibri"/>
          <w:b/>
          <w:bCs/>
          <w:color w:val="000000"/>
        </w:rPr>
      </w:pPr>
      <w:r>
        <w:rPr>
          <w:rFonts w:ascii="Calibri" w:hAnsi="Calibri" w:cs="Calibri"/>
          <w:b/>
          <w:bCs/>
          <w:color w:val="000000"/>
        </w:rPr>
        <w:t>Inference:</w:t>
      </w:r>
    </w:p>
    <w:p w14:paraId="075516B8" w14:textId="77777777" w:rsidR="00C6482B" w:rsidRPr="00AC7491" w:rsidRDefault="00C6482B" w:rsidP="00B11561">
      <w:pPr>
        <w:numPr>
          <w:ilvl w:val="0"/>
          <w:numId w:val="9"/>
        </w:numPr>
        <w:spacing w:line="259" w:lineRule="auto"/>
        <w:jc w:val="both"/>
        <w:rPr>
          <w:rFonts w:ascii="Calibri" w:hAnsi="Calibri" w:cs="Calibri"/>
        </w:rPr>
      </w:pPr>
      <w:r w:rsidRPr="00AC7491">
        <w:rPr>
          <w:rFonts w:ascii="Calibri" w:eastAsiaTheme="majorEastAsia" w:hAnsi="Calibri" w:cs="Calibri"/>
          <w:b/>
          <w:bCs/>
        </w:rPr>
        <w:t>Revenue Growth:</w:t>
      </w:r>
      <w:r w:rsidRPr="00AC7491">
        <w:rPr>
          <w:rFonts w:ascii="Calibri" w:hAnsi="Calibri" w:cs="Calibri"/>
        </w:rPr>
        <w:t xml:space="preserve"> Revenue grew consistently from Mar-21 to Mar-25, though growth slowed sharply after Mar-23 (from double digits earlier to just ~2 % in Mar-25).</w:t>
      </w:r>
    </w:p>
    <w:p w14:paraId="66555806" w14:textId="77777777" w:rsidR="00C6482B" w:rsidRPr="00AC7491" w:rsidRDefault="00C6482B" w:rsidP="00B11561">
      <w:pPr>
        <w:numPr>
          <w:ilvl w:val="0"/>
          <w:numId w:val="9"/>
        </w:numPr>
        <w:spacing w:line="259" w:lineRule="auto"/>
        <w:jc w:val="both"/>
        <w:rPr>
          <w:rFonts w:ascii="Calibri" w:hAnsi="Calibri" w:cs="Calibri"/>
        </w:rPr>
      </w:pPr>
      <w:r w:rsidRPr="00AC7491">
        <w:rPr>
          <w:rFonts w:ascii="Calibri" w:eastAsiaTheme="majorEastAsia" w:hAnsi="Calibri" w:cs="Calibri"/>
          <w:b/>
          <w:bCs/>
        </w:rPr>
        <w:t>Cost Trend:</w:t>
      </w:r>
      <w:r w:rsidRPr="00AC7491">
        <w:rPr>
          <w:rFonts w:ascii="Calibri" w:hAnsi="Calibri" w:cs="Calibri"/>
        </w:rPr>
        <w:t xml:space="preserve"> COGS increased overall but showed a </w:t>
      </w:r>
      <w:r w:rsidRPr="00AC7491">
        <w:rPr>
          <w:rFonts w:ascii="Calibri" w:eastAsiaTheme="majorEastAsia" w:hAnsi="Calibri" w:cs="Calibri"/>
          <w:b/>
          <w:bCs/>
        </w:rPr>
        <w:t>decline in Mar-24</w:t>
      </w:r>
      <w:r w:rsidRPr="00AC7491">
        <w:rPr>
          <w:rFonts w:ascii="Calibri" w:hAnsi="Calibri" w:cs="Calibri"/>
        </w:rPr>
        <w:t>, improving gross margins temporarily.</w:t>
      </w:r>
    </w:p>
    <w:p w14:paraId="731ECD72" w14:textId="77777777" w:rsidR="00C6482B" w:rsidRPr="00AC7491" w:rsidRDefault="00C6482B" w:rsidP="00B11561">
      <w:pPr>
        <w:numPr>
          <w:ilvl w:val="0"/>
          <w:numId w:val="9"/>
        </w:numPr>
        <w:spacing w:line="259" w:lineRule="auto"/>
        <w:jc w:val="both"/>
        <w:rPr>
          <w:rFonts w:ascii="Calibri" w:hAnsi="Calibri" w:cs="Calibri"/>
        </w:rPr>
      </w:pPr>
      <w:r w:rsidRPr="00AC7491">
        <w:rPr>
          <w:rFonts w:ascii="Calibri" w:eastAsiaTheme="majorEastAsia" w:hAnsi="Calibri" w:cs="Calibri"/>
          <w:b/>
          <w:bCs/>
        </w:rPr>
        <w:t>Profitability:</w:t>
      </w:r>
      <w:r w:rsidRPr="00AC7491">
        <w:rPr>
          <w:rFonts w:ascii="Calibri" w:hAnsi="Calibri" w:cs="Calibri"/>
        </w:rPr>
        <w:t xml:space="preserve"> Gross profit and EBITDA rose steadily, with the strongest jumps between Mar-22 and Mar-24. Growth moderated in Mar-25.</w:t>
      </w:r>
    </w:p>
    <w:p w14:paraId="7FBC847F" w14:textId="77777777" w:rsidR="00C6482B" w:rsidRPr="00AC7491" w:rsidRDefault="00C6482B" w:rsidP="00B11561">
      <w:pPr>
        <w:numPr>
          <w:ilvl w:val="0"/>
          <w:numId w:val="9"/>
        </w:numPr>
        <w:spacing w:line="259" w:lineRule="auto"/>
        <w:jc w:val="both"/>
        <w:rPr>
          <w:rFonts w:ascii="Calibri" w:hAnsi="Calibri" w:cs="Calibri"/>
        </w:rPr>
      </w:pPr>
      <w:r w:rsidRPr="00AC7491">
        <w:rPr>
          <w:rFonts w:ascii="Calibri" w:eastAsiaTheme="majorEastAsia" w:hAnsi="Calibri" w:cs="Calibri"/>
          <w:b/>
          <w:bCs/>
        </w:rPr>
        <w:t>Expenses:</w:t>
      </w:r>
      <w:r w:rsidRPr="00AC7491">
        <w:rPr>
          <w:rFonts w:ascii="Calibri" w:hAnsi="Calibri" w:cs="Calibri"/>
        </w:rPr>
        <w:t xml:space="preserve"> Employee and fixed expenses rose moderately; exceptional items fluctuated sharply, notably improving in Mar-24.</w:t>
      </w:r>
    </w:p>
    <w:p w14:paraId="7E340687" w14:textId="77777777" w:rsidR="00C6482B" w:rsidRPr="00AC7491" w:rsidRDefault="00C6482B" w:rsidP="00B11561">
      <w:pPr>
        <w:numPr>
          <w:ilvl w:val="0"/>
          <w:numId w:val="9"/>
        </w:numPr>
        <w:spacing w:line="259" w:lineRule="auto"/>
        <w:jc w:val="both"/>
        <w:rPr>
          <w:rFonts w:ascii="Calibri" w:hAnsi="Calibri" w:cs="Calibri"/>
        </w:rPr>
      </w:pPr>
      <w:r w:rsidRPr="00AC7491">
        <w:rPr>
          <w:rFonts w:ascii="Calibri" w:eastAsiaTheme="majorEastAsia" w:hAnsi="Calibri" w:cs="Calibri"/>
          <w:b/>
          <w:bCs/>
        </w:rPr>
        <w:t>Net Profit:</w:t>
      </w:r>
      <w:r w:rsidRPr="00AC7491">
        <w:rPr>
          <w:rFonts w:ascii="Calibri" w:hAnsi="Calibri" w:cs="Calibri"/>
        </w:rPr>
        <w:t xml:space="preserve"> Profit After Tax followed revenue and margin trends — strong double-digit growth till Mar-24, then slowing to ~6.6 % in Mar-25.</w:t>
      </w:r>
    </w:p>
    <w:p w14:paraId="2CEB55C4" w14:textId="77777777" w:rsidR="00C6482B" w:rsidRPr="00AC7491" w:rsidRDefault="00C6482B" w:rsidP="00B11561">
      <w:pPr>
        <w:numPr>
          <w:ilvl w:val="0"/>
          <w:numId w:val="9"/>
        </w:numPr>
        <w:spacing w:line="259" w:lineRule="auto"/>
        <w:jc w:val="both"/>
        <w:rPr>
          <w:rFonts w:ascii="Calibri" w:hAnsi="Calibri" w:cs="Calibri"/>
        </w:rPr>
      </w:pPr>
      <w:r w:rsidRPr="00AC7491">
        <w:rPr>
          <w:rFonts w:ascii="Calibri" w:eastAsiaTheme="majorEastAsia" w:hAnsi="Calibri" w:cs="Calibri"/>
          <w:b/>
          <w:bCs/>
        </w:rPr>
        <w:t>Finance &amp; Depreciation:</w:t>
      </w:r>
      <w:r w:rsidRPr="00AC7491">
        <w:rPr>
          <w:rFonts w:ascii="Calibri" w:hAnsi="Calibri" w:cs="Calibri"/>
        </w:rPr>
        <w:t xml:space="preserve"> Finance costs spiked in Mar-24–25, and depreciation increased steadily.</w:t>
      </w:r>
    </w:p>
    <w:p w14:paraId="5B460942" w14:textId="257016FB" w:rsidR="00C6482B" w:rsidRPr="00AC7491" w:rsidRDefault="00C6482B" w:rsidP="00B11561">
      <w:pPr>
        <w:spacing w:line="259" w:lineRule="auto"/>
        <w:jc w:val="both"/>
        <w:rPr>
          <w:rFonts w:ascii="Calibri" w:hAnsi="Calibri" w:cs="Calibri"/>
        </w:rPr>
      </w:pPr>
      <w:r w:rsidRPr="00AC7491">
        <w:rPr>
          <w:rFonts w:ascii="Calibri" w:eastAsiaTheme="majorEastAsia" w:hAnsi="Calibri" w:cs="Calibri"/>
          <w:b/>
          <w:bCs/>
        </w:rPr>
        <w:t>Overall:</w:t>
      </w:r>
      <w:r w:rsidRPr="00AC7491">
        <w:rPr>
          <w:rFonts w:ascii="Calibri" w:hAnsi="Calibri" w:cs="Calibri"/>
        </w:rPr>
        <w:t xml:space="preserve"> The company experienced strong post-Mar-21 growth with improving profitability through Mar-24, but momentum slowed in Mar-25, </w:t>
      </w:r>
      <w:r w:rsidR="00F300CC" w:rsidRPr="00AC7491">
        <w:rPr>
          <w:rFonts w:ascii="Calibri" w:hAnsi="Calibri" w:cs="Calibri"/>
        </w:rPr>
        <w:t>signalling</w:t>
      </w:r>
      <w:r w:rsidRPr="00AC7491">
        <w:rPr>
          <w:rFonts w:ascii="Calibri" w:hAnsi="Calibri" w:cs="Calibri"/>
        </w:rPr>
        <w:t xml:space="preserve"> possible stabilization or early signs of growth plateau.</w:t>
      </w:r>
    </w:p>
    <w:p w14:paraId="4E8FD660" w14:textId="77777777" w:rsidR="005A667B" w:rsidRDefault="005A667B" w:rsidP="00B11561">
      <w:pPr>
        <w:jc w:val="both"/>
        <w:rPr>
          <w:rFonts w:ascii="Calibri" w:hAnsi="Calibri" w:cs="Calibri"/>
          <w:b/>
          <w:bCs/>
          <w:color w:val="000000"/>
        </w:rPr>
      </w:pPr>
    </w:p>
    <w:p w14:paraId="4553B708" w14:textId="77777777" w:rsidR="00DA2A78" w:rsidRDefault="00DA2A78" w:rsidP="00181EF4">
      <w:pPr>
        <w:rPr>
          <w:rFonts w:ascii="Calibri" w:hAnsi="Calibri" w:cs="Calibri"/>
          <w:b/>
          <w:bCs/>
          <w:color w:val="000000"/>
        </w:rPr>
      </w:pPr>
    </w:p>
    <w:p w14:paraId="624461C0" w14:textId="4781457D" w:rsidR="00D55FDC" w:rsidRDefault="00C6482B" w:rsidP="00181EF4">
      <w:pPr>
        <w:rPr>
          <w:rFonts w:ascii="Calibri" w:hAnsi="Calibri" w:cs="Calibri"/>
          <w:b/>
          <w:bCs/>
          <w:color w:val="000000"/>
        </w:rPr>
      </w:pPr>
      <w:r>
        <w:rPr>
          <w:rFonts w:ascii="Calibri" w:hAnsi="Calibri" w:cs="Calibri"/>
          <w:b/>
          <w:bCs/>
          <w:color w:val="000000"/>
        </w:rPr>
        <w:lastRenderedPageBreak/>
        <w:t>Balance Sheet</w:t>
      </w:r>
      <w:r w:rsidR="00F80123">
        <w:rPr>
          <w:rFonts w:ascii="Calibri" w:hAnsi="Calibri" w:cs="Calibri"/>
          <w:b/>
          <w:bCs/>
          <w:color w:val="000000"/>
        </w:rPr>
        <w:t>:</w:t>
      </w:r>
    </w:p>
    <w:p w14:paraId="6014C278" w14:textId="77777777" w:rsidR="00F80123" w:rsidRDefault="00F80123" w:rsidP="00181EF4">
      <w:pPr>
        <w:rPr>
          <w:rFonts w:ascii="Calibri" w:hAnsi="Calibri" w:cs="Calibri"/>
          <w:b/>
          <w:bCs/>
          <w:color w:val="000000"/>
        </w:rPr>
      </w:pPr>
    </w:p>
    <w:p w14:paraId="7233AA0E" w14:textId="77777777" w:rsidR="00DA2A78" w:rsidRDefault="00F80123" w:rsidP="00DA2A78">
      <w:pPr>
        <w:keepNext/>
      </w:pPr>
      <w:r>
        <w:rPr>
          <w:rFonts w:ascii="Calibri" w:hAnsi="Calibri" w:cs="Calibri"/>
          <w:b/>
          <w:bCs/>
          <w:noProof/>
          <w:color w:val="000000"/>
          <w14:ligatures w14:val="standardContextual"/>
        </w:rPr>
        <w:drawing>
          <wp:inline distT="0" distB="0" distL="0" distR="0" wp14:anchorId="721207A4" wp14:editId="6F2070E2">
            <wp:extent cx="5731510" cy="4638675"/>
            <wp:effectExtent l="0" t="0" r="2540" b="9525"/>
            <wp:docPr id="332042526" name="Picture 5" descr="A table with numbers and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42526" name="Picture 5" descr="A table with numbers and a number of peopl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4638675"/>
                    </a:xfrm>
                    <a:prstGeom prst="rect">
                      <a:avLst/>
                    </a:prstGeom>
                  </pic:spPr>
                </pic:pic>
              </a:graphicData>
            </a:graphic>
          </wp:inline>
        </w:drawing>
      </w:r>
    </w:p>
    <w:p w14:paraId="0EC21578" w14:textId="78954BAE" w:rsidR="00F80123" w:rsidRDefault="00DA2A78" w:rsidP="00DA2A78">
      <w:pPr>
        <w:pStyle w:val="Caption"/>
        <w:jc w:val="center"/>
        <w:rPr>
          <w:rFonts w:ascii="Calibri" w:hAnsi="Calibri" w:cs="Calibri"/>
          <w:b/>
          <w:bCs/>
          <w:color w:val="000000"/>
        </w:rPr>
      </w:pPr>
      <w:r>
        <w:t>Figure 2 Balance Sheet Horizontal Analysis</w:t>
      </w:r>
    </w:p>
    <w:p w14:paraId="2AC18C2A" w14:textId="2AE10B00" w:rsidR="00D55FDC" w:rsidRDefault="00D55FDC" w:rsidP="00181EF4">
      <w:pPr>
        <w:rPr>
          <w:rFonts w:ascii="Calibri" w:hAnsi="Calibri" w:cs="Calibri"/>
          <w:b/>
          <w:bCs/>
          <w:color w:val="000000"/>
        </w:rPr>
      </w:pPr>
    </w:p>
    <w:p w14:paraId="325AFC28" w14:textId="7DD58A41" w:rsidR="00D55FDC" w:rsidRDefault="00AA3789" w:rsidP="00F91470">
      <w:pPr>
        <w:jc w:val="both"/>
        <w:rPr>
          <w:rFonts w:ascii="Calibri" w:hAnsi="Calibri" w:cs="Calibri"/>
          <w:b/>
          <w:bCs/>
          <w:color w:val="000000"/>
        </w:rPr>
      </w:pPr>
      <w:r>
        <w:rPr>
          <w:rFonts w:ascii="Calibri" w:hAnsi="Calibri" w:cs="Calibri"/>
          <w:b/>
          <w:bCs/>
          <w:color w:val="000000"/>
        </w:rPr>
        <w:t>Inference:</w:t>
      </w:r>
    </w:p>
    <w:p w14:paraId="4C5049E4" w14:textId="77777777" w:rsidR="009F2CBE" w:rsidRPr="00AC7491" w:rsidRDefault="009F2CBE" w:rsidP="00F91470">
      <w:pPr>
        <w:numPr>
          <w:ilvl w:val="0"/>
          <w:numId w:val="10"/>
        </w:numPr>
        <w:spacing w:after="160" w:line="259" w:lineRule="auto"/>
        <w:jc w:val="both"/>
        <w:rPr>
          <w:rFonts w:ascii="Calibri" w:hAnsi="Calibri" w:cs="Calibri"/>
        </w:rPr>
      </w:pPr>
      <w:r w:rsidRPr="00AC7491">
        <w:rPr>
          <w:rFonts w:ascii="Calibri" w:eastAsiaTheme="majorEastAsia" w:hAnsi="Calibri" w:cs="Calibri"/>
          <w:b/>
          <w:bCs/>
        </w:rPr>
        <w:t>Asset Growth:</w:t>
      </w:r>
      <w:r w:rsidRPr="00AC7491">
        <w:rPr>
          <w:rFonts w:ascii="Calibri" w:hAnsi="Calibri" w:cs="Calibri"/>
        </w:rPr>
        <w:t xml:space="preserve"> Total assets increased steadily each year, mainly driven by growth in </w:t>
      </w:r>
      <w:r w:rsidRPr="00AC7491">
        <w:rPr>
          <w:rFonts w:ascii="Calibri" w:eastAsiaTheme="majorEastAsia" w:hAnsi="Calibri" w:cs="Calibri"/>
          <w:b/>
          <w:bCs/>
        </w:rPr>
        <w:t>non-current assets</w:t>
      </w:r>
      <w:r w:rsidRPr="00AC7491">
        <w:rPr>
          <w:rFonts w:ascii="Calibri" w:hAnsi="Calibri" w:cs="Calibri"/>
        </w:rPr>
        <w:t xml:space="preserve">, particularly tangible assets and capital work-in-progress. Current assets grew faster from Mar-23 onward, led by </w:t>
      </w:r>
      <w:r w:rsidRPr="00AC7491">
        <w:rPr>
          <w:rFonts w:ascii="Calibri" w:eastAsiaTheme="majorEastAsia" w:hAnsi="Calibri" w:cs="Calibri"/>
          <w:b/>
          <w:bCs/>
        </w:rPr>
        <w:t>cash &amp; receivables</w:t>
      </w:r>
      <w:r w:rsidRPr="00AC7491">
        <w:rPr>
          <w:rFonts w:ascii="Calibri" w:hAnsi="Calibri" w:cs="Calibri"/>
        </w:rPr>
        <w:t>.</w:t>
      </w:r>
    </w:p>
    <w:p w14:paraId="3F2F8C11" w14:textId="77777777" w:rsidR="009F2CBE" w:rsidRPr="00AC7491" w:rsidRDefault="009F2CBE" w:rsidP="00F91470">
      <w:pPr>
        <w:numPr>
          <w:ilvl w:val="0"/>
          <w:numId w:val="10"/>
        </w:numPr>
        <w:spacing w:after="160" w:line="259" w:lineRule="auto"/>
        <w:jc w:val="both"/>
        <w:rPr>
          <w:rFonts w:ascii="Calibri" w:hAnsi="Calibri" w:cs="Calibri"/>
        </w:rPr>
      </w:pPr>
      <w:r w:rsidRPr="00AC7491">
        <w:rPr>
          <w:rFonts w:ascii="Calibri" w:eastAsiaTheme="majorEastAsia" w:hAnsi="Calibri" w:cs="Calibri"/>
          <w:b/>
          <w:bCs/>
        </w:rPr>
        <w:t>Investment &amp; Liquidity:</w:t>
      </w:r>
      <w:r w:rsidRPr="00AC7491">
        <w:rPr>
          <w:rFonts w:ascii="Calibri" w:hAnsi="Calibri" w:cs="Calibri"/>
        </w:rPr>
        <w:t xml:space="preserve"> Strong growth in cash and current investments was seen in Mar-24–25, improving liquidity. Trade receivables rose sharply in Mar-25, indicating higher credit sales.</w:t>
      </w:r>
    </w:p>
    <w:p w14:paraId="1E1D32A8" w14:textId="77777777" w:rsidR="009F2CBE" w:rsidRPr="00AC7491" w:rsidRDefault="009F2CBE" w:rsidP="00F91470">
      <w:pPr>
        <w:numPr>
          <w:ilvl w:val="0"/>
          <w:numId w:val="10"/>
        </w:numPr>
        <w:spacing w:after="160" w:line="259" w:lineRule="auto"/>
        <w:jc w:val="both"/>
        <w:rPr>
          <w:rFonts w:ascii="Calibri" w:hAnsi="Calibri" w:cs="Calibri"/>
        </w:rPr>
      </w:pPr>
      <w:r w:rsidRPr="00AC7491">
        <w:rPr>
          <w:rFonts w:ascii="Calibri" w:eastAsiaTheme="majorEastAsia" w:hAnsi="Calibri" w:cs="Calibri"/>
          <w:b/>
          <w:bCs/>
        </w:rPr>
        <w:t>Liabilities:</w:t>
      </w:r>
      <w:r w:rsidRPr="00AC7491">
        <w:rPr>
          <w:rFonts w:ascii="Calibri" w:hAnsi="Calibri" w:cs="Calibri"/>
        </w:rPr>
        <w:t xml:space="preserve"> Total liabilities grew moderately; </w:t>
      </w:r>
      <w:r w:rsidRPr="00AC7491">
        <w:rPr>
          <w:rFonts w:ascii="Calibri" w:eastAsiaTheme="majorEastAsia" w:hAnsi="Calibri" w:cs="Calibri"/>
          <w:b/>
          <w:bCs/>
        </w:rPr>
        <w:t>short-term borrowings</w:t>
      </w:r>
      <w:r w:rsidRPr="00AC7491">
        <w:rPr>
          <w:rFonts w:ascii="Calibri" w:hAnsi="Calibri" w:cs="Calibri"/>
        </w:rPr>
        <w:t xml:space="preserve"> spiked in Mar-25, suggesting higher working capital needs. Trade payables also rose consistently.</w:t>
      </w:r>
    </w:p>
    <w:p w14:paraId="612D1FA3" w14:textId="77777777" w:rsidR="009F2CBE" w:rsidRPr="00AC7491" w:rsidRDefault="009F2CBE" w:rsidP="00F91470">
      <w:pPr>
        <w:numPr>
          <w:ilvl w:val="0"/>
          <w:numId w:val="10"/>
        </w:numPr>
        <w:spacing w:after="160" w:line="259" w:lineRule="auto"/>
        <w:jc w:val="both"/>
        <w:rPr>
          <w:rFonts w:ascii="Calibri" w:hAnsi="Calibri" w:cs="Calibri"/>
        </w:rPr>
      </w:pPr>
      <w:r w:rsidRPr="00AC7491">
        <w:rPr>
          <w:rFonts w:ascii="Calibri" w:eastAsiaTheme="majorEastAsia" w:hAnsi="Calibri" w:cs="Calibri"/>
          <w:b/>
          <w:bCs/>
        </w:rPr>
        <w:t>Equity Base:</w:t>
      </w:r>
      <w:r w:rsidRPr="00AC7491">
        <w:rPr>
          <w:rFonts w:ascii="Calibri" w:hAnsi="Calibri" w:cs="Calibri"/>
        </w:rPr>
        <w:t xml:space="preserve"> Shareholders’ funds increased steadily due to retained earnings, though a dip in reserves is visible in Mar-25, likely due to dividend payouts or adjustments.</w:t>
      </w:r>
    </w:p>
    <w:p w14:paraId="1B238A6E" w14:textId="77777777" w:rsidR="009F2CBE" w:rsidRDefault="009F2CBE" w:rsidP="00F91470">
      <w:pPr>
        <w:spacing w:after="160" w:line="259" w:lineRule="auto"/>
        <w:ind w:left="360"/>
        <w:jc w:val="both"/>
        <w:rPr>
          <w:rFonts w:ascii="Calibri" w:hAnsi="Calibri" w:cs="Calibri"/>
        </w:rPr>
      </w:pPr>
      <w:r w:rsidRPr="00AC7491">
        <w:rPr>
          <w:rFonts w:ascii="Calibri" w:eastAsiaTheme="majorEastAsia" w:hAnsi="Calibri" w:cs="Calibri"/>
          <w:b/>
          <w:bCs/>
        </w:rPr>
        <w:t>Overall:</w:t>
      </w:r>
      <w:r w:rsidRPr="00AC7491">
        <w:rPr>
          <w:rFonts w:ascii="Calibri" w:hAnsi="Calibri" w:cs="Calibri"/>
        </w:rPr>
        <w:t xml:space="preserve"> The company maintained a </w:t>
      </w:r>
      <w:r w:rsidRPr="00AC7491">
        <w:rPr>
          <w:rFonts w:ascii="Calibri" w:eastAsiaTheme="majorEastAsia" w:hAnsi="Calibri" w:cs="Calibri"/>
          <w:b/>
          <w:bCs/>
        </w:rPr>
        <w:t>balanced expansion</w:t>
      </w:r>
      <w:r w:rsidRPr="00AC7491">
        <w:rPr>
          <w:rFonts w:ascii="Calibri" w:hAnsi="Calibri" w:cs="Calibri"/>
        </w:rPr>
        <w:t xml:space="preserve"> in fixed and current assets, supported mainly by equity growth, while </w:t>
      </w:r>
      <w:r w:rsidRPr="00AC7491">
        <w:rPr>
          <w:rFonts w:ascii="Calibri" w:eastAsiaTheme="majorEastAsia" w:hAnsi="Calibri" w:cs="Calibri"/>
          <w:b/>
          <w:bCs/>
        </w:rPr>
        <w:t>debt levels remained moderate</w:t>
      </w:r>
      <w:r w:rsidRPr="00AC7491">
        <w:rPr>
          <w:rFonts w:ascii="Calibri" w:hAnsi="Calibri" w:cs="Calibri"/>
        </w:rPr>
        <w:t xml:space="preserve"> with slight recent increases in short-term borrowings.</w:t>
      </w:r>
    </w:p>
    <w:p w14:paraId="21E24944" w14:textId="77777777" w:rsidR="00BD0F75" w:rsidRDefault="00BD0F75" w:rsidP="00F91470">
      <w:pPr>
        <w:spacing w:after="160" w:line="259" w:lineRule="auto"/>
        <w:ind w:left="360"/>
        <w:jc w:val="both"/>
        <w:rPr>
          <w:rFonts w:ascii="Calibri" w:hAnsi="Calibri" w:cs="Calibri"/>
        </w:rPr>
      </w:pPr>
    </w:p>
    <w:p w14:paraId="7E4D8785" w14:textId="7F54C68F" w:rsidR="00BD0F75" w:rsidRPr="00D15662" w:rsidRDefault="0037532C" w:rsidP="0037532C">
      <w:pPr>
        <w:spacing w:after="160" w:line="259" w:lineRule="auto"/>
        <w:ind w:left="360"/>
        <w:jc w:val="center"/>
        <w:rPr>
          <w:rFonts w:ascii="Calibri" w:hAnsi="Calibri" w:cs="Calibri"/>
          <w:b/>
          <w:bCs/>
          <w:sz w:val="28"/>
          <w:szCs w:val="28"/>
          <w:u w:val="single"/>
        </w:rPr>
      </w:pPr>
      <w:r w:rsidRPr="00D15662">
        <w:rPr>
          <w:rFonts w:ascii="Calibri" w:hAnsi="Calibri" w:cs="Calibri"/>
          <w:b/>
          <w:bCs/>
          <w:sz w:val="28"/>
          <w:szCs w:val="28"/>
          <w:u w:val="single"/>
        </w:rPr>
        <w:t>Graphical Representation</w:t>
      </w:r>
    </w:p>
    <w:p w14:paraId="7973E658" w14:textId="5FED2CCA" w:rsidR="00BD0F75" w:rsidRDefault="00713C10" w:rsidP="00F91470">
      <w:pPr>
        <w:spacing w:after="160" w:line="259" w:lineRule="auto"/>
        <w:ind w:left="360"/>
        <w:jc w:val="both"/>
        <w:rPr>
          <w:rFonts w:ascii="Calibri" w:hAnsi="Calibri" w:cs="Calibri"/>
        </w:rPr>
      </w:pPr>
      <w:r>
        <w:rPr>
          <w:noProof/>
          <w14:ligatures w14:val="standardContextual"/>
        </w:rPr>
        <w:drawing>
          <wp:anchor distT="0" distB="0" distL="114300" distR="114300" simplePos="0" relativeHeight="251671552" behindDoc="0" locked="0" layoutInCell="1" allowOverlap="1" wp14:anchorId="1A9F173B" wp14:editId="1392C678">
            <wp:simplePos x="0" y="0"/>
            <wp:positionH relativeFrom="column">
              <wp:posOffset>2845558</wp:posOffset>
            </wp:positionH>
            <wp:positionV relativeFrom="paragraph">
              <wp:posOffset>264586</wp:posOffset>
            </wp:positionV>
            <wp:extent cx="3131820" cy="3009332"/>
            <wp:effectExtent l="0" t="0" r="11430" b="635"/>
            <wp:wrapNone/>
            <wp:docPr id="1522056138" name="Chart 1">
              <a:extLst xmlns:a="http://schemas.openxmlformats.org/drawingml/2006/main">
                <a:ext uri="{FF2B5EF4-FFF2-40B4-BE49-F238E27FC236}">
                  <a16:creationId xmlns:a16="http://schemas.microsoft.com/office/drawing/2014/main" id="{AF694455-D75B-D84B-9E2A-EF7EF2B225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p>
    <w:p w14:paraId="5C597D2E" w14:textId="0454AE26" w:rsidR="00BD0F75" w:rsidRDefault="00BD0F75" w:rsidP="00F91470">
      <w:pPr>
        <w:spacing w:after="160" w:line="259" w:lineRule="auto"/>
        <w:ind w:left="360"/>
        <w:jc w:val="both"/>
        <w:rPr>
          <w:rFonts w:ascii="Calibri" w:hAnsi="Calibri" w:cs="Calibri"/>
        </w:rPr>
      </w:pPr>
    </w:p>
    <w:p w14:paraId="38080722" w14:textId="7F934A02" w:rsidR="00BD0F75" w:rsidRDefault="00033033" w:rsidP="00F91470">
      <w:pPr>
        <w:spacing w:after="160" w:line="259" w:lineRule="auto"/>
        <w:ind w:left="360"/>
        <w:jc w:val="both"/>
        <w:rPr>
          <w:rFonts w:ascii="Calibri" w:hAnsi="Calibri" w:cs="Calibri"/>
        </w:rPr>
      </w:pPr>
      <w:r>
        <w:rPr>
          <w:noProof/>
          <w14:ligatures w14:val="standardContextual"/>
        </w:rPr>
        <w:drawing>
          <wp:anchor distT="0" distB="0" distL="114300" distR="114300" simplePos="0" relativeHeight="251672576" behindDoc="0" locked="0" layoutInCell="1" allowOverlap="1" wp14:anchorId="0A25181A" wp14:editId="3584DD22">
            <wp:simplePos x="0" y="0"/>
            <wp:positionH relativeFrom="column">
              <wp:posOffset>-320675</wp:posOffset>
            </wp:positionH>
            <wp:positionV relativeFrom="paragraph">
              <wp:posOffset>110016</wp:posOffset>
            </wp:positionV>
            <wp:extent cx="3002280" cy="2163171"/>
            <wp:effectExtent l="0" t="0" r="7620" b="8890"/>
            <wp:wrapNone/>
            <wp:docPr id="283616936" name="Chart 1">
              <a:extLst xmlns:a="http://schemas.openxmlformats.org/drawingml/2006/main">
                <a:ext uri="{FF2B5EF4-FFF2-40B4-BE49-F238E27FC236}">
                  <a16:creationId xmlns:a16="http://schemas.microsoft.com/office/drawing/2014/main" id="{4F561A57-AC9A-6CB1-4F77-AF74E145B63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p>
    <w:p w14:paraId="3F7C0CC8" w14:textId="6F022143" w:rsidR="00BD0F75" w:rsidRDefault="00BD0F75" w:rsidP="00F91470">
      <w:pPr>
        <w:spacing w:after="160" w:line="259" w:lineRule="auto"/>
        <w:ind w:left="360"/>
        <w:jc w:val="both"/>
        <w:rPr>
          <w:rFonts w:ascii="Calibri" w:hAnsi="Calibri" w:cs="Calibri"/>
        </w:rPr>
      </w:pPr>
    </w:p>
    <w:p w14:paraId="379CBE7B" w14:textId="0DE4ADF8" w:rsidR="00BD0F75" w:rsidRDefault="00BD0F75" w:rsidP="00F91470">
      <w:pPr>
        <w:spacing w:after="160" w:line="259" w:lineRule="auto"/>
        <w:ind w:left="360"/>
        <w:jc w:val="both"/>
        <w:rPr>
          <w:rFonts w:ascii="Calibri" w:hAnsi="Calibri" w:cs="Calibri"/>
        </w:rPr>
      </w:pPr>
    </w:p>
    <w:p w14:paraId="3C2F5740" w14:textId="751C4E9C" w:rsidR="00BD0F75" w:rsidRDefault="00BD0F75" w:rsidP="00F91470">
      <w:pPr>
        <w:spacing w:after="160" w:line="259" w:lineRule="auto"/>
        <w:ind w:left="360"/>
        <w:jc w:val="both"/>
        <w:rPr>
          <w:rFonts w:ascii="Calibri" w:hAnsi="Calibri" w:cs="Calibri"/>
        </w:rPr>
      </w:pPr>
    </w:p>
    <w:p w14:paraId="664C4A0A" w14:textId="71B35E7A" w:rsidR="00BD0F75" w:rsidRDefault="00BD0F75" w:rsidP="00F91470">
      <w:pPr>
        <w:spacing w:after="160" w:line="259" w:lineRule="auto"/>
        <w:ind w:left="360"/>
        <w:jc w:val="both"/>
        <w:rPr>
          <w:rFonts w:ascii="Calibri" w:hAnsi="Calibri" w:cs="Calibri"/>
        </w:rPr>
      </w:pPr>
    </w:p>
    <w:p w14:paraId="6F40B284" w14:textId="7C09744C" w:rsidR="00BD0F75" w:rsidRDefault="00BD0F75" w:rsidP="00F91470">
      <w:pPr>
        <w:spacing w:after="160" w:line="259" w:lineRule="auto"/>
        <w:ind w:left="360"/>
        <w:jc w:val="both"/>
        <w:rPr>
          <w:rFonts w:ascii="Calibri" w:hAnsi="Calibri" w:cs="Calibri"/>
        </w:rPr>
      </w:pPr>
    </w:p>
    <w:p w14:paraId="3F097878" w14:textId="49502D63" w:rsidR="00BD0F75" w:rsidRDefault="00BD0F75" w:rsidP="00F91470">
      <w:pPr>
        <w:spacing w:after="160" w:line="259" w:lineRule="auto"/>
        <w:ind w:left="360"/>
        <w:jc w:val="both"/>
        <w:rPr>
          <w:rFonts w:ascii="Calibri" w:hAnsi="Calibri" w:cs="Calibri"/>
        </w:rPr>
      </w:pPr>
    </w:p>
    <w:p w14:paraId="0B0A831D" w14:textId="508B385F" w:rsidR="00BD0F75" w:rsidRDefault="00393C34" w:rsidP="00F91470">
      <w:pPr>
        <w:spacing w:after="160" w:line="259" w:lineRule="auto"/>
        <w:ind w:left="360"/>
        <w:jc w:val="both"/>
        <w:rPr>
          <w:rFonts w:ascii="Calibri" w:hAnsi="Calibri" w:cs="Calibri"/>
        </w:rPr>
      </w:pPr>
      <w:r>
        <w:rPr>
          <w:noProof/>
        </w:rPr>
        <mc:AlternateContent>
          <mc:Choice Requires="wps">
            <w:drawing>
              <wp:anchor distT="0" distB="0" distL="114300" distR="114300" simplePos="0" relativeHeight="251676672" behindDoc="0" locked="0" layoutInCell="1" allowOverlap="1" wp14:anchorId="6E0DDAE5" wp14:editId="6745B13A">
                <wp:simplePos x="0" y="0"/>
                <wp:positionH relativeFrom="column">
                  <wp:posOffset>-320722</wp:posOffset>
                </wp:positionH>
                <wp:positionV relativeFrom="paragraph">
                  <wp:posOffset>211749</wp:posOffset>
                </wp:positionV>
                <wp:extent cx="3002280" cy="170597"/>
                <wp:effectExtent l="0" t="0" r="7620" b="1270"/>
                <wp:wrapNone/>
                <wp:docPr id="1385285007" name="Text Box 1"/>
                <wp:cNvGraphicFramePr/>
                <a:graphic xmlns:a="http://schemas.openxmlformats.org/drawingml/2006/main">
                  <a:graphicData uri="http://schemas.microsoft.com/office/word/2010/wordprocessingShape">
                    <wps:wsp>
                      <wps:cNvSpPr txBox="1"/>
                      <wps:spPr>
                        <a:xfrm>
                          <a:off x="0" y="0"/>
                          <a:ext cx="3002280" cy="170597"/>
                        </a:xfrm>
                        <a:prstGeom prst="rect">
                          <a:avLst/>
                        </a:prstGeom>
                        <a:solidFill>
                          <a:prstClr val="white"/>
                        </a:solidFill>
                        <a:ln>
                          <a:noFill/>
                        </a:ln>
                      </wps:spPr>
                      <wps:txbx>
                        <w:txbxContent>
                          <w:p w14:paraId="130447FC" w14:textId="75629305" w:rsidR="00393C34" w:rsidRPr="009722E9" w:rsidRDefault="00393C34" w:rsidP="00393C34">
                            <w:pPr>
                              <w:pStyle w:val="Caption"/>
                              <w:jc w:val="center"/>
                              <w:rPr>
                                <w:noProof/>
                              </w:rPr>
                            </w:pPr>
                            <w:r>
                              <w:t>Figure</w:t>
                            </w:r>
                            <w:r w:rsidR="00E234AC">
                              <w:t xml:space="preserve"> </w:t>
                            </w:r>
                            <w:r>
                              <w:t>1 Sales Trends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0DDAE5" id="_x0000_s1029" type="#_x0000_t202" style="position:absolute;left:0;text-align:left;margin-left:-25.25pt;margin-top:16.65pt;width:236.4pt;height:13.4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" stroked="f">
                <v:textbox inset="0,0,0,0">
                  <w:txbxContent>
                    <w:p w14:paraId="130447FC" w14:textId="75629305" w:rsidR="00393C34" w:rsidRPr="009722E9" w:rsidRDefault="00393C34" w:rsidP="00393C34">
                      <w:pPr>
                        <w:pStyle w:val="Caption"/>
                        <w:jc w:val="center"/>
                        <w:rPr>
                          <w:noProof/>
                        </w:rPr>
                      </w:pPr>
                      <w:r>
                        <w:t>Figure</w:t>
                      </w:r>
                      <w:r w:rsidR="00E234AC">
                        <w:t xml:space="preserve"> </w:t>
                      </w:r>
                      <w:r>
                        <w:t>1 Sales Trends</w:t>
                      </w:r>
                    </w:p>
                  </w:txbxContent>
                </v:textbox>
              </v:shape>
            </w:pict>
          </mc:Fallback>
        </mc:AlternateContent>
      </w:r>
    </w:p>
    <w:p w14:paraId="250C8419" w14:textId="28DC299C" w:rsidR="00BD0F75" w:rsidRDefault="00393C34" w:rsidP="00F91470">
      <w:pPr>
        <w:spacing w:after="160" w:line="259" w:lineRule="auto"/>
        <w:ind w:left="360"/>
        <w:jc w:val="both"/>
        <w:rPr>
          <w:rFonts w:ascii="Calibri" w:hAnsi="Calibri" w:cs="Calibri"/>
        </w:rPr>
      </w:pPr>
      <w:r>
        <w:rPr>
          <w:noProof/>
        </w:rPr>
        <mc:AlternateContent>
          <mc:Choice Requires="wps">
            <w:drawing>
              <wp:anchor distT="0" distB="0" distL="114300" distR="114300" simplePos="0" relativeHeight="251678720" behindDoc="0" locked="0" layoutInCell="1" allowOverlap="1" wp14:anchorId="4FF0382C" wp14:editId="25F49BAA">
                <wp:simplePos x="0" y="0"/>
                <wp:positionH relativeFrom="column">
                  <wp:posOffset>2845558</wp:posOffset>
                </wp:positionH>
                <wp:positionV relativeFrom="paragraph">
                  <wp:posOffset>305274</wp:posOffset>
                </wp:positionV>
                <wp:extent cx="3131820" cy="184245"/>
                <wp:effectExtent l="0" t="0" r="0" b="6350"/>
                <wp:wrapNone/>
                <wp:docPr id="1540528012" name="Text Box 1"/>
                <wp:cNvGraphicFramePr/>
                <a:graphic xmlns:a="http://schemas.openxmlformats.org/drawingml/2006/main">
                  <a:graphicData uri="http://schemas.microsoft.com/office/word/2010/wordprocessingShape">
                    <wps:wsp>
                      <wps:cNvSpPr txBox="1"/>
                      <wps:spPr>
                        <a:xfrm>
                          <a:off x="0" y="0"/>
                          <a:ext cx="3131820" cy="184245"/>
                        </a:xfrm>
                        <a:prstGeom prst="rect">
                          <a:avLst/>
                        </a:prstGeom>
                        <a:solidFill>
                          <a:prstClr val="white"/>
                        </a:solidFill>
                        <a:ln>
                          <a:noFill/>
                        </a:ln>
                      </wps:spPr>
                      <wps:txbx>
                        <w:txbxContent>
                          <w:p w14:paraId="28517D01" w14:textId="6FE9C6AC" w:rsidR="00393C34" w:rsidRPr="005D56C4" w:rsidRDefault="00393C34" w:rsidP="00393C34">
                            <w:pPr>
                              <w:pStyle w:val="Caption"/>
                              <w:jc w:val="center"/>
                              <w:rPr>
                                <w:noProof/>
                              </w:rPr>
                            </w:pPr>
                            <w:r>
                              <w:t xml:space="preserve">Figure </w:t>
                            </w:r>
                            <w:r w:rsidR="00E234AC">
                              <w:t>2</w:t>
                            </w:r>
                            <w:r>
                              <w:t xml:space="preserve"> EBITDA Trends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F0382C" id="_x0000_s1030" type="#_x0000_t202" style="position:absolute;left:0;text-align:left;margin-left:224.05pt;margin-top:24.05pt;width:246.6pt;height:14.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" stroked="f">
                <v:textbox inset="0,0,0,0">
                  <w:txbxContent>
                    <w:p w14:paraId="28517D01" w14:textId="6FE9C6AC" w:rsidR="00393C34" w:rsidRPr="005D56C4" w:rsidRDefault="00393C34" w:rsidP="00393C34">
                      <w:pPr>
                        <w:pStyle w:val="Caption"/>
                        <w:jc w:val="center"/>
                        <w:rPr>
                          <w:noProof/>
                        </w:rPr>
                      </w:pPr>
                      <w:r>
                        <w:t xml:space="preserve">Figure </w:t>
                      </w:r>
                      <w:r w:rsidR="00E234AC">
                        <w:t>2</w:t>
                      </w:r>
                      <w:r>
                        <w:t xml:space="preserve"> EBITDA Trends</w:t>
                      </w:r>
                    </w:p>
                  </w:txbxContent>
                </v:textbox>
              </v:shape>
            </w:pict>
          </mc:Fallback>
        </mc:AlternateContent>
      </w:r>
    </w:p>
    <w:p w14:paraId="333517C4" w14:textId="1ADF3AFE" w:rsidR="00BD0F75" w:rsidRDefault="00BD0F75" w:rsidP="00F91470">
      <w:pPr>
        <w:spacing w:after="160" w:line="259" w:lineRule="auto"/>
        <w:ind w:left="360"/>
        <w:jc w:val="both"/>
        <w:rPr>
          <w:rFonts w:ascii="Calibri" w:hAnsi="Calibri" w:cs="Calibri"/>
        </w:rPr>
      </w:pPr>
    </w:p>
    <w:p w14:paraId="4C93C688" w14:textId="34E41FB4" w:rsidR="00BD0F75" w:rsidRDefault="00033033" w:rsidP="00F91470">
      <w:pPr>
        <w:spacing w:after="160" w:line="259" w:lineRule="auto"/>
        <w:ind w:left="360"/>
        <w:jc w:val="both"/>
        <w:rPr>
          <w:rFonts w:ascii="Calibri" w:hAnsi="Calibri" w:cs="Calibri"/>
        </w:rPr>
      </w:pPr>
      <w:r>
        <w:rPr>
          <w:noProof/>
          <w14:ligatures w14:val="standardContextual"/>
        </w:rPr>
        <w:drawing>
          <wp:anchor distT="0" distB="0" distL="114300" distR="114300" simplePos="0" relativeHeight="251674624" behindDoc="0" locked="0" layoutInCell="1" allowOverlap="1" wp14:anchorId="23F9BAD8" wp14:editId="6D990213">
            <wp:simplePos x="0" y="0"/>
            <wp:positionH relativeFrom="column">
              <wp:posOffset>2845558</wp:posOffset>
            </wp:positionH>
            <wp:positionV relativeFrom="paragraph">
              <wp:posOffset>41312</wp:posOffset>
            </wp:positionV>
            <wp:extent cx="3173095" cy="3009331"/>
            <wp:effectExtent l="0" t="0" r="8255" b="635"/>
            <wp:wrapNone/>
            <wp:docPr id="746940329" name="Chart 1">
              <a:extLst xmlns:a="http://schemas.openxmlformats.org/drawingml/2006/main">
                <a:ext uri="{FF2B5EF4-FFF2-40B4-BE49-F238E27FC236}">
                  <a16:creationId xmlns:a16="http://schemas.microsoft.com/office/drawing/2014/main" id="{657D1F0E-2CCA-D458-AC9A-943D2C95CDF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p>
    <w:p w14:paraId="583066C8" w14:textId="0084DA03" w:rsidR="00BD0F75" w:rsidRDefault="00033033" w:rsidP="00F91470">
      <w:pPr>
        <w:spacing w:after="160" w:line="259" w:lineRule="auto"/>
        <w:ind w:left="360"/>
        <w:jc w:val="both"/>
        <w:rPr>
          <w:rFonts w:ascii="Calibri" w:hAnsi="Calibri" w:cs="Calibri"/>
        </w:rPr>
      </w:pPr>
      <w:r>
        <w:rPr>
          <w:noProof/>
          <w14:ligatures w14:val="standardContextual"/>
        </w:rPr>
        <w:drawing>
          <wp:anchor distT="0" distB="0" distL="114300" distR="114300" simplePos="0" relativeHeight="251673600" behindDoc="0" locked="0" layoutInCell="1" allowOverlap="1" wp14:anchorId="2546A0B4" wp14:editId="4005E029">
            <wp:simplePos x="0" y="0"/>
            <wp:positionH relativeFrom="column">
              <wp:posOffset>-354330</wp:posOffset>
            </wp:positionH>
            <wp:positionV relativeFrom="paragraph">
              <wp:posOffset>93857</wp:posOffset>
            </wp:positionV>
            <wp:extent cx="3036570" cy="2285621"/>
            <wp:effectExtent l="0" t="0" r="11430" b="635"/>
            <wp:wrapNone/>
            <wp:docPr id="926709671" name="Chart 1">
              <a:extLst xmlns:a="http://schemas.openxmlformats.org/drawingml/2006/main">
                <a:ext uri="{FF2B5EF4-FFF2-40B4-BE49-F238E27FC236}">
                  <a16:creationId xmlns:a16="http://schemas.microsoft.com/office/drawing/2014/main" id="{B354C3A2-9D93-B31D-EEA8-0B3CC14AB8D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p>
    <w:p w14:paraId="6A22230C" w14:textId="05FECB99" w:rsidR="00BD0F75" w:rsidRDefault="00BD0F75" w:rsidP="00F91470">
      <w:pPr>
        <w:spacing w:after="160" w:line="259" w:lineRule="auto"/>
        <w:ind w:left="360"/>
        <w:jc w:val="both"/>
        <w:rPr>
          <w:rFonts w:ascii="Calibri" w:hAnsi="Calibri" w:cs="Calibri"/>
        </w:rPr>
      </w:pPr>
    </w:p>
    <w:p w14:paraId="4227F9C5" w14:textId="675653F0" w:rsidR="00BD0F75" w:rsidRDefault="00BD0F75" w:rsidP="00F91470">
      <w:pPr>
        <w:spacing w:after="160" w:line="259" w:lineRule="auto"/>
        <w:ind w:left="360"/>
        <w:jc w:val="both"/>
        <w:rPr>
          <w:rFonts w:ascii="Calibri" w:hAnsi="Calibri" w:cs="Calibri"/>
        </w:rPr>
      </w:pPr>
    </w:p>
    <w:p w14:paraId="7BD00E1C" w14:textId="14D3255D" w:rsidR="00BD0F75" w:rsidRDefault="00BD0F75" w:rsidP="00F91470">
      <w:pPr>
        <w:spacing w:after="160" w:line="259" w:lineRule="auto"/>
        <w:ind w:left="360"/>
        <w:jc w:val="both"/>
        <w:rPr>
          <w:rFonts w:ascii="Calibri" w:hAnsi="Calibri" w:cs="Calibri"/>
        </w:rPr>
      </w:pPr>
    </w:p>
    <w:p w14:paraId="3F2FAB5E" w14:textId="77777777" w:rsidR="00BD0F75" w:rsidRDefault="00BD0F75" w:rsidP="00F91470">
      <w:pPr>
        <w:spacing w:after="160" w:line="259" w:lineRule="auto"/>
        <w:ind w:left="360"/>
        <w:jc w:val="both"/>
        <w:rPr>
          <w:rFonts w:ascii="Calibri" w:hAnsi="Calibri" w:cs="Calibri"/>
        </w:rPr>
      </w:pPr>
    </w:p>
    <w:p w14:paraId="52C9381F" w14:textId="77777777" w:rsidR="00BD0F75" w:rsidRDefault="00BD0F75" w:rsidP="00F91470">
      <w:pPr>
        <w:spacing w:after="160" w:line="259" w:lineRule="auto"/>
        <w:ind w:left="360"/>
        <w:jc w:val="both"/>
        <w:rPr>
          <w:rFonts w:ascii="Calibri" w:hAnsi="Calibri" w:cs="Calibri"/>
        </w:rPr>
      </w:pPr>
    </w:p>
    <w:p w14:paraId="5F9AD21E" w14:textId="77777777" w:rsidR="00BD0F75" w:rsidRDefault="00BD0F75" w:rsidP="00F91470">
      <w:pPr>
        <w:spacing w:after="160" w:line="259" w:lineRule="auto"/>
        <w:ind w:left="360"/>
        <w:jc w:val="both"/>
        <w:rPr>
          <w:rFonts w:ascii="Calibri" w:hAnsi="Calibri" w:cs="Calibri"/>
        </w:rPr>
      </w:pPr>
    </w:p>
    <w:p w14:paraId="0F0DBF1C" w14:textId="03AC5F03" w:rsidR="00BD0F75" w:rsidRDefault="00E234AC" w:rsidP="00F91470">
      <w:pPr>
        <w:spacing w:after="160" w:line="259" w:lineRule="auto"/>
        <w:ind w:left="360"/>
        <w:jc w:val="both"/>
        <w:rPr>
          <w:rFonts w:ascii="Calibri" w:hAnsi="Calibri" w:cs="Calibri"/>
        </w:rPr>
      </w:pPr>
      <w:r>
        <w:rPr>
          <w:noProof/>
        </w:rPr>
        <mc:AlternateContent>
          <mc:Choice Requires="wps">
            <w:drawing>
              <wp:anchor distT="0" distB="0" distL="114300" distR="114300" simplePos="0" relativeHeight="251680768" behindDoc="0" locked="0" layoutInCell="1" allowOverlap="1" wp14:anchorId="5AFC2A0F" wp14:editId="302964D1">
                <wp:simplePos x="0" y="0"/>
                <wp:positionH relativeFrom="column">
                  <wp:posOffset>-354842</wp:posOffset>
                </wp:positionH>
                <wp:positionV relativeFrom="paragraph">
                  <wp:posOffset>318031</wp:posOffset>
                </wp:positionV>
                <wp:extent cx="3036570" cy="177421"/>
                <wp:effectExtent l="0" t="0" r="0" b="0"/>
                <wp:wrapNone/>
                <wp:docPr id="201568397" name="Text Box 1"/>
                <wp:cNvGraphicFramePr/>
                <a:graphic xmlns:a="http://schemas.openxmlformats.org/drawingml/2006/main">
                  <a:graphicData uri="http://schemas.microsoft.com/office/word/2010/wordprocessingShape">
                    <wps:wsp>
                      <wps:cNvSpPr txBox="1"/>
                      <wps:spPr>
                        <a:xfrm>
                          <a:off x="0" y="0"/>
                          <a:ext cx="3036570" cy="177421"/>
                        </a:xfrm>
                        <a:prstGeom prst="rect">
                          <a:avLst/>
                        </a:prstGeom>
                        <a:solidFill>
                          <a:prstClr val="white"/>
                        </a:solidFill>
                        <a:ln>
                          <a:noFill/>
                        </a:ln>
                      </wps:spPr>
                      <wps:txbx>
                        <w:txbxContent>
                          <w:p w14:paraId="4272E9D7" w14:textId="54897B18" w:rsidR="00E234AC" w:rsidRPr="003D1BB4" w:rsidRDefault="00E234AC" w:rsidP="00E234AC">
                            <w:pPr>
                              <w:pStyle w:val="Caption"/>
                              <w:jc w:val="center"/>
                              <w:rPr>
                                <w:noProof/>
                              </w:rPr>
                            </w:pPr>
                            <w:r>
                              <w:t>Figure 3 Net Profit Trends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FC2A0F" id="_x0000_s1031" type="#_x0000_t202" style="position:absolute;left:0;text-align:left;margin-left:-27.95pt;margin-top:25.05pt;width:239.1pt;height:13.9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" stroked="f">
                <v:textbox inset="0,0,0,0">
                  <w:txbxContent>
                    <w:p w14:paraId="4272E9D7" w14:textId="54897B18" w:rsidR="00E234AC" w:rsidRPr="003D1BB4" w:rsidRDefault="00E234AC" w:rsidP="00E234AC">
                      <w:pPr>
                        <w:pStyle w:val="Caption"/>
                        <w:jc w:val="center"/>
                        <w:rPr>
                          <w:noProof/>
                        </w:rPr>
                      </w:pPr>
                      <w:r>
                        <w:t>Figure 3 Net Profit Trends</w:t>
                      </w:r>
                    </w:p>
                  </w:txbxContent>
                </v:textbox>
              </v:shape>
            </w:pict>
          </mc:Fallback>
        </mc:AlternateContent>
      </w:r>
    </w:p>
    <w:p w14:paraId="6EB83013" w14:textId="77777777" w:rsidR="00BD0F75" w:rsidRDefault="00BD0F75" w:rsidP="00F91470">
      <w:pPr>
        <w:spacing w:after="160" w:line="259" w:lineRule="auto"/>
        <w:ind w:left="360"/>
        <w:jc w:val="both"/>
        <w:rPr>
          <w:rFonts w:ascii="Calibri" w:hAnsi="Calibri" w:cs="Calibri"/>
        </w:rPr>
      </w:pPr>
    </w:p>
    <w:p w14:paraId="7F64D89C" w14:textId="2EA0F962" w:rsidR="00BD0F75" w:rsidRDefault="009040FB" w:rsidP="00F91470">
      <w:pPr>
        <w:spacing w:after="160" w:line="259" w:lineRule="auto"/>
        <w:ind w:left="360"/>
        <w:jc w:val="both"/>
        <w:rPr>
          <w:rFonts w:ascii="Calibri" w:hAnsi="Calibri" w:cs="Calibri"/>
        </w:rPr>
      </w:pPr>
      <w:r>
        <w:rPr>
          <w:noProof/>
        </w:rPr>
        <mc:AlternateContent>
          <mc:Choice Requires="wps">
            <w:drawing>
              <wp:anchor distT="0" distB="0" distL="114300" distR="114300" simplePos="0" relativeHeight="251682816" behindDoc="0" locked="0" layoutInCell="1" allowOverlap="1" wp14:anchorId="12626775" wp14:editId="7F44355E">
                <wp:simplePos x="0" y="0"/>
                <wp:positionH relativeFrom="column">
                  <wp:posOffset>2845558</wp:posOffset>
                </wp:positionH>
                <wp:positionV relativeFrom="paragraph">
                  <wp:posOffset>82000</wp:posOffset>
                </wp:positionV>
                <wp:extent cx="3173095" cy="184245"/>
                <wp:effectExtent l="0" t="0" r="8255" b="6350"/>
                <wp:wrapNone/>
                <wp:docPr id="388956286" name="Text Box 1"/>
                <wp:cNvGraphicFramePr/>
                <a:graphic xmlns:a="http://schemas.openxmlformats.org/drawingml/2006/main">
                  <a:graphicData uri="http://schemas.microsoft.com/office/word/2010/wordprocessingShape">
                    <wps:wsp>
                      <wps:cNvSpPr txBox="1"/>
                      <wps:spPr>
                        <a:xfrm>
                          <a:off x="0" y="0"/>
                          <a:ext cx="3173095" cy="184245"/>
                        </a:xfrm>
                        <a:prstGeom prst="rect">
                          <a:avLst/>
                        </a:prstGeom>
                        <a:solidFill>
                          <a:prstClr val="white"/>
                        </a:solidFill>
                        <a:ln>
                          <a:noFill/>
                        </a:ln>
                      </wps:spPr>
                      <wps:txbx>
                        <w:txbxContent>
                          <w:p w14:paraId="0DEE3CE0" w14:textId="6CD115AD" w:rsidR="009040FB" w:rsidRPr="00DD4FFC" w:rsidRDefault="009040FB" w:rsidP="009040FB">
                            <w:pPr>
                              <w:pStyle w:val="Caption"/>
                              <w:jc w:val="center"/>
                              <w:rPr>
                                <w:noProof/>
                              </w:rPr>
                            </w:pPr>
                            <w:r>
                              <w:t>Figure 4 Total Assets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626775" id="_x0000_s1032" type="#_x0000_t202" style="position:absolute;left:0;text-align:left;margin-left:224.05pt;margin-top:6.45pt;width:249.85pt;height:14.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" stroked="f">
                <v:textbox inset="0,0,0,0">
                  <w:txbxContent>
                    <w:p w14:paraId="0DEE3CE0" w14:textId="6CD115AD" w:rsidR="009040FB" w:rsidRPr="00DD4FFC" w:rsidRDefault="009040FB" w:rsidP="009040FB">
                      <w:pPr>
                        <w:pStyle w:val="Caption"/>
                        <w:jc w:val="center"/>
                        <w:rPr>
                          <w:noProof/>
                        </w:rPr>
                      </w:pPr>
                      <w:r>
                        <w:t>Figure 4 Total Assets</w:t>
                      </w:r>
                    </w:p>
                  </w:txbxContent>
                </v:textbox>
              </v:shape>
            </w:pict>
          </mc:Fallback>
        </mc:AlternateContent>
      </w:r>
    </w:p>
    <w:p w14:paraId="7FB53642" w14:textId="77777777" w:rsidR="00BD0F75" w:rsidRDefault="00BD0F75" w:rsidP="00F91470">
      <w:pPr>
        <w:spacing w:after="160" w:line="259" w:lineRule="auto"/>
        <w:ind w:left="360"/>
        <w:jc w:val="both"/>
        <w:rPr>
          <w:rFonts w:ascii="Calibri" w:hAnsi="Calibri" w:cs="Calibri"/>
        </w:rPr>
      </w:pPr>
    </w:p>
    <w:p w14:paraId="30760FA1" w14:textId="77777777" w:rsidR="00BD0F75" w:rsidRDefault="00BD0F75" w:rsidP="00F91470">
      <w:pPr>
        <w:spacing w:after="160" w:line="259" w:lineRule="auto"/>
        <w:ind w:left="360"/>
        <w:jc w:val="both"/>
        <w:rPr>
          <w:rFonts w:ascii="Calibri" w:hAnsi="Calibri" w:cs="Calibri"/>
        </w:rPr>
      </w:pPr>
    </w:p>
    <w:p w14:paraId="591BBBB3" w14:textId="77777777" w:rsidR="00BD0F75" w:rsidRDefault="00BD0F75" w:rsidP="00F91470">
      <w:pPr>
        <w:spacing w:after="160" w:line="259" w:lineRule="auto"/>
        <w:ind w:left="360"/>
        <w:jc w:val="both"/>
        <w:rPr>
          <w:rFonts w:ascii="Calibri" w:hAnsi="Calibri" w:cs="Calibri"/>
        </w:rPr>
      </w:pPr>
    </w:p>
    <w:p w14:paraId="5D0A2028" w14:textId="77777777" w:rsidR="00DA2A78" w:rsidRDefault="00DA2A78">
      <w:pPr>
        <w:rPr>
          <w:rFonts w:ascii="Calibri" w:hAnsi="Calibri" w:cs="Calibri"/>
        </w:rPr>
      </w:pPr>
    </w:p>
    <w:p w14:paraId="09343237" w14:textId="0B79DC6E" w:rsidR="00D55FDC" w:rsidRPr="00994BC9" w:rsidRDefault="00181EF4">
      <w:pPr>
        <w:rPr>
          <w:rFonts w:ascii="Calibri" w:hAnsi="Calibri" w:cs="Calibri"/>
          <w:b/>
          <w:bCs/>
          <w:color w:val="000000"/>
          <w:sz w:val="28"/>
          <w:szCs w:val="28"/>
          <w:u w:val="single"/>
        </w:rPr>
      </w:pPr>
      <w:r w:rsidRPr="00F91470">
        <w:rPr>
          <w:rFonts w:ascii="Calibri" w:hAnsi="Calibri" w:cs="Calibri"/>
          <w:b/>
          <w:bCs/>
          <w:color w:val="000000"/>
          <w:sz w:val="28"/>
          <w:szCs w:val="28"/>
          <w:u w:val="single"/>
        </w:rPr>
        <w:lastRenderedPageBreak/>
        <w:t xml:space="preserve">Ratio Analysis </w:t>
      </w:r>
    </w:p>
    <w:p w14:paraId="20CC4D81" w14:textId="3A303804" w:rsidR="00D55FDC" w:rsidRPr="00F55B0F" w:rsidRDefault="00D55FDC">
      <w:pPr>
        <w:rPr>
          <w:rFonts w:ascii="Calibri" w:hAnsi="Calibri" w:cs="Calibri"/>
          <w:b/>
          <w:bCs/>
          <w:color w:val="000000"/>
        </w:rPr>
      </w:pPr>
    </w:p>
    <w:p w14:paraId="78CBCA79" w14:textId="77777777" w:rsidR="00DA2A78" w:rsidRDefault="00335906" w:rsidP="00DA2A78">
      <w:pPr>
        <w:keepNext/>
      </w:pPr>
      <w:r>
        <w:rPr>
          <w:rFonts w:ascii="Calibri" w:hAnsi="Calibri" w:cs="Calibri"/>
          <w:b/>
          <w:bCs/>
          <w:noProof/>
          <w:color w:val="000000"/>
          <w14:ligatures w14:val="standardContextual"/>
        </w:rPr>
        <w:drawing>
          <wp:inline distT="0" distB="0" distL="0" distR="0" wp14:anchorId="74015DD0" wp14:editId="2473E4EE">
            <wp:extent cx="5372850" cy="4124901"/>
            <wp:effectExtent l="0" t="0" r="0" b="9525"/>
            <wp:docPr id="223735157" name="Picture 8" descr="A table with numbers and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35157" name="Picture 8" descr="A table with numbers and a number of object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372850" cy="4124901"/>
                    </a:xfrm>
                    <a:prstGeom prst="rect">
                      <a:avLst/>
                    </a:prstGeom>
                  </pic:spPr>
                </pic:pic>
              </a:graphicData>
            </a:graphic>
          </wp:inline>
        </w:drawing>
      </w:r>
    </w:p>
    <w:p w14:paraId="0A922DA6" w14:textId="35DFDABD" w:rsidR="005B07C8" w:rsidRDefault="00DA2A78" w:rsidP="00DA2A78">
      <w:pPr>
        <w:pStyle w:val="Caption"/>
        <w:jc w:val="center"/>
        <w:rPr>
          <w:rFonts w:ascii="Calibri" w:hAnsi="Calibri" w:cs="Calibri"/>
          <w:b/>
          <w:bCs/>
          <w:color w:val="000000"/>
        </w:rPr>
      </w:pPr>
      <w:r>
        <w:t>Figure 1 Ratio Analysis</w:t>
      </w:r>
    </w:p>
    <w:p w14:paraId="7A67950F" w14:textId="77777777" w:rsidR="00BD0F75" w:rsidRPr="00BD0F75" w:rsidRDefault="00BD0F75" w:rsidP="00BD0F75">
      <w:pPr>
        <w:jc w:val="both"/>
        <w:rPr>
          <w:rFonts w:ascii="Calibri" w:hAnsi="Calibri" w:cs="Calibri"/>
          <w:b/>
          <w:bCs/>
          <w:color w:val="000000"/>
        </w:rPr>
      </w:pPr>
      <w:r w:rsidRPr="00BD0F75">
        <w:rPr>
          <w:rFonts w:ascii="Calibri" w:hAnsi="Calibri" w:cs="Calibri"/>
          <w:b/>
          <w:bCs/>
          <w:color w:val="000000"/>
        </w:rPr>
        <w:t>A. Liquidity</w:t>
      </w:r>
    </w:p>
    <w:p w14:paraId="72CE6272" w14:textId="77777777" w:rsidR="00BD0F75" w:rsidRPr="00BD0F75" w:rsidRDefault="00BD0F75" w:rsidP="00BD0F75">
      <w:pPr>
        <w:numPr>
          <w:ilvl w:val="0"/>
          <w:numId w:val="11"/>
        </w:numPr>
        <w:jc w:val="both"/>
        <w:rPr>
          <w:rFonts w:ascii="Calibri" w:hAnsi="Calibri" w:cs="Calibri"/>
          <w:color w:val="000000"/>
        </w:rPr>
      </w:pPr>
      <w:r w:rsidRPr="00BD0F75">
        <w:rPr>
          <w:rFonts w:ascii="Calibri" w:hAnsi="Calibri" w:cs="Calibri"/>
          <w:b/>
          <w:bCs/>
          <w:color w:val="000000"/>
        </w:rPr>
        <w:t>Current &amp; Quick Ratios</w:t>
      </w:r>
      <w:r w:rsidRPr="00BD0F75">
        <w:rPr>
          <w:rFonts w:ascii="Calibri" w:hAnsi="Calibri" w:cs="Calibri"/>
          <w:color w:val="000000"/>
        </w:rPr>
        <w:t xml:space="preserve"> improved till Mar-24, showing stronger short-term liquidity, but slightly dipped in Mar-25.</w:t>
      </w:r>
    </w:p>
    <w:p w14:paraId="72A3B54F" w14:textId="77777777" w:rsidR="00BD0F75" w:rsidRPr="00BD0F75" w:rsidRDefault="00BD0F75" w:rsidP="00BD0F75">
      <w:pPr>
        <w:numPr>
          <w:ilvl w:val="0"/>
          <w:numId w:val="11"/>
        </w:numPr>
        <w:jc w:val="both"/>
        <w:rPr>
          <w:rFonts w:ascii="Calibri" w:hAnsi="Calibri" w:cs="Calibri"/>
          <w:color w:val="000000"/>
        </w:rPr>
      </w:pPr>
      <w:r w:rsidRPr="00BD0F75">
        <w:rPr>
          <w:rFonts w:ascii="Calibri" w:hAnsi="Calibri" w:cs="Calibri"/>
          <w:color w:val="000000"/>
        </w:rPr>
        <w:t xml:space="preserve">Liquidity remains </w:t>
      </w:r>
      <w:r w:rsidRPr="00BD0F75">
        <w:rPr>
          <w:rFonts w:ascii="Calibri" w:hAnsi="Calibri" w:cs="Calibri"/>
          <w:b/>
          <w:bCs/>
          <w:color w:val="000000"/>
        </w:rPr>
        <w:t>comfortably above 1</w:t>
      </w:r>
      <w:r w:rsidRPr="00BD0F75">
        <w:rPr>
          <w:rFonts w:ascii="Calibri" w:hAnsi="Calibri" w:cs="Calibri"/>
          <w:color w:val="000000"/>
        </w:rPr>
        <w:t>, indicating good short-term solvency.</w:t>
      </w:r>
    </w:p>
    <w:p w14:paraId="0D6F8852" w14:textId="4D7E2C61" w:rsidR="00BD0F75" w:rsidRPr="00BD0F75" w:rsidRDefault="00BD0F75" w:rsidP="00BD0F75">
      <w:pPr>
        <w:jc w:val="both"/>
        <w:rPr>
          <w:rFonts w:ascii="Calibri" w:hAnsi="Calibri" w:cs="Calibri"/>
          <w:color w:val="000000"/>
        </w:rPr>
      </w:pPr>
    </w:p>
    <w:p w14:paraId="0ACD6591" w14:textId="77777777" w:rsidR="00BD0F75" w:rsidRPr="00BD0F75" w:rsidRDefault="00BD0F75" w:rsidP="00BD0F75">
      <w:pPr>
        <w:jc w:val="both"/>
        <w:rPr>
          <w:rFonts w:ascii="Calibri" w:hAnsi="Calibri" w:cs="Calibri"/>
          <w:b/>
          <w:bCs/>
          <w:color w:val="000000"/>
        </w:rPr>
      </w:pPr>
      <w:r w:rsidRPr="00BD0F75">
        <w:rPr>
          <w:rFonts w:ascii="Calibri" w:hAnsi="Calibri" w:cs="Calibri"/>
          <w:b/>
          <w:bCs/>
          <w:color w:val="000000"/>
        </w:rPr>
        <w:t>B. Efficiency / Turnover</w:t>
      </w:r>
    </w:p>
    <w:p w14:paraId="04BE32DD" w14:textId="77777777" w:rsidR="00BD0F75" w:rsidRPr="00BD0F75" w:rsidRDefault="00BD0F75" w:rsidP="00BD0F75">
      <w:pPr>
        <w:numPr>
          <w:ilvl w:val="0"/>
          <w:numId w:val="12"/>
        </w:numPr>
        <w:jc w:val="both"/>
        <w:rPr>
          <w:rFonts w:ascii="Calibri" w:hAnsi="Calibri" w:cs="Calibri"/>
          <w:color w:val="000000"/>
        </w:rPr>
      </w:pPr>
      <w:r w:rsidRPr="00BD0F75">
        <w:rPr>
          <w:rFonts w:ascii="Calibri" w:hAnsi="Calibri" w:cs="Calibri"/>
          <w:b/>
          <w:bCs/>
          <w:color w:val="000000"/>
        </w:rPr>
        <w:t>Inventory turnover</w:t>
      </w:r>
      <w:r w:rsidRPr="00BD0F75">
        <w:rPr>
          <w:rFonts w:ascii="Calibri" w:hAnsi="Calibri" w:cs="Calibri"/>
          <w:color w:val="000000"/>
        </w:rPr>
        <w:t xml:space="preserve"> rose from 6.4 to ~7.2, implying better stock movement.</w:t>
      </w:r>
    </w:p>
    <w:p w14:paraId="0FB1EAD5" w14:textId="77777777" w:rsidR="00BD0F75" w:rsidRPr="00BD0F75" w:rsidRDefault="00BD0F75" w:rsidP="00BD0F75">
      <w:pPr>
        <w:numPr>
          <w:ilvl w:val="0"/>
          <w:numId w:val="12"/>
        </w:numPr>
        <w:jc w:val="both"/>
        <w:rPr>
          <w:rFonts w:ascii="Calibri" w:hAnsi="Calibri" w:cs="Calibri"/>
          <w:color w:val="000000"/>
        </w:rPr>
      </w:pPr>
      <w:r w:rsidRPr="00BD0F75">
        <w:rPr>
          <w:rFonts w:ascii="Calibri" w:hAnsi="Calibri" w:cs="Calibri"/>
          <w:b/>
          <w:bCs/>
          <w:color w:val="000000"/>
        </w:rPr>
        <w:t>Receivables collection period</w:t>
      </w:r>
      <w:r w:rsidRPr="00BD0F75">
        <w:rPr>
          <w:rFonts w:ascii="Calibri" w:hAnsi="Calibri" w:cs="Calibri"/>
          <w:color w:val="000000"/>
        </w:rPr>
        <w:t xml:space="preserve"> increased (13 → 20 days), indicating </w:t>
      </w:r>
      <w:r w:rsidRPr="00BD0F75">
        <w:rPr>
          <w:rFonts w:ascii="Calibri" w:hAnsi="Calibri" w:cs="Calibri"/>
          <w:b/>
          <w:bCs/>
          <w:color w:val="000000"/>
        </w:rPr>
        <w:t>slower collections</w:t>
      </w:r>
      <w:r w:rsidRPr="00BD0F75">
        <w:rPr>
          <w:rFonts w:ascii="Calibri" w:hAnsi="Calibri" w:cs="Calibri"/>
          <w:color w:val="000000"/>
        </w:rPr>
        <w:t xml:space="preserve"> over time.</w:t>
      </w:r>
    </w:p>
    <w:p w14:paraId="378A96BD" w14:textId="77777777" w:rsidR="00BD0F75" w:rsidRPr="00BD0F75" w:rsidRDefault="00BD0F75" w:rsidP="00BD0F75">
      <w:pPr>
        <w:numPr>
          <w:ilvl w:val="0"/>
          <w:numId w:val="12"/>
        </w:numPr>
        <w:jc w:val="both"/>
        <w:rPr>
          <w:rFonts w:ascii="Calibri" w:hAnsi="Calibri" w:cs="Calibri"/>
          <w:color w:val="000000"/>
        </w:rPr>
      </w:pPr>
      <w:r w:rsidRPr="00BD0F75">
        <w:rPr>
          <w:rFonts w:ascii="Calibri" w:hAnsi="Calibri" w:cs="Calibri"/>
          <w:b/>
          <w:bCs/>
          <w:color w:val="000000"/>
        </w:rPr>
        <w:t>Payable payment period</w:t>
      </w:r>
      <w:r w:rsidRPr="00BD0F75">
        <w:rPr>
          <w:rFonts w:ascii="Calibri" w:hAnsi="Calibri" w:cs="Calibri"/>
          <w:color w:val="000000"/>
        </w:rPr>
        <w:t xml:space="preserve"> fell initially, then rose again by Mar-25, suggesting </w:t>
      </w:r>
      <w:r w:rsidRPr="00BD0F75">
        <w:rPr>
          <w:rFonts w:ascii="Calibri" w:hAnsi="Calibri" w:cs="Calibri"/>
          <w:b/>
          <w:bCs/>
          <w:color w:val="000000"/>
        </w:rPr>
        <w:t>slightly delayed payments</w:t>
      </w:r>
      <w:r w:rsidRPr="00BD0F75">
        <w:rPr>
          <w:rFonts w:ascii="Calibri" w:hAnsi="Calibri" w:cs="Calibri"/>
          <w:color w:val="000000"/>
        </w:rPr>
        <w:t xml:space="preserve"> to creditors.</w:t>
      </w:r>
    </w:p>
    <w:p w14:paraId="5AC5B4B0" w14:textId="7C795675" w:rsidR="00BD0F75" w:rsidRPr="00BD0F75" w:rsidRDefault="00BD0F75" w:rsidP="00BD0F75">
      <w:pPr>
        <w:jc w:val="both"/>
        <w:rPr>
          <w:rFonts w:ascii="Calibri" w:hAnsi="Calibri" w:cs="Calibri"/>
          <w:color w:val="000000"/>
        </w:rPr>
      </w:pPr>
    </w:p>
    <w:p w14:paraId="6DB1B095" w14:textId="77777777" w:rsidR="00BD0F75" w:rsidRPr="00BD0F75" w:rsidRDefault="00BD0F75" w:rsidP="00BD0F75">
      <w:pPr>
        <w:jc w:val="both"/>
        <w:rPr>
          <w:rFonts w:ascii="Calibri" w:hAnsi="Calibri" w:cs="Calibri"/>
          <w:b/>
          <w:bCs/>
          <w:color w:val="000000"/>
        </w:rPr>
      </w:pPr>
      <w:r w:rsidRPr="00BD0F75">
        <w:rPr>
          <w:rFonts w:ascii="Calibri" w:hAnsi="Calibri" w:cs="Calibri"/>
          <w:b/>
          <w:bCs/>
          <w:color w:val="000000"/>
        </w:rPr>
        <w:t>C. Profitability</w:t>
      </w:r>
    </w:p>
    <w:p w14:paraId="54D02C81" w14:textId="77777777" w:rsidR="00BD0F75" w:rsidRPr="00BD0F75" w:rsidRDefault="00BD0F75" w:rsidP="00BD0F75">
      <w:pPr>
        <w:numPr>
          <w:ilvl w:val="0"/>
          <w:numId w:val="13"/>
        </w:numPr>
        <w:jc w:val="both"/>
        <w:rPr>
          <w:rFonts w:ascii="Calibri" w:hAnsi="Calibri" w:cs="Calibri"/>
          <w:color w:val="000000"/>
        </w:rPr>
      </w:pPr>
      <w:r w:rsidRPr="00BD0F75">
        <w:rPr>
          <w:rFonts w:ascii="Calibri" w:hAnsi="Calibri" w:cs="Calibri"/>
          <w:b/>
          <w:bCs/>
          <w:color w:val="000000"/>
        </w:rPr>
        <w:t>Gross &amp; Net profit ratios</w:t>
      </w:r>
      <w:r w:rsidRPr="00BD0F75">
        <w:rPr>
          <w:rFonts w:ascii="Calibri" w:hAnsi="Calibri" w:cs="Calibri"/>
          <w:color w:val="000000"/>
        </w:rPr>
        <w:t xml:space="preserve"> are stable but show a slight dip around Mar-23, then recover mildly.</w:t>
      </w:r>
    </w:p>
    <w:p w14:paraId="51482BC0" w14:textId="77777777" w:rsidR="00BD0F75" w:rsidRPr="00BD0F75" w:rsidRDefault="00BD0F75" w:rsidP="00BD0F75">
      <w:pPr>
        <w:numPr>
          <w:ilvl w:val="0"/>
          <w:numId w:val="13"/>
        </w:numPr>
        <w:jc w:val="both"/>
        <w:rPr>
          <w:rFonts w:ascii="Calibri" w:hAnsi="Calibri" w:cs="Calibri"/>
          <w:color w:val="000000"/>
        </w:rPr>
      </w:pPr>
      <w:r w:rsidRPr="00BD0F75">
        <w:rPr>
          <w:rFonts w:ascii="Calibri" w:hAnsi="Calibri" w:cs="Calibri"/>
          <w:b/>
          <w:bCs/>
          <w:color w:val="000000"/>
        </w:rPr>
        <w:t>ROE, ROCE, ROA</w:t>
      </w:r>
      <w:r w:rsidRPr="00BD0F75">
        <w:rPr>
          <w:rFonts w:ascii="Calibri" w:hAnsi="Calibri" w:cs="Calibri"/>
          <w:color w:val="000000"/>
        </w:rPr>
        <w:t xml:space="preserve"> improved consistently, reaching 25% ROCE and 15% ROA by Mar-25 → </w:t>
      </w:r>
      <w:r w:rsidRPr="00BD0F75">
        <w:rPr>
          <w:rFonts w:ascii="Calibri" w:hAnsi="Calibri" w:cs="Calibri"/>
          <w:b/>
          <w:bCs/>
          <w:color w:val="000000"/>
        </w:rPr>
        <w:t>profitability strengthened</w:t>
      </w:r>
      <w:r w:rsidRPr="00BD0F75">
        <w:rPr>
          <w:rFonts w:ascii="Calibri" w:hAnsi="Calibri" w:cs="Calibri"/>
          <w:color w:val="000000"/>
        </w:rPr>
        <w:t xml:space="preserve"> overall.</w:t>
      </w:r>
    </w:p>
    <w:p w14:paraId="58C34B40" w14:textId="55F6C2CF" w:rsidR="00BD0F75" w:rsidRPr="00BD0F75" w:rsidRDefault="00BD0F75" w:rsidP="00BD0F75">
      <w:pPr>
        <w:jc w:val="both"/>
        <w:rPr>
          <w:rFonts w:ascii="Calibri" w:hAnsi="Calibri" w:cs="Calibri"/>
          <w:color w:val="000000"/>
        </w:rPr>
      </w:pPr>
    </w:p>
    <w:p w14:paraId="572AC2AC" w14:textId="77777777" w:rsidR="00BD0F75" w:rsidRPr="00BD0F75" w:rsidRDefault="00BD0F75" w:rsidP="00BD0F75">
      <w:pPr>
        <w:jc w:val="both"/>
        <w:rPr>
          <w:rFonts w:ascii="Calibri" w:hAnsi="Calibri" w:cs="Calibri"/>
          <w:b/>
          <w:bCs/>
          <w:color w:val="000000"/>
        </w:rPr>
      </w:pPr>
      <w:r w:rsidRPr="00BD0F75">
        <w:rPr>
          <w:rFonts w:ascii="Calibri" w:hAnsi="Calibri" w:cs="Calibri"/>
          <w:b/>
          <w:bCs/>
          <w:color w:val="000000"/>
        </w:rPr>
        <w:t>D. Solvency</w:t>
      </w:r>
    </w:p>
    <w:p w14:paraId="1E7B13F5" w14:textId="77777777" w:rsidR="00BD0F75" w:rsidRPr="00BD0F75" w:rsidRDefault="00BD0F75" w:rsidP="00BD0F75">
      <w:pPr>
        <w:numPr>
          <w:ilvl w:val="0"/>
          <w:numId w:val="14"/>
        </w:numPr>
        <w:jc w:val="both"/>
        <w:rPr>
          <w:rFonts w:ascii="Calibri" w:hAnsi="Calibri" w:cs="Calibri"/>
          <w:color w:val="000000"/>
        </w:rPr>
      </w:pPr>
      <w:r w:rsidRPr="00BD0F75">
        <w:rPr>
          <w:rFonts w:ascii="Calibri" w:hAnsi="Calibri" w:cs="Calibri"/>
          <w:b/>
          <w:bCs/>
          <w:color w:val="000000"/>
        </w:rPr>
        <w:t>Debt ratios</w:t>
      </w:r>
      <w:r w:rsidRPr="00BD0F75">
        <w:rPr>
          <w:rFonts w:ascii="Calibri" w:hAnsi="Calibri" w:cs="Calibri"/>
          <w:color w:val="000000"/>
        </w:rPr>
        <w:t xml:space="preserve"> increased moderately from Mar-23 onwards, showing </w:t>
      </w:r>
      <w:r w:rsidRPr="00BD0F75">
        <w:rPr>
          <w:rFonts w:ascii="Calibri" w:hAnsi="Calibri" w:cs="Calibri"/>
          <w:b/>
          <w:bCs/>
          <w:color w:val="000000"/>
        </w:rPr>
        <w:t>greater leverage</w:t>
      </w:r>
      <w:r w:rsidRPr="00BD0F75">
        <w:rPr>
          <w:rFonts w:ascii="Calibri" w:hAnsi="Calibri" w:cs="Calibri"/>
          <w:color w:val="000000"/>
        </w:rPr>
        <w:t>, but still remain at healthy, low levels (&lt;0.3).</w:t>
      </w:r>
    </w:p>
    <w:p w14:paraId="07528600" w14:textId="1CC77D1A" w:rsidR="00181EF4" w:rsidRPr="00F55B0F" w:rsidRDefault="00181EF4">
      <w:pPr>
        <w:rPr>
          <w:rFonts w:ascii="Calibri" w:hAnsi="Calibri" w:cs="Calibri"/>
          <w:b/>
          <w:bCs/>
          <w:color w:val="000000"/>
        </w:rPr>
      </w:pPr>
      <w:r w:rsidRPr="00F55B0F">
        <w:rPr>
          <w:rFonts w:ascii="Calibri" w:hAnsi="Calibri" w:cs="Calibri"/>
          <w:b/>
          <w:bCs/>
          <w:color w:val="000000"/>
        </w:rPr>
        <w:lastRenderedPageBreak/>
        <w:t xml:space="preserve">Competitor Analysis </w:t>
      </w:r>
    </w:p>
    <w:p w14:paraId="1AFCA91A" w14:textId="77777777" w:rsidR="00181EF4" w:rsidRPr="00F55B0F" w:rsidRDefault="00181EF4">
      <w:pPr>
        <w:rPr>
          <w:rFonts w:ascii="Calibri" w:hAnsi="Calibri" w:cs="Calibri"/>
          <w:b/>
          <w:bCs/>
          <w:color w:val="000000"/>
        </w:rPr>
      </w:pPr>
    </w:p>
    <w:p w14:paraId="7DDA4C02" w14:textId="77777777" w:rsidR="00CF10D2" w:rsidRDefault="00D55FDC" w:rsidP="00CF10D2">
      <w:pPr>
        <w:keepNext/>
      </w:pPr>
      <w:r w:rsidRPr="00D55FDC">
        <w:rPr>
          <w:rFonts w:ascii="Calibri" w:hAnsi="Calibri" w:cs="Calibri"/>
          <w:b/>
          <w:bCs/>
          <w:noProof/>
          <w:color w:val="000000"/>
        </w:rPr>
        <w:drawing>
          <wp:inline distT="0" distB="0" distL="0" distR="0" wp14:anchorId="388206D3" wp14:editId="38A96C38">
            <wp:extent cx="5731510" cy="6155690"/>
            <wp:effectExtent l="0" t="0" r="0" b="3810"/>
            <wp:docPr id="116608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81082" name=""/>
                    <pic:cNvPicPr/>
                  </pic:nvPicPr>
                  <pic:blipFill>
                    <a:blip r:embed="rId19"/>
                    <a:stretch>
                      <a:fillRect/>
                    </a:stretch>
                  </pic:blipFill>
                  <pic:spPr>
                    <a:xfrm>
                      <a:off x="0" y="0"/>
                      <a:ext cx="5731510" cy="6155690"/>
                    </a:xfrm>
                    <a:prstGeom prst="rect">
                      <a:avLst/>
                    </a:prstGeom>
                  </pic:spPr>
                </pic:pic>
              </a:graphicData>
            </a:graphic>
          </wp:inline>
        </w:drawing>
      </w:r>
    </w:p>
    <w:p w14:paraId="3696DC49" w14:textId="7E824DDE" w:rsidR="00181EF4" w:rsidRPr="00F55B0F" w:rsidRDefault="00CF10D2" w:rsidP="00CF10D2">
      <w:pPr>
        <w:pStyle w:val="Caption"/>
        <w:jc w:val="center"/>
        <w:rPr>
          <w:rFonts w:ascii="Calibri" w:hAnsi="Calibri" w:cs="Calibri"/>
          <w:b/>
          <w:bCs/>
          <w:color w:val="000000"/>
        </w:rPr>
      </w:pPr>
      <w:r>
        <w:t>Figure 1 Competitors Analysis</w:t>
      </w:r>
    </w:p>
    <w:p w14:paraId="333E537C" w14:textId="77777777" w:rsidR="00181EF4" w:rsidRPr="00F55B0F" w:rsidRDefault="00181EF4">
      <w:pPr>
        <w:rPr>
          <w:rFonts w:ascii="Calibri" w:hAnsi="Calibri" w:cs="Calibri"/>
          <w:b/>
          <w:bCs/>
          <w:color w:val="000000"/>
        </w:rPr>
      </w:pPr>
    </w:p>
    <w:p w14:paraId="2B6A25E4" w14:textId="77777777" w:rsidR="00181EF4" w:rsidRPr="00F55B0F" w:rsidRDefault="00181EF4">
      <w:pPr>
        <w:rPr>
          <w:rFonts w:ascii="Calibri" w:hAnsi="Calibri" w:cs="Calibri"/>
          <w:b/>
          <w:bCs/>
          <w:color w:val="000000"/>
        </w:rPr>
      </w:pPr>
    </w:p>
    <w:p w14:paraId="02FF83DE" w14:textId="76399AE6" w:rsidR="00181EF4" w:rsidRPr="00F55B0F" w:rsidRDefault="00181EF4">
      <w:pPr>
        <w:rPr>
          <w:rFonts w:ascii="Calibri" w:hAnsi="Calibri" w:cs="Calibri"/>
          <w:b/>
          <w:bCs/>
          <w:color w:val="000000"/>
        </w:rPr>
      </w:pPr>
    </w:p>
    <w:p w14:paraId="09E0C52E" w14:textId="77777777" w:rsidR="00181EF4" w:rsidRPr="00F55B0F" w:rsidRDefault="00181EF4">
      <w:pPr>
        <w:rPr>
          <w:rFonts w:ascii="Calibri" w:hAnsi="Calibri" w:cs="Calibri"/>
          <w:b/>
          <w:bCs/>
          <w:color w:val="000000"/>
        </w:rPr>
      </w:pPr>
    </w:p>
    <w:p w14:paraId="744E2191" w14:textId="77777777" w:rsidR="00086638" w:rsidRDefault="00086638">
      <w:pPr>
        <w:rPr>
          <w:rFonts w:ascii="Calibri" w:hAnsi="Calibri" w:cs="Calibri"/>
          <w:b/>
          <w:bCs/>
          <w:color w:val="000000"/>
        </w:rPr>
      </w:pPr>
    </w:p>
    <w:p w14:paraId="39CA2AC4" w14:textId="77777777" w:rsidR="00086638" w:rsidRDefault="00086638">
      <w:pPr>
        <w:rPr>
          <w:rFonts w:ascii="Calibri" w:hAnsi="Calibri" w:cs="Calibri"/>
          <w:b/>
          <w:bCs/>
          <w:color w:val="000000"/>
        </w:rPr>
      </w:pPr>
    </w:p>
    <w:p w14:paraId="346A28BD" w14:textId="77777777" w:rsidR="00086638" w:rsidRDefault="00086638">
      <w:pPr>
        <w:rPr>
          <w:rFonts w:ascii="Calibri" w:hAnsi="Calibri" w:cs="Calibri"/>
          <w:b/>
          <w:bCs/>
          <w:color w:val="000000"/>
        </w:rPr>
      </w:pPr>
    </w:p>
    <w:p w14:paraId="72CF3791" w14:textId="77777777" w:rsidR="00086638" w:rsidRDefault="00086638">
      <w:pPr>
        <w:rPr>
          <w:rFonts w:ascii="Calibri" w:hAnsi="Calibri" w:cs="Calibri"/>
          <w:b/>
          <w:bCs/>
          <w:color w:val="000000"/>
        </w:rPr>
      </w:pPr>
    </w:p>
    <w:p w14:paraId="484AC3C3" w14:textId="77777777" w:rsidR="00086638" w:rsidRDefault="00086638">
      <w:pPr>
        <w:rPr>
          <w:rFonts w:ascii="Calibri" w:hAnsi="Calibri" w:cs="Calibri"/>
          <w:b/>
          <w:bCs/>
          <w:color w:val="000000"/>
        </w:rPr>
      </w:pPr>
    </w:p>
    <w:p w14:paraId="2761456E" w14:textId="77777777" w:rsidR="00086638" w:rsidRDefault="00086638">
      <w:pPr>
        <w:rPr>
          <w:rFonts w:ascii="Calibri" w:hAnsi="Calibri" w:cs="Calibri"/>
          <w:b/>
          <w:bCs/>
          <w:color w:val="000000"/>
        </w:rPr>
      </w:pPr>
    </w:p>
    <w:p w14:paraId="0503E0AF" w14:textId="77777777" w:rsidR="00086638" w:rsidRDefault="00086638">
      <w:pPr>
        <w:rPr>
          <w:rFonts w:ascii="Calibri" w:hAnsi="Calibri" w:cs="Calibri"/>
          <w:b/>
          <w:bCs/>
          <w:color w:val="000000"/>
        </w:rPr>
      </w:pPr>
    </w:p>
    <w:p w14:paraId="2C3EB839" w14:textId="77777777" w:rsidR="00086638" w:rsidRDefault="00086638">
      <w:pPr>
        <w:rPr>
          <w:rFonts w:ascii="Calibri" w:hAnsi="Calibri" w:cs="Calibri"/>
          <w:b/>
          <w:bCs/>
          <w:color w:val="000000"/>
        </w:rPr>
      </w:pPr>
    </w:p>
    <w:p w14:paraId="01B443B5" w14:textId="2B6E8B97" w:rsidR="00851585" w:rsidRPr="00BD0F75" w:rsidRDefault="00851585" w:rsidP="00BD0F75">
      <w:pPr>
        <w:jc w:val="center"/>
        <w:rPr>
          <w:rFonts w:ascii="Calibri" w:hAnsi="Calibri" w:cs="Calibri"/>
          <w:b/>
          <w:bCs/>
          <w:color w:val="000000"/>
          <w:sz w:val="52"/>
          <w:szCs w:val="52"/>
          <w:u w:val="single"/>
        </w:rPr>
      </w:pPr>
      <w:r w:rsidRPr="00BD0F75">
        <w:rPr>
          <w:rFonts w:ascii="Calibri" w:hAnsi="Calibri" w:cs="Calibri"/>
          <w:b/>
          <w:bCs/>
          <w:color w:val="000000"/>
          <w:sz w:val="52"/>
          <w:szCs w:val="52"/>
          <w:u w:val="single"/>
        </w:rPr>
        <w:t>Section III — Conclusion &amp; Investment Recommendation</w:t>
      </w:r>
    </w:p>
    <w:p w14:paraId="59646594" w14:textId="77777777" w:rsidR="00851585" w:rsidRPr="00F55B0F" w:rsidRDefault="00851585">
      <w:pPr>
        <w:rPr>
          <w:rFonts w:ascii="Calibri" w:hAnsi="Calibri" w:cs="Calibri"/>
          <w:b/>
          <w:bCs/>
          <w:color w:val="000000"/>
        </w:rPr>
      </w:pPr>
    </w:p>
    <w:p w14:paraId="5662606A" w14:textId="773D4076" w:rsidR="00851585" w:rsidRDefault="00851585">
      <w:pPr>
        <w:rPr>
          <w:rFonts w:ascii="Calibri" w:hAnsi="Calibri" w:cs="Calibri"/>
          <w:b/>
          <w:bCs/>
          <w:color w:val="000000"/>
        </w:rPr>
      </w:pPr>
      <w:r w:rsidRPr="00F55B0F">
        <w:rPr>
          <w:rFonts w:ascii="Calibri" w:hAnsi="Calibri" w:cs="Calibri"/>
          <w:b/>
          <w:bCs/>
          <w:color w:val="000000"/>
        </w:rPr>
        <w:t>Appendices &amp; Working Notes</w:t>
      </w:r>
    </w:p>
    <w:p w14:paraId="2D5D40CA" w14:textId="77777777" w:rsidR="00D55FDC" w:rsidRDefault="00D55FDC">
      <w:pPr>
        <w:rPr>
          <w:rFonts w:ascii="Calibri" w:hAnsi="Calibri" w:cs="Calibri"/>
          <w:b/>
          <w:bCs/>
          <w:color w:val="000000"/>
        </w:rPr>
      </w:pPr>
    </w:p>
    <w:p w14:paraId="5CF721D4" w14:textId="77777777" w:rsidR="00D55FDC" w:rsidRPr="00D55FDC" w:rsidRDefault="00D55FDC" w:rsidP="00D55FDC">
      <w:pPr>
        <w:rPr>
          <w:rFonts w:ascii="Arial" w:hAnsi="Arial" w:cs="Arial"/>
        </w:rPr>
      </w:pPr>
      <w:r w:rsidRPr="00D55FDC">
        <w:rPr>
          <w:rFonts w:ascii="Arial" w:hAnsi="Arial" w:cs="Arial"/>
        </w:rPr>
        <w:t>Based on the uploaded ratio analysis and corroborated by the latest news, annual reports, and investment research sources, HUL remains a fundamentally strong company with excellent operational metrics and strategic adaptability. However, investors should note emerging short-term challenges and macroeconomic headwinds before making a decision.</w:t>
      </w:r>
    </w:p>
    <w:p w14:paraId="10187976" w14:textId="77777777" w:rsidR="00D55FDC" w:rsidRPr="00D55FDC" w:rsidRDefault="00D55FDC" w:rsidP="00D55FDC">
      <w:pPr>
        <w:rPr>
          <w:rFonts w:ascii="Arial" w:hAnsi="Arial" w:cs="Arial"/>
          <w:b/>
          <w:bCs/>
        </w:rPr>
      </w:pPr>
    </w:p>
    <w:p w14:paraId="0FD9A6A6" w14:textId="2CB753D9" w:rsidR="00D55FDC" w:rsidRPr="00D55FDC" w:rsidRDefault="00D55FDC" w:rsidP="00D55FDC">
      <w:pPr>
        <w:rPr>
          <w:rFonts w:ascii="Arial" w:hAnsi="Arial" w:cs="Arial"/>
          <w:b/>
          <w:bCs/>
        </w:rPr>
      </w:pPr>
      <w:r w:rsidRPr="00D55FDC">
        <w:rPr>
          <w:rFonts w:ascii="Arial" w:hAnsi="Arial" w:cs="Arial"/>
          <w:b/>
          <w:bCs/>
        </w:rPr>
        <w:t>Key Findings from Ratio Analysis</w:t>
      </w:r>
    </w:p>
    <w:p w14:paraId="2BDADF9C" w14:textId="77777777" w:rsidR="00D55FDC" w:rsidRPr="00D55FDC" w:rsidRDefault="00D55FDC" w:rsidP="00D55FDC">
      <w:pPr>
        <w:numPr>
          <w:ilvl w:val="0"/>
          <w:numId w:val="1"/>
        </w:numPr>
        <w:spacing w:after="160" w:line="278" w:lineRule="auto"/>
        <w:rPr>
          <w:rFonts w:ascii="Arial" w:hAnsi="Arial" w:cs="Arial"/>
        </w:rPr>
      </w:pPr>
      <w:r w:rsidRPr="00D55FDC">
        <w:rPr>
          <w:rFonts w:ascii="Arial" w:hAnsi="Arial" w:cs="Arial"/>
          <w:b/>
          <w:bCs/>
        </w:rPr>
        <w:t>Liquidity:</w:t>
      </w:r>
      <w:r w:rsidRPr="00D55FDC">
        <w:rPr>
          <w:rFonts w:ascii="Arial" w:hAnsi="Arial" w:cs="Arial"/>
        </w:rPr>
        <w:t xml:space="preserve"> HUL maintains moderate liquidity (Current Ratio: 1.38, Quick Ratio: 1.03), which aligns with best FMCG practices, balancing efficiency with safety.</w:t>
      </w:r>
    </w:p>
    <w:p w14:paraId="06C12B15" w14:textId="77777777" w:rsidR="00D55FDC" w:rsidRPr="00D55FDC" w:rsidRDefault="00D55FDC" w:rsidP="00D55FDC">
      <w:pPr>
        <w:numPr>
          <w:ilvl w:val="0"/>
          <w:numId w:val="1"/>
        </w:numPr>
        <w:spacing w:after="160" w:line="278" w:lineRule="auto"/>
        <w:rPr>
          <w:rFonts w:ascii="Arial" w:hAnsi="Arial" w:cs="Arial"/>
        </w:rPr>
      </w:pPr>
      <w:r w:rsidRPr="00D55FDC">
        <w:rPr>
          <w:rFonts w:ascii="Arial" w:hAnsi="Arial" w:cs="Arial"/>
          <w:b/>
          <w:bCs/>
        </w:rPr>
        <w:t>Efficiency:</w:t>
      </w:r>
      <w:r w:rsidRPr="00D55FDC">
        <w:rPr>
          <w:rFonts w:ascii="Arial" w:hAnsi="Arial" w:cs="Arial"/>
        </w:rPr>
        <w:t xml:space="preserve"> It leads in inventory and receivables management among peers—Inventory Holding Period (47 days), Receivables Collection Period (17 days)—resulting in faster cash flow and higher operational agility.</w:t>
      </w:r>
    </w:p>
    <w:p w14:paraId="3B9E7C14" w14:textId="77777777" w:rsidR="00D55FDC" w:rsidRPr="00D55FDC" w:rsidRDefault="00D55FDC" w:rsidP="00D55FDC">
      <w:pPr>
        <w:numPr>
          <w:ilvl w:val="0"/>
          <w:numId w:val="1"/>
        </w:numPr>
        <w:spacing w:after="160" w:line="278" w:lineRule="auto"/>
        <w:rPr>
          <w:rFonts w:ascii="Arial" w:hAnsi="Arial" w:cs="Arial"/>
        </w:rPr>
      </w:pPr>
      <w:r w:rsidRPr="00D55FDC">
        <w:rPr>
          <w:rFonts w:ascii="Arial" w:hAnsi="Arial" w:cs="Arial"/>
          <w:b/>
          <w:bCs/>
        </w:rPr>
        <w:t>Profitability:</w:t>
      </w:r>
      <w:r w:rsidRPr="00D55FDC">
        <w:rPr>
          <w:rFonts w:ascii="Arial" w:hAnsi="Arial" w:cs="Arial"/>
        </w:rPr>
        <w:t xml:space="preserve"> Margins remain strong but are below ITC (Net Profit Margin: 17.7%, ROE: 21%). This reflects healthy product mix but also the impact of inflationary challenges.</w:t>
      </w:r>
    </w:p>
    <w:p w14:paraId="4A0ACEA0" w14:textId="77777777" w:rsidR="00D55FDC" w:rsidRPr="00D55FDC" w:rsidRDefault="00D55FDC" w:rsidP="00D55FDC">
      <w:pPr>
        <w:numPr>
          <w:ilvl w:val="0"/>
          <w:numId w:val="1"/>
        </w:numPr>
        <w:spacing w:after="160" w:line="278" w:lineRule="auto"/>
        <w:rPr>
          <w:rFonts w:ascii="Arial" w:hAnsi="Arial" w:cs="Arial"/>
        </w:rPr>
      </w:pPr>
      <w:r w:rsidRPr="00D55FDC">
        <w:rPr>
          <w:rFonts w:ascii="Arial" w:hAnsi="Arial" w:cs="Arial"/>
          <w:b/>
          <w:bCs/>
        </w:rPr>
        <w:t>Solvency:</w:t>
      </w:r>
      <w:r w:rsidRPr="00D55FDC">
        <w:rPr>
          <w:rFonts w:ascii="Arial" w:hAnsi="Arial" w:cs="Arial"/>
        </w:rPr>
        <w:t xml:space="preserve"> HUL employs more debt in its capital structure than ITC and Marico, but leverage is still moderate by industry norms (Debt Equity Ratio: 0.19).</w:t>
      </w:r>
    </w:p>
    <w:p w14:paraId="1BA5B548" w14:textId="77777777" w:rsidR="00D55FDC" w:rsidRPr="00D55FDC" w:rsidRDefault="00D55FDC" w:rsidP="00D55FDC">
      <w:pPr>
        <w:rPr>
          <w:rFonts w:ascii="Arial" w:hAnsi="Arial" w:cs="Arial"/>
          <w:b/>
          <w:bCs/>
        </w:rPr>
      </w:pPr>
      <w:r w:rsidRPr="00D55FDC">
        <w:rPr>
          <w:rFonts w:ascii="Arial" w:hAnsi="Arial" w:cs="Arial"/>
          <w:b/>
          <w:bCs/>
        </w:rPr>
        <w:t>Insights from Latest News and Reports</w:t>
      </w:r>
    </w:p>
    <w:p w14:paraId="3F2846E0" w14:textId="77777777" w:rsidR="00D55FDC" w:rsidRPr="00D55FDC" w:rsidRDefault="00D55FDC" w:rsidP="00D55FDC">
      <w:pPr>
        <w:numPr>
          <w:ilvl w:val="0"/>
          <w:numId w:val="2"/>
        </w:numPr>
        <w:spacing w:after="160" w:line="278" w:lineRule="auto"/>
        <w:rPr>
          <w:rFonts w:ascii="Arial" w:hAnsi="Arial" w:cs="Arial"/>
        </w:rPr>
      </w:pPr>
      <w:r w:rsidRPr="00D55FDC">
        <w:rPr>
          <w:rFonts w:ascii="Arial" w:hAnsi="Arial" w:cs="Arial"/>
          <w:b/>
          <w:bCs/>
        </w:rPr>
        <w:t>Revenue &amp; Profit Growth:</w:t>
      </w:r>
      <w:r w:rsidRPr="00D55FDC">
        <w:rPr>
          <w:rFonts w:ascii="Arial" w:hAnsi="Arial" w:cs="Arial"/>
        </w:rPr>
        <w:t xml:space="preserve"> HUL reported FY25 revenue of ₹60,680 crore and PAT of ₹10,644 crore, with net profit up 5% YoY and margin improvement to 17.5%. </w:t>
      </w:r>
    </w:p>
    <w:p w14:paraId="0733D04D" w14:textId="77777777" w:rsidR="00D55FDC" w:rsidRPr="00D55FDC" w:rsidRDefault="00D55FDC" w:rsidP="00D55FDC">
      <w:pPr>
        <w:numPr>
          <w:ilvl w:val="0"/>
          <w:numId w:val="2"/>
        </w:numPr>
        <w:spacing w:after="160" w:line="278" w:lineRule="auto"/>
        <w:rPr>
          <w:rFonts w:ascii="Arial" w:hAnsi="Arial" w:cs="Arial"/>
        </w:rPr>
      </w:pPr>
      <w:r w:rsidRPr="00D55FDC">
        <w:rPr>
          <w:rFonts w:ascii="Arial" w:hAnsi="Arial" w:cs="Arial"/>
          <w:b/>
          <w:bCs/>
        </w:rPr>
        <w:t>Portfolio Strength:</w:t>
      </w:r>
      <w:r w:rsidRPr="00D55FDC">
        <w:rPr>
          <w:rFonts w:ascii="Arial" w:hAnsi="Arial" w:cs="Arial"/>
        </w:rPr>
        <w:t xml:space="preserve"> 19 brands cross ₹1,000 crore annual turnover, with balanced revenue streams from Home Care, Beauty, Personal Care, and Foods. </w:t>
      </w:r>
    </w:p>
    <w:p w14:paraId="69CAD40A" w14:textId="77777777" w:rsidR="00D55FDC" w:rsidRPr="00D55FDC" w:rsidRDefault="00D55FDC" w:rsidP="00D55FDC">
      <w:pPr>
        <w:numPr>
          <w:ilvl w:val="0"/>
          <w:numId w:val="2"/>
        </w:numPr>
        <w:spacing w:after="160" w:line="278" w:lineRule="auto"/>
        <w:rPr>
          <w:rFonts w:ascii="Arial" w:hAnsi="Arial" w:cs="Arial"/>
        </w:rPr>
      </w:pPr>
      <w:r w:rsidRPr="00D55FDC">
        <w:rPr>
          <w:rFonts w:ascii="Arial" w:hAnsi="Arial" w:cs="Arial"/>
          <w:b/>
          <w:bCs/>
        </w:rPr>
        <w:t>Digital Transformation:</w:t>
      </w:r>
      <w:r w:rsidRPr="00D55FDC">
        <w:rPr>
          <w:rFonts w:ascii="Arial" w:hAnsi="Arial" w:cs="Arial"/>
        </w:rPr>
        <w:t xml:space="preserve"> Accelerated digitization, premiumization, and use of AI are now central to HUL's strategy, with 1.4 million retailers onboarded digitally and three "Lighthouse" industry 4.0 plants. </w:t>
      </w:r>
    </w:p>
    <w:p w14:paraId="25357B12" w14:textId="77777777" w:rsidR="00D55FDC" w:rsidRPr="00D55FDC" w:rsidRDefault="00D55FDC" w:rsidP="00D55FDC">
      <w:pPr>
        <w:numPr>
          <w:ilvl w:val="0"/>
          <w:numId w:val="2"/>
        </w:numPr>
        <w:spacing w:after="160" w:line="278" w:lineRule="auto"/>
        <w:rPr>
          <w:rFonts w:ascii="Arial" w:hAnsi="Arial" w:cs="Arial"/>
        </w:rPr>
      </w:pPr>
      <w:r w:rsidRPr="00D55FDC">
        <w:rPr>
          <w:rFonts w:ascii="Arial" w:hAnsi="Arial" w:cs="Arial"/>
          <w:b/>
          <w:bCs/>
        </w:rPr>
        <w:t>Sustainability:</w:t>
      </w:r>
      <w:r w:rsidRPr="00D55FDC">
        <w:rPr>
          <w:rFonts w:ascii="Arial" w:hAnsi="Arial" w:cs="Arial"/>
        </w:rPr>
        <w:t xml:space="preserve"> Over 97% of energy use is from renewables, and sourcing is 96% deforestation-free, underscoring sector leadership in ESG. </w:t>
      </w:r>
    </w:p>
    <w:p w14:paraId="0FBF298C" w14:textId="77777777" w:rsidR="00D55FDC" w:rsidRPr="00D55FDC" w:rsidRDefault="00D55FDC" w:rsidP="00D55FDC">
      <w:pPr>
        <w:numPr>
          <w:ilvl w:val="0"/>
          <w:numId w:val="2"/>
        </w:numPr>
        <w:spacing w:after="160" w:line="278" w:lineRule="auto"/>
        <w:rPr>
          <w:rFonts w:ascii="Arial" w:hAnsi="Arial" w:cs="Arial"/>
        </w:rPr>
      </w:pPr>
      <w:r w:rsidRPr="00D55FDC">
        <w:rPr>
          <w:rFonts w:ascii="Arial" w:hAnsi="Arial" w:cs="Arial"/>
          <w:b/>
          <w:bCs/>
        </w:rPr>
        <w:t>Recent Challenges:</w:t>
      </w:r>
      <w:r w:rsidRPr="00D55FDC">
        <w:rPr>
          <w:rFonts w:ascii="Arial" w:hAnsi="Arial" w:cs="Arial"/>
        </w:rPr>
        <w:t xml:space="preserve"> In September 2025, HUL flagged short-term pressure from the GST rejig, causing supply chain and sales disruptions. The company expects near-flat growth for the quarter but sees this as a transitory issue, </w:t>
      </w:r>
      <w:r w:rsidRPr="00D55FDC">
        <w:rPr>
          <w:rFonts w:ascii="Arial" w:hAnsi="Arial" w:cs="Arial"/>
        </w:rPr>
        <w:lastRenderedPageBreak/>
        <w:t xml:space="preserve">with recovery likely from November onwards as GST benefits stimulate demand. </w:t>
      </w:r>
    </w:p>
    <w:p w14:paraId="33A9A8B1" w14:textId="77777777" w:rsidR="00D55FDC" w:rsidRPr="00D55FDC" w:rsidRDefault="00D55FDC" w:rsidP="00D55FDC">
      <w:pPr>
        <w:rPr>
          <w:rFonts w:ascii="Arial" w:hAnsi="Arial" w:cs="Arial"/>
          <w:b/>
          <w:bCs/>
        </w:rPr>
      </w:pPr>
      <w:r w:rsidRPr="00D55FDC">
        <w:rPr>
          <w:rFonts w:ascii="Arial" w:hAnsi="Arial" w:cs="Arial"/>
          <w:b/>
          <w:bCs/>
        </w:rPr>
        <w:t>Market Sentiment and Valuation</w:t>
      </w:r>
    </w:p>
    <w:p w14:paraId="0EB9570F" w14:textId="77777777" w:rsidR="00D55FDC" w:rsidRPr="00D55FDC" w:rsidRDefault="00D55FDC" w:rsidP="00D55FDC">
      <w:pPr>
        <w:numPr>
          <w:ilvl w:val="0"/>
          <w:numId w:val="3"/>
        </w:numPr>
        <w:spacing w:after="160" w:line="278" w:lineRule="auto"/>
        <w:rPr>
          <w:rFonts w:ascii="Arial" w:hAnsi="Arial" w:cs="Arial"/>
        </w:rPr>
      </w:pPr>
      <w:r w:rsidRPr="00D55FDC">
        <w:rPr>
          <w:rFonts w:ascii="Arial" w:hAnsi="Arial" w:cs="Arial"/>
          <w:b/>
          <w:bCs/>
        </w:rPr>
        <w:t>Stock Performance:</w:t>
      </w:r>
      <w:r w:rsidRPr="00D55FDC">
        <w:rPr>
          <w:rFonts w:ascii="Arial" w:hAnsi="Arial" w:cs="Arial"/>
        </w:rPr>
        <w:t xml:space="preserve"> The stock recently held steady amidst market volatility, with analysts reiterating 'Hold' ratings as margins face short-term input cost pressure but medium-term fundamentals remain robust. </w:t>
      </w:r>
    </w:p>
    <w:p w14:paraId="774D9C3C" w14:textId="77777777" w:rsidR="00D55FDC" w:rsidRPr="00D55FDC" w:rsidRDefault="00D55FDC" w:rsidP="00D55FDC">
      <w:pPr>
        <w:numPr>
          <w:ilvl w:val="0"/>
          <w:numId w:val="3"/>
        </w:numPr>
        <w:spacing w:after="160" w:line="278" w:lineRule="auto"/>
        <w:rPr>
          <w:rFonts w:ascii="Arial" w:hAnsi="Arial" w:cs="Arial"/>
        </w:rPr>
      </w:pPr>
      <w:r w:rsidRPr="00D55FDC">
        <w:rPr>
          <w:rFonts w:ascii="Arial" w:hAnsi="Arial" w:cs="Arial"/>
          <w:b/>
          <w:bCs/>
        </w:rPr>
        <w:t>Peer Comparison:</w:t>
      </w:r>
      <w:r w:rsidRPr="00D55FDC">
        <w:rPr>
          <w:rFonts w:ascii="Arial" w:hAnsi="Arial" w:cs="Arial"/>
        </w:rPr>
        <w:t xml:space="preserve"> Remains the operational gold standard in Indian FMCG, </w:t>
      </w:r>
      <w:proofErr w:type="spellStart"/>
      <w:r w:rsidRPr="00D55FDC">
        <w:rPr>
          <w:rFonts w:ascii="Arial" w:hAnsi="Arial" w:cs="Arial"/>
        </w:rPr>
        <w:t>favored</w:t>
      </w:r>
      <w:proofErr w:type="spellEnd"/>
      <w:r w:rsidRPr="00D55FDC">
        <w:rPr>
          <w:rFonts w:ascii="Arial" w:hAnsi="Arial" w:cs="Arial"/>
        </w:rPr>
        <w:t xml:space="preserve"> for defensive qualities, brand strength, and execution.</w:t>
      </w:r>
    </w:p>
    <w:p w14:paraId="776F9611" w14:textId="77777777" w:rsidR="00D55FDC" w:rsidRPr="00D55FDC" w:rsidRDefault="00D55FDC" w:rsidP="00D55FDC">
      <w:pPr>
        <w:numPr>
          <w:ilvl w:val="0"/>
          <w:numId w:val="3"/>
        </w:numPr>
        <w:spacing w:after="160" w:line="278" w:lineRule="auto"/>
        <w:rPr>
          <w:rFonts w:ascii="Arial" w:hAnsi="Arial" w:cs="Arial"/>
        </w:rPr>
      </w:pPr>
      <w:r w:rsidRPr="00D55FDC">
        <w:rPr>
          <w:rFonts w:ascii="Arial" w:hAnsi="Arial" w:cs="Arial"/>
          <w:b/>
          <w:bCs/>
        </w:rPr>
        <w:t>Leadership:</w:t>
      </w:r>
      <w:r w:rsidRPr="00D55FDC">
        <w:rPr>
          <w:rFonts w:ascii="Arial" w:hAnsi="Arial" w:cs="Arial"/>
        </w:rPr>
        <w:t xml:space="preserve"> New leadership under Priya Nair is reorganizing the company to drive faster decision-making and growth. </w:t>
      </w:r>
    </w:p>
    <w:p w14:paraId="0EDCF627" w14:textId="77777777" w:rsidR="00D55FDC" w:rsidRPr="00D55FDC" w:rsidRDefault="00D55FDC" w:rsidP="00D55FDC">
      <w:pPr>
        <w:rPr>
          <w:rFonts w:ascii="Arial" w:hAnsi="Arial" w:cs="Arial"/>
          <w:b/>
          <w:bCs/>
        </w:rPr>
      </w:pPr>
      <w:r w:rsidRPr="00D55FDC">
        <w:rPr>
          <w:rFonts w:ascii="Arial" w:hAnsi="Arial" w:cs="Arial"/>
          <w:b/>
          <w:bCs/>
        </w:rPr>
        <w:t>Investment Conclusion</w:t>
      </w:r>
    </w:p>
    <w:p w14:paraId="4DDBDFE7" w14:textId="77777777" w:rsidR="00D55FDC" w:rsidRPr="00D55FDC" w:rsidRDefault="00D55FDC" w:rsidP="00D55FDC">
      <w:pPr>
        <w:rPr>
          <w:rFonts w:ascii="Arial" w:hAnsi="Arial" w:cs="Arial"/>
        </w:rPr>
      </w:pPr>
      <w:r w:rsidRPr="00D55FDC">
        <w:rPr>
          <w:rFonts w:ascii="Arial" w:hAnsi="Arial" w:cs="Arial"/>
          <w:b/>
          <w:bCs/>
        </w:rPr>
        <w:t>For Investment:</w:t>
      </w:r>
    </w:p>
    <w:p w14:paraId="0729816E" w14:textId="77777777" w:rsidR="00D55FDC" w:rsidRPr="00D55FDC" w:rsidRDefault="00D55FDC" w:rsidP="00D55FDC">
      <w:pPr>
        <w:numPr>
          <w:ilvl w:val="0"/>
          <w:numId w:val="4"/>
        </w:numPr>
        <w:spacing w:after="160" w:line="278" w:lineRule="auto"/>
        <w:rPr>
          <w:rFonts w:ascii="Arial" w:hAnsi="Arial" w:cs="Arial"/>
        </w:rPr>
      </w:pPr>
      <w:r w:rsidRPr="00D55FDC">
        <w:rPr>
          <w:rFonts w:ascii="Arial" w:hAnsi="Arial" w:cs="Arial"/>
        </w:rPr>
        <w:t>HUL’s broad and strongly entrenched portfolio ensures demand resilience even in tough markets.</w:t>
      </w:r>
    </w:p>
    <w:p w14:paraId="5E570AA3" w14:textId="77777777" w:rsidR="00D55FDC" w:rsidRPr="00D55FDC" w:rsidRDefault="00D55FDC" w:rsidP="00D55FDC">
      <w:pPr>
        <w:numPr>
          <w:ilvl w:val="0"/>
          <w:numId w:val="4"/>
        </w:numPr>
        <w:spacing w:after="160" w:line="278" w:lineRule="auto"/>
        <w:rPr>
          <w:rFonts w:ascii="Arial" w:hAnsi="Arial" w:cs="Arial"/>
        </w:rPr>
      </w:pPr>
      <w:r w:rsidRPr="00D55FDC">
        <w:rPr>
          <w:rFonts w:ascii="Arial" w:hAnsi="Arial" w:cs="Arial"/>
        </w:rPr>
        <w:t>Its industry-leading efficiency, digital adoption, and sustainability agenda are likely to drive long-term value.</w:t>
      </w:r>
    </w:p>
    <w:p w14:paraId="4C3FF976" w14:textId="77777777" w:rsidR="00D55FDC" w:rsidRPr="00D55FDC" w:rsidRDefault="00D55FDC" w:rsidP="00D55FDC">
      <w:pPr>
        <w:numPr>
          <w:ilvl w:val="0"/>
          <w:numId w:val="4"/>
        </w:numPr>
        <w:spacing w:after="160" w:line="278" w:lineRule="auto"/>
        <w:rPr>
          <w:rFonts w:ascii="Arial" w:hAnsi="Arial" w:cs="Arial"/>
        </w:rPr>
      </w:pPr>
      <w:r w:rsidRPr="00D55FDC">
        <w:rPr>
          <w:rFonts w:ascii="Arial" w:hAnsi="Arial" w:cs="Arial"/>
        </w:rPr>
        <w:t>While recent GST/commodity price disruptions present short-term headwinds, these are transitory—not structural—and management’s response has been proactive.</w:t>
      </w:r>
    </w:p>
    <w:p w14:paraId="4D52136F" w14:textId="77777777" w:rsidR="00D55FDC" w:rsidRPr="00D55FDC" w:rsidRDefault="00D55FDC" w:rsidP="00D55FDC">
      <w:pPr>
        <w:numPr>
          <w:ilvl w:val="0"/>
          <w:numId w:val="4"/>
        </w:numPr>
        <w:spacing w:after="160" w:line="278" w:lineRule="auto"/>
        <w:rPr>
          <w:rFonts w:ascii="Arial" w:hAnsi="Arial" w:cs="Arial"/>
        </w:rPr>
      </w:pPr>
      <w:r w:rsidRPr="00D55FDC">
        <w:rPr>
          <w:rFonts w:ascii="Arial" w:hAnsi="Arial" w:cs="Arial"/>
        </w:rPr>
        <w:t xml:space="preserve">Solid cash flows, high returns, and premium market status support a continued investment case for stability and steady growth. </w:t>
      </w:r>
    </w:p>
    <w:p w14:paraId="60C074EB" w14:textId="77777777" w:rsidR="00D55FDC" w:rsidRPr="00D55FDC" w:rsidRDefault="00D55FDC" w:rsidP="00D55FDC">
      <w:pPr>
        <w:rPr>
          <w:rFonts w:ascii="Arial" w:hAnsi="Arial" w:cs="Arial"/>
        </w:rPr>
      </w:pPr>
      <w:r w:rsidRPr="00D55FDC">
        <w:rPr>
          <w:rFonts w:ascii="Arial" w:hAnsi="Arial" w:cs="Arial"/>
          <w:b/>
          <w:bCs/>
        </w:rPr>
        <w:t>Risks/Watch Areas:</w:t>
      </w:r>
    </w:p>
    <w:p w14:paraId="52525547" w14:textId="77777777" w:rsidR="00D55FDC" w:rsidRPr="00D55FDC" w:rsidRDefault="00D55FDC" w:rsidP="00D55FDC">
      <w:pPr>
        <w:numPr>
          <w:ilvl w:val="0"/>
          <w:numId w:val="5"/>
        </w:numPr>
        <w:spacing w:after="160" w:line="278" w:lineRule="auto"/>
        <w:rPr>
          <w:rFonts w:ascii="Arial" w:hAnsi="Arial" w:cs="Arial"/>
        </w:rPr>
      </w:pPr>
      <w:r w:rsidRPr="00D55FDC">
        <w:rPr>
          <w:rFonts w:ascii="Arial" w:hAnsi="Arial" w:cs="Arial"/>
        </w:rPr>
        <w:t>Margin pressure due to input cost volatility and pricing constraints.</w:t>
      </w:r>
    </w:p>
    <w:p w14:paraId="3B9E72F0" w14:textId="77777777" w:rsidR="00D55FDC" w:rsidRPr="00D55FDC" w:rsidRDefault="00D55FDC" w:rsidP="00D55FDC">
      <w:pPr>
        <w:numPr>
          <w:ilvl w:val="0"/>
          <w:numId w:val="5"/>
        </w:numPr>
        <w:spacing w:after="160" w:line="278" w:lineRule="auto"/>
        <w:rPr>
          <w:rFonts w:ascii="Arial" w:hAnsi="Arial" w:cs="Arial"/>
        </w:rPr>
      </w:pPr>
      <w:r w:rsidRPr="00D55FDC">
        <w:rPr>
          <w:rFonts w:ascii="Arial" w:hAnsi="Arial" w:cs="Arial"/>
        </w:rPr>
        <w:t>High valuation multiples compared to some peers; market already prices in much of the sector leadership.</w:t>
      </w:r>
    </w:p>
    <w:p w14:paraId="48AC3B7A" w14:textId="77777777" w:rsidR="00D55FDC" w:rsidRPr="00D55FDC" w:rsidRDefault="00D55FDC" w:rsidP="00D55FDC">
      <w:pPr>
        <w:numPr>
          <w:ilvl w:val="0"/>
          <w:numId w:val="5"/>
        </w:numPr>
        <w:spacing w:after="160" w:line="278" w:lineRule="auto"/>
        <w:rPr>
          <w:rFonts w:ascii="Arial" w:hAnsi="Arial" w:cs="Arial"/>
        </w:rPr>
      </w:pPr>
      <w:r w:rsidRPr="00D55FDC">
        <w:rPr>
          <w:rFonts w:ascii="Arial" w:hAnsi="Arial" w:cs="Arial"/>
        </w:rPr>
        <w:t>Increasing use of leverage, while moderate, should be monitored for any signs of overextension.</w:t>
      </w:r>
    </w:p>
    <w:p w14:paraId="12728C71" w14:textId="77777777" w:rsidR="00D55FDC" w:rsidRPr="00D55FDC" w:rsidRDefault="00D55FDC" w:rsidP="00D55FDC">
      <w:pPr>
        <w:rPr>
          <w:rFonts w:ascii="Arial" w:hAnsi="Arial" w:cs="Arial"/>
        </w:rPr>
      </w:pPr>
      <w:r w:rsidRPr="00D55FDC">
        <w:rPr>
          <w:rFonts w:ascii="Arial" w:hAnsi="Arial" w:cs="Arial"/>
          <w:b/>
          <w:bCs/>
        </w:rPr>
        <w:t>Final view:</w:t>
      </w:r>
      <w:r w:rsidRPr="00D55FDC">
        <w:rPr>
          <w:rFonts w:ascii="Arial" w:hAnsi="Arial" w:cs="Arial"/>
        </w:rPr>
        <w:t xml:space="preserve"> HUL remains a high-quality, long-term holding for conservative and growth-focused portfolios alike. Short-term challenges exist, but its operational muscle, adaptability, and brand legacy make it a prime investment candidate for investors seeking stability, innovation, and sector leadership.</w:t>
      </w:r>
    </w:p>
    <w:p w14:paraId="622C6A4E" w14:textId="77777777" w:rsidR="00D55FDC" w:rsidRPr="00F55B0F" w:rsidRDefault="00D55FDC">
      <w:pPr>
        <w:rPr>
          <w:rFonts w:ascii="Calibri" w:hAnsi="Calibri" w:cs="Calibri"/>
        </w:rPr>
      </w:pPr>
    </w:p>
    <w:sectPr w:rsidR="00D55FDC" w:rsidRPr="00F55B0F">
      <w:head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D7A4D" w14:textId="77777777" w:rsidR="00601A5D" w:rsidRDefault="00601A5D" w:rsidP="00F55B0F">
      <w:r>
        <w:separator/>
      </w:r>
    </w:p>
  </w:endnote>
  <w:endnote w:type="continuationSeparator" w:id="0">
    <w:p w14:paraId="06F29AF3" w14:textId="77777777" w:rsidR="00601A5D" w:rsidRDefault="00601A5D" w:rsidP="00F55B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4C7A6" w14:textId="77777777" w:rsidR="00601A5D" w:rsidRDefault="00601A5D" w:rsidP="00F55B0F">
      <w:r>
        <w:separator/>
      </w:r>
    </w:p>
  </w:footnote>
  <w:footnote w:type="continuationSeparator" w:id="0">
    <w:p w14:paraId="2CDCAE93" w14:textId="77777777" w:rsidR="00601A5D" w:rsidRDefault="00601A5D" w:rsidP="00F55B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B124C" w14:textId="5BD5B095" w:rsidR="00F55B0F" w:rsidRDefault="00F55B0F">
    <w:pPr>
      <w:pStyle w:val="Header"/>
    </w:pPr>
    <w:r>
      <w:rPr>
        <w:noProof/>
        <w14:ligatures w14:val="standardContextual"/>
      </w:rPr>
      <w:drawing>
        <wp:anchor distT="0" distB="0" distL="114300" distR="114300" simplePos="0" relativeHeight="251659264" behindDoc="0" locked="0" layoutInCell="1" allowOverlap="1" wp14:anchorId="1BF8B8AD" wp14:editId="27F61D35">
          <wp:simplePos x="0" y="0"/>
          <wp:positionH relativeFrom="column">
            <wp:posOffset>5865341</wp:posOffset>
          </wp:positionH>
          <wp:positionV relativeFrom="paragraph">
            <wp:posOffset>-416629</wp:posOffset>
          </wp:positionV>
          <wp:extent cx="698740" cy="698740"/>
          <wp:effectExtent l="0" t="0" r="0" b="0"/>
          <wp:wrapNone/>
          <wp:docPr id="13065580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58030" name="Picture 1306558030"/>
                  <pic:cNvPicPr/>
                </pic:nvPicPr>
                <pic:blipFill>
                  <a:blip r:embed="rId1">
                    <a:extLst>
                      <a:ext uri="{28A0092B-C50C-407E-A947-70E740481C1C}">
                        <a14:useLocalDpi xmlns:a14="http://schemas.microsoft.com/office/drawing/2010/main" val="0"/>
                      </a:ext>
                    </a:extLst>
                  </a:blip>
                  <a:stretch>
                    <a:fillRect/>
                  </a:stretch>
                </pic:blipFill>
                <pic:spPr>
                  <a:xfrm>
                    <a:off x="0" y="0"/>
                    <a:ext cx="702244" cy="70224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21A35D96" wp14:editId="73190BA2">
          <wp:simplePos x="0" y="0"/>
          <wp:positionH relativeFrom="column">
            <wp:posOffset>-887095</wp:posOffset>
          </wp:positionH>
          <wp:positionV relativeFrom="paragraph">
            <wp:posOffset>-689791</wp:posOffset>
          </wp:positionV>
          <wp:extent cx="1281495" cy="1281495"/>
          <wp:effectExtent l="0" t="0" r="0" b="0"/>
          <wp:wrapNone/>
          <wp:docPr id="497218035" name="Picture 2" descr="Hindustan Unilever Logo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industan Unilever Logo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81495" cy="128149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r>
      <w:fldChar w:fldCharType="begin"/>
    </w:r>
    <w:r>
      <w:instrText xml:space="preserve"> INCLUDEPICTURE "/Users/yashikadhawan/Library/Group Containers/UBF8T346G9.ms/WebArchiveCopyPasteTempFiles/com.microsoft.Word/hindustan-unilever-logo_logoshape.png" \* MERGEFORMATINET </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066CB"/>
    <w:multiLevelType w:val="multilevel"/>
    <w:tmpl w:val="A9B2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41E56"/>
    <w:multiLevelType w:val="multilevel"/>
    <w:tmpl w:val="1598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8111D"/>
    <w:multiLevelType w:val="multilevel"/>
    <w:tmpl w:val="5598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C0C95"/>
    <w:multiLevelType w:val="multilevel"/>
    <w:tmpl w:val="ACF8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46B9A"/>
    <w:multiLevelType w:val="multilevel"/>
    <w:tmpl w:val="772C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D2C78"/>
    <w:multiLevelType w:val="multilevel"/>
    <w:tmpl w:val="8A6A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231BAE"/>
    <w:multiLevelType w:val="multilevel"/>
    <w:tmpl w:val="28801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313188"/>
    <w:multiLevelType w:val="hybridMultilevel"/>
    <w:tmpl w:val="E1AC2D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FB906B2"/>
    <w:multiLevelType w:val="multilevel"/>
    <w:tmpl w:val="19C2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A840E9"/>
    <w:multiLevelType w:val="multilevel"/>
    <w:tmpl w:val="C71AD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EC6799"/>
    <w:multiLevelType w:val="multilevel"/>
    <w:tmpl w:val="33FA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100AD2"/>
    <w:multiLevelType w:val="multilevel"/>
    <w:tmpl w:val="7F36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3E7257"/>
    <w:multiLevelType w:val="multilevel"/>
    <w:tmpl w:val="9376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610FDE"/>
    <w:multiLevelType w:val="multilevel"/>
    <w:tmpl w:val="FA50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926203">
    <w:abstractNumId w:val="11"/>
  </w:num>
  <w:num w:numId="2" w16cid:durableId="2077702835">
    <w:abstractNumId w:val="13"/>
  </w:num>
  <w:num w:numId="3" w16cid:durableId="1432386085">
    <w:abstractNumId w:val="2"/>
  </w:num>
  <w:num w:numId="4" w16cid:durableId="352728468">
    <w:abstractNumId w:val="5"/>
  </w:num>
  <w:num w:numId="5" w16cid:durableId="2064910653">
    <w:abstractNumId w:val="3"/>
  </w:num>
  <w:num w:numId="6" w16cid:durableId="1469711350">
    <w:abstractNumId w:val="7"/>
  </w:num>
  <w:num w:numId="7" w16cid:durableId="1479348396">
    <w:abstractNumId w:val="9"/>
  </w:num>
  <w:num w:numId="8" w16cid:durableId="366950081">
    <w:abstractNumId w:val="6"/>
  </w:num>
  <w:num w:numId="9" w16cid:durableId="44716565">
    <w:abstractNumId w:val="12"/>
  </w:num>
  <w:num w:numId="10" w16cid:durableId="1992172686">
    <w:abstractNumId w:val="4"/>
  </w:num>
  <w:num w:numId="11" w16cid:durableId="69040504">
    <w:abstractNumId w:val="0"/>
  </w:num>
  <w:num w:numId="12" w16cid:durableId="564217380">
    <w:abstractNumId w:val="10"/>
  </w:num>
  <w:num w:numId="13" w16cid:durableId="1426489079">
    <w:abstractNumId w:val="1"/>
  </w:num>
  <w:num w:numId="14" w16cid:durableId="12510433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585"/>
    <w:rsid w:val="00021C93"/>
    <w:rsid w:val="00023402"/>
    <w:rsid w:val="00033033"/>
    <w:rsid w:val="00086638"/>
    <w:rsid w:val="000D3202"/>
    <w:rsid w:val="0010154A"/>
    <w:rsid w:val="00175EF5"/>
    <w:rsid w:val="00181EF4"/>
    <w:rsid w:val="00186D92"/>
    <w:rsid w:val="001B41B8"/>
    <w:rsid w:val="001E1E06"/>
    <w:rsid w:val="001E4B85"/>
    <w:rsid w:val="001E4D59"/>
    <w:rsid w:val="0023548A"/>
    <w:rsid w:val="00245496"/>
    <w:rsid w:val="002C4BB8"/>
    <w:rsid w:val="002D2B8F"/>
    <w:rsid w:val="00321791"/>
    <w:rsid w:val="003318BF"/>
    <w:rsid w:val="00335906"/>
    <w:rsid w:val="0033755B"/>
    <w:rsid w:val="00337B99"/>
    <w:rsid w:val="0037532C"/>
    <w:rsid w:val="00393C34"/>
    <w:rsid w:val="003B731D"/>
    <w:rsid w:val="003D6A7B"/>
    <w:rsid w:val="00402522"/>
    <w:rsid w:val="0041056B"/>
    <w:rsid w:val="00424A9F"/>
    <w:rsid w:val="0049108C"/>
    <w:rsid w:val="004D0E4B"/>
    <w:rsid w:val="00504E17"/>
    <w:rsid w:val="0056406A"/>
    <w:rsid w:val="005A667B"/>
    <w:rsid w:val="005B07C8"/>
    <w:rsid w:val="005B287B"/>
    <w:rsid w:val="005D2B46"/>
    <w:rsid w:val="00601A5D"/>
    <w:rsid w:val="00605525"/>
    <w:rsid w:val="006B4B54"/>
    <w:rsid w:val="006F3348"/>
    <w:rsid w:val="00713C10"/>
    <w:rsid w:val="00731C8A"/>
    <w:rsid w:val="0076565C"/>
    <w:rsid w:val="007A080D"/>
    <w:rsid w:val="007C2FA5"/>
    <w:rsid w:val="007D1824"/>
    <w:rsid w:val="007E638A"/>
    <w:rsid w:val="0081223C"/>
    <w:rsid w:val="00851585"/>
    <w:rsid w:val="00860018"/>
    <w:rsid w:val="008A75E5"/>
    <w:rsid w:val="008D6E69"/>
    <w:rsid w:val="008F6FE9"/>
    <w:rsid w:val="009040FB"/>
    <w:rsid w:val="00956643"/>
    <w:rsid w:val="0096524F"/>
    <w:rsid w:val="009813C2"/>
    <w:rsid w:val="00994BC9"/>
    <w:rsid w:val="009A48A6"/>
    <w:rsid w:val="009B3794"/>
    <w:rsid w:val="009F2CBE"/>
    <w:rsid w:val="00A17AFC"/>
    <w:rsid w:val="00A40D20"/>
    <w:rsid w:val="00A43079"/>
    <w:rsid w:val="00AA3789"/>
    <w:rsid w:val="00B11561"/>
    <w:rsid w:val="00B355B7"/>
    <w:rsid w:val="00BD0F75"/>
    <w:rsid w:val="00BD5903"/>
    <w:rsid w:val="00C129F7"/>
    <w:rsid w:val="00C17F71"/>
    <w:rsid w:val="00C2073C"/>
    <w:rsid w:val="00C30FB2"/>
    <w:rsid w:val="00C3472A"/>
    <w:rsid w:val="00C349B7"/>
    <w:rsid w:val="00C5283B"/>
    <w:rsid w:val="00C6482B"/>
    <w:rsid w:val="00CC00BE"/>
    <w:rsid w:val="00CC43B6"/>
    <w:rsid w:val="00CF10D2"/>
    <w:rsid w:val="00CF6BB3"/>
    <w:rsid w:val="00D15662"/>
    <w:rsid w:val="00D2111B"/>
    <w:rsid w:val="00D55FDC"/>
    <w:rsid w:val="00DA2A78"/>
    <w:rsid w:val="00DA473A"/>
    <w:rsid w:val="00DC0B1E"/>
    <w:rsid w:val="00DD3F50"/>
    <w:rsid w:val="00E234AC"/>
    <w:rsid w:val="00E7212C"/>
    <w:rsid w:val="00F06D11"/>
    <w:rsid w:val="00F21F09"/>
    <w:rsid w:val="00F300CC"/>
    <w:rsid w:val="00F55B0F"/>
    <w:rsid w:val="00F80123"/>
    <w:rsid w:val="00F914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B9FC88"/>
  <w15:chartTrackingRefBased/>
  <w15:docId w15:val="{1AF18FE8-AACC-564F-911D-608DBB7E9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1EF4"/>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8515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15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15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5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5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58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58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58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58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5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15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15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5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5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5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5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5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585"/>
    <w:rPr>
      <w:rFonts w:eastAsiaTheme="majorEastAsia" w:cstheme="majorBidi"/>
      <w:color w:val="272727" w:themeColor="text1" w:themeTint="D8"/>
    </w:rPr>
  </w:style>
  <w:style w:type="paragraph" w:styleId="Title">
    <w:name w:val="Title"/>
    <w:basedOn w:val="Normal"/>
    <w:next w:val="Normal"/>
    <w:link w:val="TitleChar"/>
    <w:uiPriority w:val="10"/>
    <w:qFormat/>
    <w:rsid w:val="0085158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5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5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5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585"/>
    <w:pPr>
      <w:spacing w:before="160"/>
      <w:jc w:val="center"/>
    </w:pPr>
    <w:rPr>
      <w:i/>
      <w:iCs/>
      <w:color w:val="404040" w:themeColor="text1" w:themeTint="BF"/>
    </w:rPr>
  </w:style>
  <w:style w:type="character" w:customStyle="1" w:styleId="QuoteChar">
    <w:name w:val="Quote Char"/>
    <w:basedOn w:val="DefaultParagraphFont"/>
    <w:link w:val="Quote"/>
    <w:uiPriority w:val="29"/>
    <w:rsid w:val="00851585"/>
    <w:rPr>
      <w:i/>
      <w:iCs/>
      <w:color w:val="404040" w:themeColor="text1" w:themeTint="BF"/>
    </w:rPr>
  </w:style>
  <w:style w:type="paragraph" w:styleId="ListParagraph">
    <w:name w:val="List Paragraph"/>
    <w:basedOn w:val="Normal"/>
    <w:uiPriority w:val="34"/>
    <w:qFormat/>
    <w:rsid w:val="00851585"/>
    <w:pPr>
      <w:ind w:left="720"/>
      <w:contextualSpacing/>
    </w:pPr>
  </w:style>
  <w:style w:type="character" w:styleId="IntenseEmphasis">
    <w:name w:val="Intense Emphasis"/>
    <w:basedOn w:val="DefaultParagraphFont"/>
    <w:uiPriority w:val="21"/>
    <w:qFormat/>
    <w:rsid w:val="00851585"/>
    <w:rPr>
      <w:i/>
      <w:iCs/>
      <w:color w:val="0F4761" w:themeColor="accent1" w:themeShade="BF"/>
    </w:rPr>
  </w:style>
  <w:style w:type="paragraph" w:styleId="IntenseQuote">
    <w:name w:val="Intense Quote"/>
    <w:basedOn w:val="Normal"/>
    <w:next w:val="Normal"/>
    <w:link w:val="IntenseQuoteChar"/>
    <w:uiPriority w:val="30"/>
    <w:qFormat/>
    <w:rsid w:val="008515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585"/>
    <w:rPr>
      <w:i/>
      <w:iCs/>
      <w:color w:val="0F4761" w:themeColor="accent1" w:themeShade="BF"/>
    </w:rPr>
  </w:style>
  <w:style w:type="character" w:styleId="IntenseReference">
    <w:name w:val="Intense Reference"/>
    <w:basedOn w:val="DefaultParagraphFont"/>
    <w:uiPriority w:val="32"/>
    <w:qFormat/>
    <w:rsid w:val="00851585"/>
    <w:rPr>
      <w:b/>
      <w:bCs/>
      <w:smallCaps/>
      <w:color w:val="0F4761" w:themeColor="accent1" w:themeShade="BF"/>
      <w:spacing w:val="5"/>
    </w:rPr>
  </w:style>
  <w:style w:type="paragraph" w:styleId="NormalWeb">
    <w:name w:val="Normal (Web)"/>
    <w:basedOn w:val="Normal"/>
    <w:uiPriority w:val="99"/>
    <w:unhideWhenUsed/>
    <w:rsid w:val="00851585"/>
    <w:pPr>
      <w:spacing w:before="100" w:beforeAutospacing="1" w:after="100" w:afterAutospacing="1"/>
    </w:pPr>
  </w:style>
  <w:style w:type="paragraph" w:styleId="Header">
    <w:name w:val="header"/>
    <w:basedOn w:val="Normal"/>
    <w:link w:val="HeaderChar"/>
    <w:uiPriority w:val="99"/>
    <w:unhideWhenUsed/>
    <w:rsid w:val="00F55B0F"/>
    <w:pPr>
      <w:tabs>
        <w:tab w:val="center" w:pos="4513"/>
        <w:tab w:val="right" w:pos="9026"/>
      </w:tabs>
    </w:pPr>
  </w:style>
  <w:style w:type="character" w:customStyle="1" w:styleId="HeaderChar">
    <w:name w:val="Header Char"/>
    <w:basedOn w:val="DefaultParagraphFont"/>
    <w:link w:val="Header"/>
    <w:uiPriority w:val="99"/>
    <w:rsid w:val="00F55B0F"/>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F55B0F"/>
    <w:pPr>
      <w:tabs>
        <w:tab w:val="center" w:pos="4513"/>
        <w:tab w:val="right" w:pos="9026"/>
      </w:tabs>
    </w:pPr>
  </w:style>
  <w:style w:type="character" w:customStyle="1" w:styleId="FooterChar">
    <w:name w:val="Footer Char"/>
    <w:basedOn w:val="DefaultParagraphFont"/>
    <w:link w:val="Footer"/>
    <w:uiPriority w:val="99"/>
    <w:rsid w:val="00F55B0F"/>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023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93C34"/>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chart" Target="charts/chart4.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chart" Target="charts/chart2.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1.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4c35ce109eb88df6/Desktop/Copy%20of%20HUL__FADM(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4c35ce109eb88df6/Desktop/Copy%20of%20HUL__FADM(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4c35ce109eb88df6/Desktop/Copy%20of%20HUL__FADM(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4c35ce109eb88df6/Desktop/Copy%20of%20HUL__FADM(1).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'Comparative Analysis'!$J$4</c:f>
              <c:strCache>
                <c:ptCount val="1"/>
                <c:pt idx="0">
                  <c:v>EBITDA</c:v>
                </c:pt>
              </c:strCache>
            </c:strRef>
          </c:tx>
          <c:spPr>
            <a:solidFill>
              <a:schemeClr val="accent1"/>
            </a:solidFill>
            <a:ln>
              <a:noFill/>
            </a:ln>
            <a:effectLst/>
          </c:spPr>
          <c:invertIfNegative val="0"/>
          <c:cat>
            <c:numRef>
              <c:f>'Comparative Analysis'!$K$3:$O$3</c:f>
              <c:numCache>
                <c:formatCode>mmm\-yy</c:formatCode>
                <c:ptCount val="5"/>
                <c:pt idx="0">
                  <c:v>44256</c:v>
                </c:pt>
                <c:pt idx="1">
                  <c:v>44621</c:v>
                </c:pt>
                <c:pt idx="2">
                  <c:v>44986</c:v>
                </c:pt>
                <c:pt idx="3">
                  <c:v>45352</c:v>
                </c:pt>
                <c:pt idx="4">
                  <c:v>45717</c:v>
                </c:pt>
              </c:numCache>
            </c:numRef>
          </c:cat>
          <c:val>
            <c:numRef>
              <c:f>'Comparative Analysis'!$K$4:$O$4</c:f>
              <c:numCache>
                <c:formatCode>General</c:formatCode>
                <c:ptCount val="5"/>
                <c:pt idx="0">
                  <c:v>11837</c:v>
                </c:pt>
                <c:pt idx="1">
                  <c:v>12896</c:v>
                </c:pt>
                <c:pt idx="2">
                  <c:v>14272</c:v>
                </c:pt>
                <c:pt idx="3">
                  <c:v>15163</c:v>
                </c:pt>
                <c:pt idx="4">
                  <c:v>15466</c:v>
                </c:pt>
              </c:numCache>
            </c:numRef>
          </c:val>
          <c:extLst>
            <c:ext xmlns:c16="http://schemas.microsoft.com/office/drawing/2014/chart" uri="{C3380CC4-5D6E-409C-BE32-E72D297353CC}">
              <c16:uniqueId val="{00000000-E0BC-4AD5-8E63-8004C91F7C58}"/>
            </c:ext>
          </c:extLst>
        </c:ser>
        <c:dLbls>
          <c:showLegendKey val="0"/>
          <c:showVal val="0"/>
          <c:showCatName val="0"/>
          <c:showSerName val="0"/>
          <c:showPercent val="0"/>
          <c:showBubbleSize val="0"/>
        </c:dLbls>
        <c:gapWidth val="219"/>
        <c:overlap val="-27"/>
        <c:axId val="1936618735"/>
        <c:axId val="1936619215"/>
      </c:barChart>
      <c:dateAx>
        <c:axId val="1936618735"/>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36619215"/>
        <c:crosses val="autoZero"/>
        <c:auto val="1"/>
        <c:lblOffset val="100"/>
        <c:baseTimeUnit val="years"/>
      </c:dateAx>
      <c:valAx>
        <c:axId val="19366192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3661873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Sales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'Comparative Analysis'!$Q$4</c:f>
              <c:strCache>
                <c:ptCount val="1"/>
                <c:pt idx="0">
                  <c:v>Revenue </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'Comparative Analysis'!$R$3:$V$3</c:f>
              <c:numCache>
                <c:formatCode>mmm\-yy</c:formatCode>
                <c:ptCount val="5"/>
                <c:pt idx="0">
                  <c:v>44256</c:v>
                </c:pt>
                <c:pt idx="1">
                  <c:v>44621</c:v>
                </c:pt>
                <c:pt idx="2">
                  <c:v>44986</c:v>
                </c:pt>
                <c:pt idx="3">
                  <c:v>45352</c:v>
                </c:pt>
                <c:pt idx="4">
                  <c:v>45717</c:v>
                </c:pt>
              </c:numCache>
            </c:numRef>
          </c:cat>
          <c:val>
            <c:numRef>
              <c:f>'Comparative Analysis'!$R$4:$V$4</c:f>
              <c:numCache>
                <c:formatCode>General</c:formatCode>
                <c:ptCount val="5"/>
                <c:pt idx="0">
                  <c:v>46509</c:v>
                </c:pt>
                <c:pt idx="1">
                  <c:v>51586</c:v>
                </c:pt>
                <c:pt idx="2">
                  <c:v>59784</c:v>
                </c:pt>
                <c:pt idx="3">
                  <c:v>61442</c:v>
                </c:pt>
                <c:pt idx="4">
                  <c:v>62646</c:v>
                </c:pt>
              </c:numCache>
            </c:numRef>
          </c:val>
          <c:smooth val="0"/>
          <c:extLst>
            <c:ext xmlns:c16="http://schemas.microsoft.com/office/drawing/2014/chart" uri="{C3380CC4-5D6E-409C-BE32-E72D297353CC}">
              <c16:uniqueId val="{00000000-57A9-4475-B07F-33A0938BD190}"/>
            </c:ext>
          </c:extLst>
        </c:ser>
        <c:dLbls>
          <c:dLblPos val="t"/>
          <c:showLegendKey val="0"/>
          <c:showVal val="1"/>
          <c:showCatName val="0"/>
          <c:showSerName val="0"/>
          <c:showPercent val="0"/>
          <c:showBubbleSize val="0"/>
        </c:dLbls>
        <c:smooth val="0"/>
        <c:axId val="1983721471"/>
        <c:axId val="1983721951"/>
      </c:lineChart>
      <c:dateAx>
        <c:axId val="1983721471"/>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3721951"/>
        <c:crosses val="autoZero"/>
        <c:auto val="1"/>
        <c:lblOffset val="100"/>
        <c:baseTimeUnit val="years"/>
      </c:dateAx>
      <c:valAx>
        <c:axId val="19837219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372147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'Comparative Analysis'!$Q$10</c:f>
              <c:strCache>
                <c:ptCount val="1"/>
                <c:pt idx="0">
                  <c:v>Total Assets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'Comparative Analysis'!$R$9:$V$9</c:f>
              <c:numCache>
                <c:formatCode>mmm\-yy</c:formatCode>
                <c:ptCount val="5"/>
                <c:pt idx="0">
                  <c:v>44256</c:v>
                </c:pt>
                <c:pt idx="1">
                  <c:v>44621</c:v>
                </c:pt>
                <c:pt idx="2">
                  <c:v>44986</c:v>
                </c:pt>
                <c:pt idx="3">
                  <c:v>45352</c:v>
                </c:pt>
                <c:pt idx="4">
                  <c:v>45717</c:v>
                </c:pt>
              </c:numCache>
            </c:numRef>
          </c:cat>
          <c:val>
            <c:numRef>
              <c:f>'Comparative Analysis'!$R$10:$V$10</c:f>
              <c:numCache>
                <c:formatCode>General</c:formatCode>
                <c:ptCount val="5"/>
                <c:pt idx="0">
                  <c:v>68116</c:v>
                </c:pt>
                <c:pt idx="1">
                  <c:v>69737</c:v>
                </c:pt>
                <c:pt idx="2">
                  <c:v>71825</c:v>
                </c:pt>
                <c:pt idx="3">
                  <c:v>77076</c:v>
                </c:pt>
                <c:pt idx="4">
                  <c:v>78313</c:v>
                </c:pt>
              </c:numCache>
            </c:numRef>
          </c:val>
          <c:extLst>
            <c:ext xmlns:c16="http://schemas.microsoft.com/office/drawing/2014/chart" uri="{C3380CC4-5D6E-409C-BE32-E72D297353CC}">
              <c16:uniqueId val="{00000000-FCA4-4E0C-8097-100F10F2483E}"/>
            </c:ext>
          </c:extLst>
        </c:ser>
        <c:dLbls>
          <c:dLblPos val="outEnd"/>
          <c:showLegendKey val="0"/>
          <c:showVal val="1"/>
          <c:showCatName val="0"/>
          <c:showSerName val="0"/>
          <c:showPercent val="0"/>
          <c:showBubbleSize val="0"/>
        </c:dLbls>
        <c:gapWidth val="219"/>
        <c:overlap val="-27"/>
        <c:axId val="136161359"/>
        <c:axId val="136162799"/>
      </c:barChart>
      <c:dateAx>
        <c:axId val="136161359"/>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162799"/>
        <c:crosses val="autoZero"/>
        <c:auto val="1"/>
        <c:lblOffset val="100"/>
        <c:baseTimeUnit val="years"/>
      </c:dateAx>
      <c:valAx>
        <c:axId val="1361627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16135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'Comparative Analysis'!$Q$7</c:f>
              <c:strCache>
                <c:ptCount val="1"/>
                <c:pt idx="0">
                  <c:v>Net Profit</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'Comparative Analysis'!$R$6:$V$6</c:f>
              <c:numCache>
                <c:formatCode>mmm\-yy</c:formatCode>
                <c:ptCount val="5"/>
                <c:pt idx="0">
                  <c:v>44256</c:v>
                </c:pt>
                <c:pt idx="1">
                  <c:v>44621</c:v>
                </c:pt>
                <c:pt idx="2">
                  <c:v>44986</c:v>
                </c:pt>
                <c:pt idx="3">
                  <c:v>45352</c:v>
                </c:pt>
                <c:pt idx="4">
                  <c:v>45717</c:v>
                </c:pt>
              </c:numCache>
            </c:numRef>
          </c:cat>
          <c:val>
            <c:numRef>
              <c:f>'Comparative Analysis'!$R$7:$V$7</c:f>
              <c:numCache>
                <c:formatCode>General</c:formatCode>
                <c:ptCount val="5"/>
                <c:pt idx="0">
                  <c:v>8467</c:v>
                </c:pt>
                <c:pt idx="1">
                  <c:v>9211</c:v>
                </c:pt>
                <c:pt idx="2">
                  <c:v>10602</c:v>
                </c:pt>
                <c:pt idx="3">
                  <c:v>11087</c:v>
                </c:pt>
                <c:pt idx="4">
                  <c:v>11821</c:v>
                </c:pt>
              </c:numCache>
            </c:numRef>
          </c:val>
          <c:smooth val="0"/>
          <c:extLst>
            <c:ext xmlns:c16="http://schemas.microsoft.com/office/drawing/2014/chart" uri="{C3380CC4-5D6E-409C-BE32-E72D297353CC}">
              <c16:uniqueId val="{00000000-EC63-4E9F-8127-CA206978F31F}"/>
            </c:ext>
          </c:extLst>
        </c:ser>
        <c:dLbls>
          <c:dLblPos val="t"/>
          <c:showLegendKey val="0"/>
          <c:showVal val="1"/>
          <c:showCatName val="0"/>
          <c:showSerName val="0"/>
          <c:showPercent val="0"/>
          <c:showBubbleSize val="0"/>
        </c:dLbls>
        <c:smooth val="0"/>
        <c:axId val="121019967"/>
        <c:axId val="121020927"/>
      </c:lineChart>
      <c:dateAx>
        <c:axId val="121019967"/>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1020927"/>
        <c:crosses val="autoZero"/>
        <c:auto val="1"/>
        <c:lblOffset val="100"/>
        <c:baseTimeUnit val="years"/>
      </c:dateAx>
      <c:valAx>
        <c:axId val="12102092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10199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E7AFC-C49A-4D38-84E8-7BE7DDD12E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12</Pages>
  <Words>1953</Words>
  <Characters>11138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Yashika Dhawan</dc:creator>
  <cp:keywords/>
  <dc:description/>
  <cp:lastModifiedBy>Raunak Singh</cp:lastModifiedBy>
  <cp:revision>87</cp:revision>
  <cp:lastPrinted>2025-09-28T10:51:00Z</cp:lastPrinted>
  <dcterms:created xsi:type="dcterms:W3CDTF">2025-09-28T09:25:00Z</dcterms:created>
  <dcterms:modified xsi:type="dcterms:W3CDTF">2025-09-28T15:11:00Z</dcterms:modified>
</cp:coreProperties>
</file>