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3" w:name="X7c5bac3444f22ca69c9bba8f49d691d33a6e45e"/>
    <w:p>
      <w:pPr>
        <w:pStyle w:val="Heading1"/>
      </w:pPr>
      <w:r>
        <w:t xml:space="preserve">CINEGRADE LAB: The Complete Premium Color Grading Platform</w:t>
      </w:r>
    </w:p>
    <w:p>
      <w:pPr>
        <w:pStyle w:val="FirstParagraph"/>
      </w:pPr>
      <w:r>
        <w:rPr>
          <w:bCs/>
          <w:b/>
        </w:rPr>
        <w:t xml:space="preserve">Research, Product &amp; Strategy Report</w:t>
      </w:r>
    </w:p>
    <w:p>
      <w:pPr>
        <w:pStyle w:val="BodyText"/>
      </w:pPr>
      <w:r>
        <w:rPr>
          <w:bCs/>
          <w:b/>
        </w:rPr>
        <w:t xml:space="preserve">Date:</w:t>
      </w:r>
      <w:r>
        <w:t xml:space="preserve"> </w:t>
      </w:r>
      <w:r>
        <w:t xml:space="preserve">May 2026</w:t>
      </w:r>
    </w:p>
    <w:p>
      <w:r>
        <w:pict>
          <v:rect style="width:0;height:1.5pt" o:hralign="center" o:hrstd="t" o:hr="t"/>
        </w:pict>
      </w:r>
    </w:p>
    <w:bookmarkStart w:id="38" w:name="X53ccdc2c957926de9aa757e2a01166180dcacc0"/>
    <w:p>
      <w:pPr>
        <w:pStyle w:val="Heading2"/>
      </w:pPr>
      <w:r>
        <w:t xml:space="preserve">1. Deep Research: The Premium Color Grading Landscape</w:t>
      </w:r>
    </w:p>
    <w:p>
      <w:pPr>
        <w:pStyle w:val="FirstParagraph"/>
      </w:pPr>
      <w:r>
        <w:t xml:space="preserve">The color grading tools market sits at a confluence of forces that, on first inspection, appear contradictory. On one hand, artificial intelligence is rapidly commoditizing basic color correction — adaptive editing platforms now analyze each frame individually, rendering the static preset’s one-size-fits-all approach technically obsolete for high-volume workflows</w:t>
      </w:r>
      <w:r>
        <w:t xml:space="preserve"> </w:t>
      </w:r>
      <w:r>
        <w:rPr>
          <w:vertAlign w:val="superscript"/>
        </w:rPr>
        <w:t xml:space="preserve">1</w:t>
      </w:r>
      <w:r>
        <w:t xml:space="preserve">. On the other hand, demand for precisely crafted cinematic looks has never been stronger: the cinematic Look-Up Table (LUT) segment alone reached $312.8 million in 2024 and is accelerating at a compound annual growth rate (CAGR) of 10.4%, outpacing the broader photo editing software market’s already robust 9.3% trajectory</w:t>
      </w:r>
      <w:r>
        <w:t xml:space="preserve"> </w:t>
      </w:r>
      <w:r>
        <w:rPr>
          <w:vertAlign w:val="superscript"/>
        </w:rPr>
        <w:t xml:space="preserve">2</w:t>
      </w:r>
      <w:r>
        <w:t xml:space="preserve">. This chapter maps the terrain where these forces collide — quantifying market scale, identifying the competitive hierarchy from elite film emulation houses to underground trading communities, and tracing the creator economy infrastructure that drives discovery and purchase.</w:t>
      </w:r>
    </w:p>
    <w:bookmarkStart w:id="24" w:name="X90e157dc1c312f8beb9fe6bc354f8f19b68517b"/>
    <w:p>
      <w:pPr>
        <w:pStyle w:val="Heading3"/>
      </w:pPr>
      <w:r>
        <w:t xml:space="preserve">1.1 The Preset Economy: Market Size and Dynamics</w:t>
      </w:r>
    </w:p>
    <w:bookmarkStart w:id="20" w:name="the-photo-editing-software-market"/>
    <w:p>
      <w:pPr>
        <w:pStyle w:val="Heading4"/>
      </w:pPr>
      <w:r>
        <w:t xml:space="preserve">1.1.1 The Photo Editing Software Market</w:t>
      </w:r>
    </w:p>
    <w:p>
      <w:pPr>
        <w:pStyle w:val="FirstParagraph"/>
      </w:pPr>
      <w:r>
        <w:t xml:space="preserve">The global photo editing software market was valued at $16.76 billion in 2024 and is projected to reach $37.3 billion by 2033, expanding at a 9.3% CAGR</w:t>
      </w:r>
      <w:r>
        <w:t xml:space="preserve"> </w:t>
      </w:r>
      <w:r>
        <w:rPr>
          <w:vertAlign w:val="superscript"/>
        </w:rPr>
        <w:t xml:space="preserve">3</w:t>
      </w:r>
      <w:r>
        <w:t xml:space="preserve">. Several converging factors sustain this momentum: the proliferation of streaming platforms demanding original content, the democratization of professional filmmaking tools through platforms such as DaVinci Resolve and Adobe Premiere Pro, and the sustained growth of social media video creation. Within this landscape, color correction and grading represent a critical sub-segment — the bridge between raw capture and finished aesthetic.</w:t>
      </w:r>
    </w:p>
    <w:p>
      <w:pPr>
        <w:pStyle w:val="BodyText"/>
      </w:pPr>
      <w:r>
        <w:t xml:space="preserve">Adobe’s dominance in creative software, with Creative Cloud commanding over 38 million paid subscribers globally as of early 2026, provides the underlying infrastructure upon which the preset and LUT ecosystem depends</w:t>
      </w:r>
      <w:r>
        <w:t xml:space="preserve"> </w:t>
      </w:r>
      <w:r>
        <w:rPr>
          <w:vertAlign w:val="superscript"/>
        </w:rPr>
        <w:t xml:space="preserve">3</w:t>
      </w:r>
      <w:r>
        <w:t xml:space="preserve">. The integration of AI features such as Adobe Firefly has further accelerated subscription upgrades, reinforcing the platform’s centrality while simultaneously introducing new competitive pressures for third-party color tool developers.</w:t>
      </w:r>
    </w:p>
    <w:bookmarkEnd w:id="20"/>
    <w:bookmarkStart w:id="21" w:name="the-lut-market-specifically"/>
    <w:p>
      <w:pPr>
        <w:pStyle w:val="Heading4"/>
      </w:pPr>
      <w:r>
        <w:t xml:space="preserve">1.1.2 The LUT Market Specifically</w:t>
      </w:r>
    </w:p>
    <w:p>
      <w:pPr>
        <w:pStyle w:val="FirstParagraph"/>
      </w:pPr>
      <w:r>
        <w:t xml:space="preserve">The cinematic LUT market constitutes a focused, high-growth segment within the broader photo editing ecosystem. Dataintelo estimates place the segment at $312.8 million in 2024, with projections reaching $758.5 million by 2033</w:t>
      </w:r>
      <w:r>
        <w:t xml:space="preserve"> </w:t>
      </w:r>
      <w:r>
        <w:rPr>
          <w:vertAlign w:val="superscript"/>
        </w:rPr>
        <w:t xml:space="preserve">2</w:t>
      </w:r>
      <w:r>
        <w:t xml:space="preserve">. The 10.4% CAGR slightly exceeds that of the overall photo editing market, reflecting the particular intensity of video content creation demand and the expanding professionalization of social media production workflows.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2024 Value</w:t>
            </w:r>
          </w:p>
        </w:tc>
        <w:tc>
          <w:tcPr/>
          <w:p>
            <w:pPr>
              <w:pStyle w:val="Compact"/>
              <w:jc w:val="left"/>
            </w:pPr>
            <w:r>
              <w:t xml:space="preserve">2033 Projection</w:t>
            </w:r>
          </w:p>
        </w:tc>
        <w:tc>
          <w:tcPr/>
          <w:p>
            <w:pPr>
              <w:pStyle w:val="Compact"/>
              <w:jc w:val="left"/>
            </w:pPr>
            <w:r>
              <w:t xml:space="preserve">CAGR</w:t>
            </w:r>
          </w:p>
        </w:tc>
        <w:tc>
          <w:tcPr/>
          <w:p>
            <w:pPr>
              <w:pStyle w:val="Compact"/>
              <w:jc w:val="left"/>
            </w:pPr>
            <w:r>
              <w:t xml:space="preserve">Key Drivers</w:t>
            </w:r>
          </w:p>
        </w:tc>
      </w:tr>
      <w:tr>
        <w:tc>
          <w:tcPr/>
          <w:p>
            <w:pPr>
              <w:pStyle w:val="Compact"/>
              <w:jc w:val="left"/>
            </w:pPr>
            <w:r>
              <w:t xml:space="preserve">Global Photo Editing Software</w:t>
            </w:r>
          </w:p>
        </w:tc>
        <w:tc>
          <w:tcPr/>
          <w:p>
            <w:pPr>
              <w:pStyle w:val="Compact"/>
              <w:jc w:val="left"/>
            </w:pPr>
            <w:r>
              <w:t xml:space="preserve">$16.76B</w:t>
            </w:r>
            <w:r>
              <w:t xml:space="preserve"> </w:t>
            </w:r>
            <w:r>
              <w:rPr>
                <w:vertAlign w:val="superscript"/>
              </w:rPr>
              <w:t xml:space="preserve">3</w:t>
            </w:r>
          </w:p>
        </w:tc>
        <w:tc>
          <w:tcPr/>
          <w:p>
            <w:pPr>
              <w:pStyle w:val="Compact"/>
              <w:jc w:val="left"/>
            </w:pPr>
            <w:r>
              <w:t xml:space="preserve">$37.3B</w:t>
            </w:r>
          </w:p>
        </w:tc>
        <w:tc>
          <w:tcPr/>
          <w:p>
            <w:pPr>
              <w:pStyle w:val="Compact"/>
              <w:jc w:val="left"/>
            </w:pPr>
            <w:r>
              <w:t xml:space="preserve">9.3%</w:t>
            </w:r>
          </w:p>
        </w:tc>
        <w:tc>
          <w:tcPr/>
          <w:p>
            <w:pPr>
              <w:pStyle w:val="Compact"/>
              <w:jc w:val="left"/>
            </w:pPr>
            <w:r>
              <w:t xml:space="preserve">AI integration, streaming content, social media video</w:t>
            </w:r>
          </w:p>
        </w:tc>
      </w:tr>
      <w:tr>
        <w:tc>
          <w:tcPr/>
          <w:p>
            <w:pPr>
              <w:pStyle w:val="Compact"/>
              <w:jc w:val="left"/>
            </w:pPr>
            <w:r>
              <w:t xml:space="preserve">Cinematic LUTs</w:t>
            </w:r>
          </w:p>
        </w:tc>
        <w:tc>
          <w:tcPr/>
          <w:p>
            <w:pPr>
              <w:pStyle w:val="Compact"/>
              <w:jc w:val="left"/>
            </w:pPr>
            <w:r>
              <w:t xml:space="preserve">$312.8M</w:t>
            </w:r>
            <w:r>
              <w:t xml:space="preserve"> </w:t>
            </w:r>
            <w:r>
              <w:rPr>
                <w:vertAlign w:val="superscript"/>
              </w:rPr>
              <w:t xml:space="preserve">2</w:t>
            </w:r>
          </w:p>
        </w:tc>
        <w:tc>
          <w:tcPr/>
          <w:p>
            <w:pPr>
              <w:pStyle w:val="Compact"/>
              <w:jc w:val="left"/>
            </w:pPr>
            <w:r>
              <w:t xml:space="preserve">$758.5M</w:t>
            </w:r>
          </w:p>
        </w:tc>
        <w:tc>
          <w:tcPr/>
          <w:p>
            <w:pPr>
              <w:pStyle w:val="Compact"/>
              <w:jc w:val="left"/>
            </w:pPr>
            <w:r>
              <w:t xml:space="preserve">10.4%</w:t>
            </w:r>
          </w:p>
        </w:tc>
        <w:tc>
          <w:tcPr/>
          <w:p>
            <w:pPr>
              <w:pStyle w:val="Compact"/>
              <w:jc w:val="left"/>
            </w:pPr>
            <w:r>
              <w:t xml:space="preserve">Streaming platforms, filmmaking democratization, HDR adoption</w:t>
            </w:r>
          </w:p>
        </w:tc>
      </w:tr>
      <w:tr>
        <w:tc>
          <w:tcPr/>
          <w:p>
            <w:pPr>
              <w:pStyle w:val="Compact"/>
              <w:jc w:val="left"/>
            </w:pPr>
            <w:r>
              <w:t xml:space="preserve">AI Photo Editing</w:t>
            </w:r>
          </w:p>
        </w:tc>
        <w:tc>
          <w:tcPr/>
          <w:p>
            <w:pPr>
              <w:pStyle w:val="Compact"/>
              <w:jc w:val="left"/>
            </w:pPr>
            <w:r>
              <w:t xml:space="preserve">$4.8B</w:t>
            </w:r>
          </w:p>
        </w:tc>
        <w:tc>
          <w:tcPr/>
          <w:p>
            <w:pPr>
              <w:pStyle w:val="Compact"/>
              <w:jc w:val="left"/>
            </w:pPr>
            <w:r>
              <w:t xml:space="preserve">$21.6B (2034)</w:t>
            </w:r>
          </w:p>
        </w:tc>
        <w:tc>
          <w:tcPr/>
          <w:p>
            <w:pPr>
              <w:pStyle w:val="Compact"/>
              <w:jc w:val="left"/>
            </w:pPr>
            <w:r>
              <w:t xml:space="preserve">18.2%</w:t>
            </w:r>
          </w:p>
        </w:tc>
        <w:tc>
          <w:tcPr/>
          <w:p>
            <w:pPr>
              <w:pStyle w:val="Compact"/>
              <w:jc w:val="left"/>
            </w:pPr>
            <w:r>
              <w:t xml:space="preserve">Automated workflows, adaptive editing, generative features</w:t>
            </w:r>
          </w:p>
        </w:tc>
      </w:tr>
      <w:tr>
        <w:tc>
          <w:tcPr/>
          <w:p>
            <w:pPr>
              <w:pStyle w:val="Compact"/>
              <w:jc w:val="left"/>
            </w:pPr>
            <w:r>
              <w:t xml:space="preserve">Creator Economy</w:t>
            </w:r>
          </w:p>
        </w:tc>
        <w:tc>
          <w:tcPr/>
          <w:p>
            <w:pPr>
              <w:pStyle w:val="Compact"/>
              <w:jc w:val="left"/>
            </w:pPr>
            <w:r>
              <w:t xml:space="preserve">$205B</w:t>
            </w:r>
            <w:r>
              <w:t xml:space="preserve"> </w:t>
            </w:r>
            <w:r>
              <w:rPr>
                <w:vertAlign w:val="superscript"/>
              </w:rPr>
              <w:t xml:space="preserve">4</w:t>
            </w:r>
          </w:p>
        </w:tc>
        <w:tc>
          <w:tcPr/>
          <w:p>
            <w:pPr>
              <w:pStyle w:val="Compact"/>
              <w:jc w:val="left"/>
            </w:pPr>
            <w:r>
              <w:t xml:space="preserve">$250B+ (2025 est.)</w:t>
            </w:r>
          </w:p>
        </w:tc>
        <w:tc>
          <w:tcPr/>
          <w:p>
            <w:pPr>
              <w:pStyle w:val="Compact"/>
              <w:jc w:val="left"/>
            </w:pPr>
            <w:r>
              <w:t xml:space="preserve">~20%</w:t>
            </w:r>
          </w:p>
        </w:tc>
        <w:tc>
          <w:tcPr/>
          <w:p>
            <w:pPr>
              <w:pStyle w:val="Compact"/>
              <w:jc w:val="left"/>
            </w:pPr>
            <w:r>
              <w:t xml:space="preserve">Platform monetization, brand partnerships, diversified revenue</w:t>
            </w:r>
          </w:p>
        </w:tc>
      </w:tr>
    </w:tbl>
    <w:p>
      <w:pPr>
        <w:pStyle w:val="BodyText"/>
      </w:pPr>
      <w:r>
        <w:rPr>
          <w:iCs/>
          <w:i/>
        </w:rPr>
        <w:t xml:space="preserve">Table 1: Market size projections for color grading-adjacent segments. Values reflect the most recent available analyst estimates, with CAGR figures indicating annualized growth trajectories through the stated endpoint.</w:t>
      </w:r>
    </w:p>
    <w:p>
      <w:pPr>
        <w:pStyle w:val="BodyText"/>
      </w:pPr>
      <w:r>
        <w:t xml:space="preserve">The differential between the 9.3% and 10.4% growth rates warrants closer examination. The LUT segment’s modest outperformance is attributable to the non-linear expansion of video-first platforms — YouTube’s 61.8 million creators, TikTok’s viral mechanics driving filter discovery, and Instagram’s 64 million-plus influencer base — each generating demand for cinematic color treatment that photography-centric tools alone cannot satisfy. Furthermore, the AI-generated photo editing market, valued at $4.8 billion in 2025 with an 18.2% CAGR, is projected to reach $21.6 billion by 2034, introducing both competitive pressure and partnership opportunities for established LUT vendors.</w:t>
      </w:r>
    </w:p>
    <w:bookmarkEnd w:id="21"/>
    <w:bookmarkStart w:id="22" w:name="premium-preset-pricing-tiers"/>
    <w:p>
      <w:pPr>
        <w:pStyle w:val="Heading4"/>
      </w:pPr>
      <w:r>
        <w:t xml:space="preserve">1.1.3 Premium Preset Pricing Tiers</w:t>
      </w:r>
    </w:p>
    <w:p>
      <w:pPr>
        <w:pStyle w:val="FirstParagraph"/>
      </w:pPr>
      <w:r>
        <w:t xml:space="preserve">Within this macroeconomic context, the microeconomics of individual product pricing reveal a stratified market. Professional film emulation presets — those employing camera-specific profiles, scientific film scan matching, and profile-based (rather than slider-based) construction — command $75 to $200 per pack. Mastin Labs prices individual packs at $99, positioning film emulation as a premium craft product rather than a commodity utility</w:t>
      </w:r>
      <w:r>
        <w:t xml:space="preserve"> </w:t>
      </w:r>
      <w:r>
        <w:rPr>
          <w:vertAlign w:val="superscript"/>
        </w:rPr>
        <w:t xml:space="preserve">5</w:t>
      </w:r>
      <w:r>
        <w:t xml:space="preserve">. DVLOP, operating as a curated marketplace where world-renowned photographers develop presets using dual-illuminant camera profiling technology, extends the range from $75 to over $200 per pack depending on the creator’s stature</w:t>
      </w:r>
      <w:r>
        <w:t xml:space="preserve"> </w:t>
      </w:r>
      <w:r>
        <w:rPr>
          <w:vertAlign w:val="superscript"/>
        </w:rPr>
        <w:t xml:space="preserve">6</w:t>
      </w:r>
      <w:r>
        <w:t xml:space="preserve">. RNI (Really Nice Images) offers tiered Lite and Pro versions of its All Films collection, with Pro packs priced at $164–$192, justifying the premium through fully profile-based design that operates at the RAW processing level rather than through conventional Lightroom slider adjustments</w:t>
      </w:r>
      <w:r>
        <w:t xml:space="preserve"> </w:t>
      </w:r>
      <w:r>
        <w:rPr>
          <w:vertAlign w:val="superscript"/>
        </w:rPr>
        <w:t xml:space="preserve">7</w:t>
      </w:r>
      <w:r>
        <w:t xml:space="preserve">.</w:t>
      </w:r>
    </w:p>
    <w:p>
      <w:pPr>
        <w:pStyle w:val="BodyText"/>
      </w:pPr>
      <w:r>
        <w:t xml:space="preserve">This pricing architecture reflects a fundamental market reality: scientifically accurate film emulation is expensive to produce. Camera profiling requires access to multiple camera bodies, controlled lighting environments, and calibration charts. Film scan matching demands access to original film stocks, professional scanning hardware, and iterative color science refinement. The resulting products are not merely aesthetic filters but technical instruments — and their pricing communicates this distinction to professional purchasers.</w:t>
      </w:r>
    </w:p>
    <w:bookmarkEnd w:id="22"/>
    <w:bookmarkStart w:id="23" w:name="Xf0bad89bc39c277db2f437ad65d4fa6023ffa3f"/>
    <w:p>
      <w:pPr>
        <w:pStyle w:val="Heading4"/>
      </w:pPr>
      <w:r>
        <w:t xml:space="preserve">1.1.4 Bundle Psychology and Zero Marginal Cost Economics</w:t>
      </w:r>
    </w:p>
    <w:p>
      <w:pPr>
        <w:pStyle w:val="FirstParagraph"/>
      </w:pPr>
      <w:r>
        <w:t xml:space="preserve">The pricing strategy extends beyond individual packs into bundle architecture, where the unique economics of digital products generate outsized perceived value. Greater Than Gatsby offers a complete collection of 587 presets across eight collections for $199.20, against a stated retail value of $592 — a 66% discount that costs the seller virtually nothing in incremental production expense</w:t>
      </w:r>
      <w:r>
        <w:t xml:space="preserve"> </w:t>
      </w:r>
      <w:r>
        <w:rPr>
          <w:vertAlign w:val="superscript"/>
        </w:rPr>
        <w:t xml:space="preserve">8</w:t>
      </w:r>
      <w:r>
        <w:t xml:space="preserve">. Photoshop Actions bundles push this even further, with advertised savings of 81%</w:t>
      </w:r>
      <w:r>
        <w:t xml:space="preserve"> </w:t>
      </w:r>
      <w:r>
        <w:rPr>
          <w:vertAlign w:val="superscript"/>
        </w:rPr>
        <w:t xml:space="preserve">8</w:t>
      </w:r>
      <w:r>
        <w:t xml:space="preserve">.</w:t>
      </w:r>
    </w:p>
    <w:p>
      <w:pPr>
        <w:pStyle w:val="BodyText"/>
      </w:pPr>
      <w:r>
        <w:t xml:space="preserve">Research in behavioral economics supports the efficacy of this approach. The anchoring effect — presenting individual prices first, then the discounted bundle — significantly increases conversion rates. Studies indicate that the optimal bundle discount range of 10–25% off the sum of individual prices maximizes perceived value without eroding margin, though the zero marginal cost of digital products permits the substantially deeper discounts observed in the preset market</w:t>
      </w:r>
      <w:r>
        <w:t xml:space="preserve"> </w:t>
      </w:r>
      <w:r>
        <w:rPr>
          <w:vertAlign w:val="superscript"/>
        </w:rPr>
        <w:t xml:space="preserve">9</w:t>
      </w:r>
      <w:r>
        <w:t xml:space="preserve">. The</w:t>
      </w:r>
      <w:r>
        <w:t xml:space="preserve"> </w:t>
      </w:r>
      <w:r>
        <w:t xml:space="preserve">“</w:t>
      </w:r>
      <w:r>
        <w:t xml:space="preserve">decoy effect</w:t>
      </w:r>
      <w:r>
        <w:t xml:space="preserve">”</w:t>
      </w:r>
      <w:r>
        <w:t xml:space="preserve"> </w:t>
      </w:r>
      <w:r>
        <w:t xml:space="preserve">further amplifies this: adding a deliberately less-attractive tier can shift 40–60% of buyers toward a higher-value option. Three-tier pricing (basic, premium, flagship) with the middle tier designated</w:t>
      </w:r>
      <w:r>
        <w:t xml:space="preserve"> </w:t>
      </w:r>
      <w:r>
        <w:t xml:space="preserve">“</w:t>
      </w:r>
      <w:r>
        <w:t xml:space="preserve">most popular</w:t>
      </w:r>
      <w:r>
        <w:t xml:space="preserve">”</w:t>
      </w:r>
      <w:r>
        <w:t xml:space="preserve"> </w:t>
      </w:r>
      <w:r>
        <w:t xml:space="preserve">has become the industry standard for maximizing average order value.</w:t>
      </w:r>
    </w:p>
    <w:p>
      <w:pPr>
        <w:pStyle w:val="BodyText"/>
      </w:pPr>
      <w:r>
        <w:t xml:space="preserve">The economics are compelling. A digital product with 90%+ profit margins can sustain extreme bundle discounts because every additional copy distributed incurs near-zero marginal cost — no manufacturing, no warehousing, no shipping. The bundle buyer receives volume; the seller receives revenue that would not materialize if the buyer were forced to purchase individual packs at full price. This dynamic, borrowed from software licensing economics, underpins the entire premium preset marketplace.</w:t>
      </w:r>
    </w:p>
    <w:bookmarkEnd w:id="23"/>
    <w:bookmarkEnd w:id="24"/>
    <w:bookmarkStart w:id="29" w:name="key-players-and-competitive-mapping"/>
    <w:p>
      <w:pPr>
        <w:pStyle w:val="Heading3"/>
      </w:pPr>
      <w:r>
        <w:t xml:space="preserve">1.2 Key Players and Competitive Mapping</w:t>
      </w:r>
    </w:p>
    <w:p>
      <w:pPr>
        <w:pStyle w:val="FirstParagraph"/>
      </w:pPr>
      <w:r>
        <w:t xml:space="preserve">The competitive landscape of premium color grading tools can be categorized into three tiers defined by technical sophistication, pricing power, and creator reputation. Understanding this hierarchy is essential for positioning any new entrant, as the tier in which a product is perceived determines not only its pricing latitude but also its audience, distribution channels, and vulnerability to competitive disruption.</w:t>
      </w:r>
    </w:p>
    <w:bookmarkStart w:id="25" w:name="tier-1-elite-creators"/>
    <w:p>
      <w:pPr>
        <w:pStyle w:val="Heading4"/>
      </w:pPr>
      <w:r>
        <w:t xml:space="preserve">1.2.1 Tier 1 Elite Creators</w:t>
      </w:r>
    </w:p>
    <w:p>
      <w:pPr>
        <w:pStyle w:val="FirstParagraph"/>
      </w:pPr>
      <w:r>
        <w:t xml:space="preserve">At the apex of the market stand creators whose products have achieved near-generic status within their respective niches — their names invoked as shorthand for specific aesthetic categories.</w:t>
      </w:r>
    </w:p>
    <w:p>
      <w:pPr>
        <w:pStyle w:val="BodyText"/>
      </w:pPr>
      <w:r>
        <w:rPr>
          <w:bCs/>
          <w:b/>
        </w:rPr>
        <w:t xml:space="preserve">Mastin Labs</w:t>
      </w:r>
      <w:r>
        <w:t xml:space="preserve"> </w:t>
      </w:r>
      <w:r>
        <w:t xml:space="preserve">has established itself as the benchmark for film emulation authenticity. Its $99 individual packs — Portra Original, Fuji Original, Adventure Everyday, Vintage Slide, Artisan B&amp;W — are constructed around a three-step workflow (import, adjust exposure and white balance, export) that emphasizes operational simplicity alongside technical accuracy</w:t>
      </w:r>
      <w:r>
        <w:t xml:space="preserve"> </w:t>
      </w:r>
      <w:r>
        <w:rPr>
          <w:vertAlign w:val="superscript"/>
        </w:rPr>
        <w:t xml:space="preserve">5</w:t>
      </w:r>
      <w:r>
        <w:t xml:space="preserve">. The brand’s positioning as the gold standard for natural skin tone preservation has made it particularly dominant in wedding and portrait photography circles, where client-facing consistency is non-negotiable.</w:t>
      </w:r>
    </w:p>
    <w:p>
      <w:pPr>
        <w:pStyle w:val="BodyText"/>
      </w:pPr>
      <w:r>
        <w:rPr>
          <w:bCs/>
          <w:b/>
        </w:rPr>
        <w:t xml:space="preserve">DVLOP</w:t>
      </w:r>
      <w:r>
        <w:t xml:space="preserve"> </w:t>
      </w:r>
      <w:r>
        <w:t xml:space="preserve">operates a curated marketplace model in which each preset pack is developed by a different acclaimed photographer — Jose Villa, Caroline Tran, Gabe McClintock, Chris Burkard — using proprietary dual-illuminant camera profiles and ISO-adaptive technology</w:t>
      </w:r>
      <w:r>
        <w:t xml:space="preserve"> </w:t>
      </w:r>
      <w:r>
        <w:rPr>
          <w:vertAlign w:val="superscript"/>
        </w:rPr>
        <w:t xml:space="preserve">6</w:t>
      </w:r>
      <w:r>
        <w:t xml:space="preserve">. The ISO-adaptive feature represents a significant technical differentiator: settings such as grain automatically adjust based on the source image’s ISO, producing more consistent results across varying lighting conditions than static presets can achieve. Prices range from $75 to over $200 depending on the creator, with quality varying commensurately.</w:t>
      </w:r>
    </w:p>
    <w:p>
      <w:pPr>
        <w:pStyle w:val="BodyText"/>
      </w:pPr>
      <w:r>
        <w:rPr>
          <w:bCs/>
          <w:b/>
        </w:rPr>
        <w:t xml:space="preserve">RNI (Really Nice Images)</w:t>
      </w:r>
      <w:r>
        <w:t xml:space="preserve"> </w:t>
      </w:r>
      <w:r>
        <w:t xml:space="preserve">distinguishes itself through a fully profile-based design that eschews conventional Lightroom sliders in favor of operating at the RAW processing level. RNI All Films 5 features 180+ film simulations across seven categories — Black and White, Infrared, Instant, Negative, Slide, Vintage — achieving what the company describes as</w:t>
      </w:r>
      <w:r>
        <w:t xml:space="preserve"> </w:t>
      </w:r>
      <w:r>
        <w:t xml:space="preserve">“</w:t>
      </w:r>
      <w:r>
        <w:t xml:space="preserve">film-like tonal response by using otherwise hidden data from your RAW files</w:t>
      </w:r>
      <w:r>
        <w:t xml:space="preserve">”</w:t>
      </w:r>
      <w:r>
        <w:t xml:space="preserve"> </w:t>
      </w:r>
      <w:r>
        <w:rPr>
          <w:vertAlign w:val="superscript"/>
        </w:rPr>
        <w:t xml:space="preserve">10</w:t>
      </w:r>
      <w:r>
        <w:t xml:space="preserve">. The highlight compression algorithm prevents highlight clipping regardless of exposure adjustments, a technically advanced feature that amateur preset creators cannot replicate</w:t>
      </w:r>
      <w:r>
        <w:t xml:space="preserve"> </w:t>
      </w:r>
      <w:r>
        <w:rPr>
          <w:vertAlign w:val="superscript"/>
        </w:rPr>
        <w:t xml:space="preserve">7</w:t>
      </w:r>
      <w:r>
        <w:t xml:space="preserve">. Pricing spans $82 for Lite versions to $192 for Pro packs.</w:t>
      </w:r>
    </w:p>
    <w:p>
      <w:pPr>
        <w:pStyle w:val="BodyText"/>
      </w:pPr>
      <w:r>
        <w:rPr>
          <w:bCs/>
          <w:b/>
        </w:rPr>
        <w:t xml:space="preserve">The Archetype Process (TAP)</w:t>
      </w:r>
      <w:r>
        <w:t xml:space="preserve">, founded by former film lab photo editor Dustin Stockel, pursues scientific film emulation through a</w:t>
      </w:r>
      <w:r>
        <w:t xml:space="preserve"> </w:t>
      </w:r>
      <w:r>
        <w:t xml:space="preserve">“</w:t>
      </w:r>
      <w:r>
        <w:t xml:space="preserve">continuously developed process</w:t>
      </w:r>
      <w:r>
        <w:t xml:space="preserve">”</w:t>
      </w:r>
      <w:r>
        <w:t xml:space="preserve"> </w:t>
      </w:r>
      <w:r>
        <w:t xml:space="preserve">that preserves the true colors of actual film scans</w:t>
      </w:r>
      <w:r>
        <w:t xml:space="preserve"> </w:t>
      </w:r>
      <w:r>
        <w:rPr>
          <w:vertAlign w:val="superscript"/>
        </w:rPr>
        <w:t xml:space="preserve">11</w:t>
      </w:r>
      <w:r>
        <w:t xml:space="preserve">. TAP products are technically camera profiles rather than conventional presets — they work at the RAW interpretation level before any slider adjustments are applied — producing nuanced transformations that profile-based approaches make possible but slider-based methods cannot achieve.</w:t>
      </w:r>
    </w:p>
    <w:p>
      <w:pPr>
        <w:pStyle w:val="BodyText"/>
      </w:pPr>
      <w:r>
        <w:rPr>
          <w:bCs/>
          <w:b/>
        </w:rPr>
        <w:t xml:space="preserve">Meridian Presets</w:t>
      </w:r>
      <w:r>
        <w:t xml:space="preserve"> </w:t>
      </w:r>
      <w:r>
        <w:t xml:space="preserve">employs a multi-creator gallery model with over twelve premium packs created by different top-tier photographers, priced between $59 and $99 per pack. Notable contributors include Benj Haisch (Cascade, $79–$99), Jennifer Moher (Slate &amp; Ivory series), Meg Loeks (Solstice), and Pablo Beglez (PBX)</w:t>
      </w:r>
      <w:r>
        <w:t xml:space="preserve"> </w:t>
      </w:r>
      <w:r>
        <w:rPr>
          <w:vertAlign w:val="superscript"/>
        </w:rPr>
        <w:t xml:space="preserve">12</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Brand</w:t>
            </w:r>
          </w:p>
        </w:tc>
        <w:tc>
          <w:tcPr/>
          <w:p>
            <w:pPr>
              <w:pStyle w:val="Compact"/>
              <w:jc w:val="left"/>
            </w:pPr>
            <w:r>
              <w:t xml:space="preserve">Specialty</w:t>
            </w:r>
          </w:p>
        </w:tc>
        <w:tc>
          <w:tcPr/>
          <w:p>
            <w:pPr>
              <w:pStyle w:val="Compact"/>
              <w:jc w:val="left"/>
            </w:pPr>
            <w:r>
              <w:t xml:space="preserve">Price Range</w:t>
            </w:r>
          </w:p>
        </w:tc>
        <w:tc>
          <w:tcPr/>
          <w:p>
            <w:pPr>
              <w:pStyle w:val="Compact"/>
              <w:jc w:val="left"/>
            </w:pPr>
            <w:r>
              <w:t xml:space="preserve">Key Technical Differentiator</w:t>
            </w:r>
          </w:p>
        </w:tc>
      </w:tr>
      <w:tr>
        <w:tc>
          <w:tcPr/>
          <w:p>
            <w:pPr>
              <w:pStyle w:val="Compact"/>
              <w:jc w:val="left"/>
            </w:pPr>
            <w:r>
              <w:t xml:space="preserve">Tier 1 Elite</w:t>
            </w:r>
          </w:p>
        </w:tc>
        <w:tc>
          <w:tcPr/>
          <w:p>
            <w:pPr>
              <w:pStyle w:val="Compact"/>
              <w:jc w:val="left"/>
            </w:pPr>
            <w:r>
              <w:t xml:space="preserve">Mastin Labs</w:t>
            </w:r>
          </w:p>
        </w:tc>
        <w:tc>
          <w:tcPr/>
          <w:p>
            <w:pPr>
              <w:pStyle w:val="Compact"/>
              <w:jc w:val="left"/>
            </w:pPr>
            <w:r>
              <w:t xml:space="preserve">Film emulation (Kodak, Fuji, Ilford)</w:t>
            </w:r>
          </w:p>
        </w:tc>
        <w:tc>
          <w:tcPr/>
          <w:p>
            <w:pPr>
              <w:pStyle w:val="Compact"/>
              <w:jc w:val="left"/>
            </w:pPr>
            <w:r>
              <w:t xml:space="preserve">$99/pack</w:t>
            </w:r>
            <w:r>
              <w:t xml:space="preserve"> </w:t>
            </w:r>
            <w:r>
              <w:rPr>
                <w:vertAlign w:val="superscript"/>
              </w:rPr>
              <w:t xml:space="preserve">5</w:t>
            </w:r>
          </w:p>
        </w:tc>
        <w:tc>
          <w:tcPr/>
          <w:p>
            <w:pPr>
              <w:pStyle w:val="Compact"/>
              <w:jc w:val="left"/>
            </w:pPr>
            <w:r>
              <w:t xml:space="preserve">Authentic skin tone preservation; 3-step workflow</w:t>
            </w:r>
          </w:p>
        </w:tc>
      </w:tr>
      <w:tr>
        <w:tc>
          <w:tcPr/>
          <w:p>
            <w:pPr>
              <w:pStyle w:val="Compact"/>
              <w:jc w:val="left"/>
            </w:pPr>
            <w:r>
              <w:t xml:space="preserve">Tier 1 Elite</w:t>
            </w:r>
          </w:p>
        </w:tc>
        <w:tc>
          <w:tcPr/>
          <w:p>
            <w:pPr>
              <w:pStyle w:val="Compact"/>
              <w:jc w:val="left"/>
            </w:pPr>
            <w:r>
              <w:t xml:space="preserve">DVLOP</w:t>
            </w:r>
          </w:p>
        </w:tc>
        <w:tc>
          <w:tcPr/>
          <w:p>
            <w:pPr>
              <w:pStyle w:val="Compact"/>
              <w:jc w:val="left"/>
            </w:pPr>
            <w:r>
              <w:t xml:space="preserve">Curated creator marketplace</w:t>
            </w:r>
          </w:p>
        </w:tc>
        <w:tc>
          <w:tcPr/>
          <w:p>
            <w:pPr>
              <w:pStyle w:val="Compact"/>
              <w:jc w:val="left"/>
            </w:pPr>
            <w:r>
              <w:t xml:space="preserve">$75–$200/pack</w:t>
            </w:r>
            <w:r>
              <w:t xml:space="preserve"> </w:t>
            </w:r>
            <w:r>
              <w:rPr>
                <w:vertAlign w:val="superscript"/>
              </w:rPr>
              <w:t xml:space="preserve">6</w:t>
            </w:r>
          </w:p>
        </w:tc>
        <w:tc>
          <w:tcPr/>
          <w:p>
            <w:pPr>
              <w:pStyle w:val="Compact"/>
              <w:jc w:val="left"/>
            </w:pPr>
            <w:r>
              <w:t xml:space="preserve">Dual-illuminant camera profiles; ISO-adaptive technology</w:t>
            </w:r>
          </w:p>
        </w:tc>
      </w:tr>
      <w:tr>
        <w:tc>
          <w:tcPr/>
          <w:p>
            <w:pPr>
              <w:pStyle w:val="Compact"/>
              <w:jc w:val="left"/>
            </w:pPr>
            <w:r>
              <w:t xml:space="preserve">Tier 1 Elite</w:t>
            </w:r>
          </w:p>
        </w:tc>
        <w:tc>
          <w:tcPr/>
          <w:p>
            <w:pPr>
              <w:pStyle w:val="Compact"/>
              <w:jc w:val="left"/>
            </w:pPr>
            <w:r>
              <w:t xml:space="preserve">RNI</w:t>
            </w:r>
          </w:p>
        </w:tc>
        <w:tc>
          <w:tcPr/>
          <w:p>
            <w:pPr>
              <w:pStyle w:val="Compact"/>
              <w:jc w:val="left"/>
            </w:pPr>
            <w:r>
              <w:t xml:space="preserve">Profile-based film simulation</w:t>
            </w:r>
          </w:p>
        </w:tc>
        <w:tc>
          <w:tcPr/>
          <w:p>
            <w:pPr>
              <w:pStyle w:val="Compact"/>
              <w:jc w:val="left"/>
            </w:pPr>
            <w:r>
              <w:t xml:space="preserve">$82–$192/pack</w:t>
            </w:r>
            <w:r>
              <w:t xml:space="preserve"> </w:t>
            </w:r>
            <w:r>
              <w:rPr>
                <w:vertAlign w:val="superscript"/>
              </w:rPr>
              <w:t xml:space="preserve">7</w:t>
            </w:r>
          </w:p>
        </w:tc>
        <w:tc>
          <w:tcPr/>
          <w:p>
            <w:pPr>
              <w:pStyle w:val="Compact"/>
              <w:jc w:val="left"/>
            </w:pPr>
            <w:r>
              <w:t xml:space="preserve">Profile-based RAW-level processing; 180+ film stocks</w:t>
            </w:r>
          </w:p>
        </w:tc>
      </w:tr>
      <w:tr>
        <w:tc>
          <w:tcPr/>
          <w:p>
            <w:pPr>
              <w:pStyle w:val="Compact"/>
              <w:jc w:val="left"/>
            </w:pPr>
            <w:r>
              <w:t xml:space="preserve">Tier 1 Elite</w:t>
            </w:r>
          </w:p>
        </w:tc>
        <w:tc>
          <w:tcPr/>
          <w:p>
            <w:pPr>
              <w:pStyle w:val="Compact"/>
              <w:jc w:val="left"/>
            </w:pPr>
            <w:r>
              <w:t xml:space="preserve">The Archetype Process</w:t>
            </w:r>
          </w:p>
        </w:tc>
        <w:tc>
          <w:tcPr/>
          <w:p>
            <w:pPr>
              <w:pStyle w:val="Compact"/>
              <w:jc w:val="left"/>
            </w:pPr>
            <w:r>
              <w:t xml:space="preserve">Scientific film profiles</w:t>
            </w:r>
          </w:p>
        </w:tc>
        <w:tc>
          <w:tcPr/>
          <w:p>
            <w:pPr>
              <w:pStyle w:val="Compact"/>
              <w:jc w:val="left"/>
            </w:pPr>
            <w:r>
              <w:t xml:space="preserve">$80–$150</w:t>
            </w:r>
            <w:r>
              <w:t xml:space="preserve"> </w:t>
            </w:r>
            <w:r>
              <w:rPr>
                <w:vertAlign w:val="superscript"/>
              </w:rPr>
              <w:t xml:space="preserve">11</w:t>
            </w:r>
          </w:p>
        </w:tc>
        <w:tc>
          <w:tcPr/>
          <w:p>
            <w:pPr>
              <w:pStyle w:val="Compact"/>
              <w:jc w:val="left"/>
            </w:pPr>
            <w:r>
              <w:t xml:space="preserve">Film scan color preservation; RAW-level profiles</w:t>
            </w:r>
          </w:p>
        </w:tc>
      </w:tr>
      <w:tr>
        <w:tc>
          <w:tcPr/>
          <w:p>
            <w:pPr>
              <w:pStyle w:val="Compact"/>
              <w:jc w:val="left"/>
            </w:pPr>
            <w:r>
              <w:t xml:space="preserve">Tier 1 Elite</w:t>
            </w:r>
          </w:p>
        </w:tc>
        <w:tc>
          <w:tcPr/>
          <w:p>
            <w:pPr>
              <w:pStyle w:val="Compact"/>
              <w:jc w:val="left"/>
            </w:pPr>
            <w:r>
              <w:t xml:space="preserve">Meridian Presets</w:t>
            </w:r>
          </w:p>
        </w:tc>
        <w:tc>
          <w:tcPr/>
          <w:p>
            <w:pPr>
              <w:pStyle w:val="Compact"/>
              <w:jc w:val="left"/>
            </w:pPr>
            <w:r>
              <w:t xml:space="preserve">Multi-creator gallery</w:t>
            </w:r>
          </w:p>
        </w:tc>
        <w:tc>
          <w:tcPr/>
          <w:p>
            <w:pPr>
              <w:pStyle w:val="Compact"/>
              <w:jc w:val="left"/>
            </w:pPr>
            <w:r>
              <w:t xml:space="preserve">$59–$99/pack</w:t>
            </w:r>
            <w:r>
              <w:t xml:space="preserve"> </w:t>
            </w:r>
            <w:r>
              <w:rPr>
                <w:vertAlign w:val="superscript"/>
              </w:rPr>
              <w:t xml:space="preserve">12</w:t>
            </w:r>
          </w:p>
        </w:tc>
        <w:tc>
          <w:tcPr/>
          <w:p>
            <w:pPr>
              <w:pStyle w:val="Compact"/>
              <w:jc w:val="left"/>
            </w:pPr>
            <w:r>
              <w:t xml:space="preserve">Curated photographer collaborations</w:t>
            </w:r>
          </w:p>
        </w:tc>
      </w:tr>
      <w:tr>
        <w:tc>
          <w:tcPr/>
          <w:p>
            <w:pPr>
              <w:pStyle w:val="Compact"/>
              <w:jc w:val="left"/>
            </w:pPr>
            <w:r>
              <w:t xml:space="preserve">Tier 2 Premium</w:t>
            </w:r>
          </w:p>
        </w:tc>
        <w:tc>
          <w:tcPr/>
          <w:p>
            <w:pPr>
              <w:pStyle w:val="Compact"/>
              <w:jc w:val="left"/>
            </w:pPr>
            <w:r>
              <w:t xml:space="preserve">Noble Presets</w:t>
            </w:r>
          </w:p>
        </w:tc>
        <w:tc>
          <w:tcPr/>
          <w:p>
            <w:pPr>
              <w:pStyle w:val="Compact"/>
              <w:jc w:val="left"/>
            </w:pPr>
            <w:r>
              <w:t xml:space="preserve">Luxury fine-art wedding</w:t>
            </w:r>
          </w:p>
        </w:tc>
        <w:tc>
          <w:tcPr/>
          <w:p>
            <w:pPr>
              <w:pStyle w:val="Compact"/>
              <w:jc w:val="left"/>
            </w:pPr>
            <w:r>
              <w:t xml:space="preserve">$99–$149</w:t>
            </w:r>
            <w:r>
              <w:t xml:space="preserve"> </w:t>
            </w:r>
            <w:r>
              <w:rPr>
                <w:vertAlign w:val="superscript"/>
              </w:rPr>
              <w:t xml:space="preserve">13</w:t>
            </w:r>
          </w:p>
        </w:tc>
        <w:tc>
          <w:tcPr/>
          <w:p>
            <w:pPr>
              <w:pStyle w:val="Compact"/>
              <w:jc w:val="left"/>
            </w:pPr>
            <w:r>
              <w:t xml:space="preserve">Contax 645 medium-format emulation; 20+ Enhancer toolkit</w:t>
            </w:r>
          </w:p>
        </w:tc>
      </w:tr>
      <w:tr>
        <w:tc>
          <w:tcPr/>
          <w:p>
            <w:pPr>
              <w:pStyle w:val="Compact"/>
              <w:jc w:val="left"/>
            </w:pPr>
            <w:r>
              <w:t xml:space="preserve">Tier 2 Premium</w:t>
            </w:r>
          </w:p>
        </w:tc>
        <w:tc>
          <w:tcPr/>
          <w:p>
            <w:pPr>
              <w:pStyle w:val="Compact"/>
              <w:jc w:val="left"/>
            </w:pPr>
            <w:r>
              <w:t xml:space="preserve">REFINED Co.</w:t>
            </w:r>
          </w:p>
        </w:tc>
        <w:tc>
          <w:tcPr/>
          <w:p>
            <w:pPr>
              <w:pStyle w:val="Compact"/>
              <w:jc w:val="left"/>
            </w:pPr>
            <w:r>
              <w:t xml:space="preserve">Fuji 400H film collaboration</w:t>
            </w:r>
          </w:p>
        </w:tc>
        <w:tc>
          <w:tcPr/>
          <w:p>
            <w:pPr>
              <w:pStyle w:val="Compact"/>
              <w:jc w:val="left"/>
            </w:pPr>
            <w:r>
              <w:t xml:space="preserve">$8–$12/pack</w:t>
            </w:r>
            <w:r>
              <w:t xml:space="preserve"> </w:t>
            </w:r>
            <w:r>
              <w:rPr>
                <w:vertAlign w:val="superscript"/>
              </w:rPr>
              <w:t xml:space="preserve">14</w:t>
            </w:r>
          </w:p>
        </w:tc>
        <w:tc>
          <w:tcPr/>
          <w:p>
            <w:pPr>
              <w:pStyle w:val="Compact"/>
              <w:jc w:val="left"/>
            </w:pPr>
            <w:r>
              <w:t xml:space="preserve">Photographer collaboration model; 20,000+ units sold</w:t>
            </w:r>
          </w:p>
        </w:tc>
      </w:tr>
      <w:tr>
        <w:tc>
          <w:tcPr/>
          <w:p>
            <w:pPr>
              <w:pStyle w:val="Compact"/>
              <w:jc w:val="left"/>
            </w:pPr>
            <w:r>
              <w:t xml:space="preserve">Tier 2 Premium</w:t>
            </w:r>
          </w:p>
        </w:tc>
        <w:tc>
          <w:tcPr/>
          <w:p>
            <w:pPr>
              <w:pStyle w:val="Compact"/>
              <w:jc w:val="left"/>
            </w:pPr>
            <w:r>
              <w:t xml:space="preserve">Roots Presets</w:t>
            </w:r>
          </w:p>
        </w:tc>
        <w:tc>
          <w:tcPr/>
          <w:p>
            <w:pPr>
              <w:pStyle w:val="Compact"/>
              <w:jc w:val="left"/>
            </w:pPr>
            <w:r>
              <w:t xml:space="preserve">Luxury wedding editorial</w:t>
            </w:r>
          </w:p>
        </w:tc>
        <w:tc>
          <w:tcPr/>
          <w:p>
            <w:pPr>
              <w:pStyle w:val="Compact"/>
              <w:jc w:val="left"/>
            </w:pPr>
            <w:r>
              <w:t xml:space="preserve">~$50–$80</w:t>
            </w:r>
            <w:r>
              <w:t xml:space="preserve"> </w:t>
            </w:r>
            <w:r>
              <w:rPr>
                <w:vertAlign w:val="superscript"/>
              </w:rPr>
              <w:t xml:space="preserve">15</w:t>
            </w:r>
          </w:p>
        </w:tc>
        <w:tc>
          <w:tcPr/>
          <w:p>
            <w:pPr>
              <w:pStyle w:val="Compact"/>
              <w:jc w:val="left"/>
            </w:pPr>
            <w:r>
              <w:t xml:space="preserve">Cross-camera testing across 1,000s of images</w:t>
            </w:r>
          </w:p>
        </w:tc>
      </w:tr>
      <w:tr>
        <w:tc>
          <w:tcPr/>
          <w:p>
            <w:pPr>
              <w:pStyle w:val="Compact"/>
              <w:jc w:val="left"/>
            </w:pPr>
            <w:r>
              <w:t xml:space="preserve">Tier 2 Premium</w:t>
            </w:r>
          </w:p>
        </w:tc>
        <w:tc>
          <w:tcPr/>
          <w:p>
            <w:pPr>
              <w:pStyle w:val="Compact"/>
              <w:jc w:val="left"/>
            </w:pPr>
            <w:r>
              <w:t xml:space="preserve">Greater Than Gatsby</w:t>
            </w:r>
          </w:p>
        </w:tc>
        <w:tc>
          <w:tcPr/>
          <w:p>
            <w:pPr>
              <w:pStyle w:val="Compact"/>
              <w:jc w:val="left"/>
            </w:pPr>
            <w:r>
              <w:t xml:space="preserve">Multi-collection bundles</w:t>
            </w:r>
          </w:p>
        </w:tc>
        <w:tc>
          <w:tcPr/>
          <w:p>
            <w:pPr>
              <w:pStyle w:val="Compact"/>
              <w:jc w:val="left"/>
            </w:pPr>
            <w:r>
              <w:t xml:space="preserve">$199 bundle</w:t>
            </w:r>
            <w:r>
              <w:t xml:space="preserve"> </w:t>
            </w:r>
            <w:r>
              <w:rPr>
                <w:vertAlign w:val="superscript"/>
              </w:rPr>
              <w:t xml:space="preserve">8</w:t>
            </w:r>
          </w:p>
        </w:tc>
        <w:tc>
          <w:tcPr/>
          <w:p>
            <w:pPr>
              <w:pStyle w:val="Compact"/>
              <w:jc w:val="left"/>
            </w:pPr>
            <w:r>
              <w:t xml:space="preserve">587 presets across 8 collections; 66% bundle discount</w:t>
            </w:r>
          </w:p>
        </w:tc>
      </w:tr>
      <w:tr>
        <w:tc>
          <w:tcPr/>
          <w:p>
            <w:pPr>
              <w:pStyle w:val="Compact"/>
              <w:jc w:val="left"/>
            </w:pPr>
            <w:r>
              <w:t xml:space="preserve">Tier 2 Premium</w:t>
            </w:r>
          </w:p>
        </w:tc>
        <w:tc>
          <w:tcPr/>
          <w:p>
            <w:pPr>
              <w:pStyle w:val="Compact"/>
              <w:jc w:val="left"/>
            </w:pPr>
            <w:r>
              <w:t xml:space="preserve">Phil Chester</w:t>
            </w:r>
          </w:p>
        </w:tc>
        <w:tc>
          <w:tcPr/>
          <w:p>
            <w:pPr>
              <w:pStyle w:val="Compact"/>
              <w:jc w:val="left"/>
            </w:pPr>
            <w:r>
              <w:t xml:space="preserve">Earthy film wedding</w:t>
            </w:r>
          </w:p>
        </w:tc>
        <w:tc>
          <w:tcPr/>
          <w:p>
            <w:pPr>
              <w:pStyle w:val="Compact"/>
              <w:jc w:val="left"/>
            </w:pPr>
            <w:r>
              <w:t xml:space="preserve">$89</w:t>
            </w:r>
            <w:r>
              <w:t xml:space="preserve"> </w:t>
            </w:r>
            <w:r>
              <w:rPr>
                <w:vertAlign w:val="superscript"/>
              </w:rPr>
              <w:t xml:space="preserve">16</w:t>
            </w:r>
          </w:p>
        </w:tc>
        <w:tc>
          <w:tcPr/>
          <w:p>
            <w:pPr>
              <w:pStyle w:val="Compact"/>
              <w:jc w:val="left"/>
            </w:pPr>
            <w:r>
              <w:t xml:space="preserve">Three-tier pack system (Essential/Editorial/PS)</w:t>
            </w:r>
          </w:p>
        </w:tc>
      </w:tr>
    </w:tbl>
    <w:p>
      <w:pPr>
        <w:pStyle w:val="BodyText"/>
      </w:pPr>
      <w:r>
        <w:rPr>
          <w:iCs/>
          <w:i/>
        </w:rPr>
        <w:t xml:space="preserve">Table 2: Competitive mapping of Tier 1 and Tier 2 premium preset creators. Price ranges reflect standard retail pricing as of mid-2025; bundle and promotional pricing may vary. Technical differentiators indicate the primary value proposition beyond aesthetic style.</w:t>
      </w:r>
    </w:p>
    <w:p>
      <w:pPr>
        <w:pStyle w:val="BodyText"/>
      </w:pPr>
      <w:r>
        <w:t xml:space="preserve">The analytical significance of this competitive architecture lies in the concentration of pricing power among Tier 1 creators. The $75–$200 range is not arbitrary — it represents the threshold at which scientific film emulation crosses from commodity into craft. Below $75, products compete primarily on volume and aesthetic novelty; above $75, they must demonstrate technical rigor (camera profiling, film scan accuracy, profile-based construction) to justify premium positioning. This pricing band also aligns with the psychology of professional photography equipment purchases, where practitioners accustomed to spending thousands on camera bodies and lenses view $100–$200 as a modest investment in workflow consistency.</w:t>
      </w:r>
    </w:p>
    <w:bookmarkEnd w:id="25"/>
    <w:bookmarkStart w:id="26" w:name="tier-2-premium-competitors"/>
    <w:p>
      <w:pPr>
        <w:pStyle w:val="Heading4"/>
      </w:pPr>
      <w:r>
        <w:t xml:space="preserve">1.2.2 Tier 2 Premium Competitors</w:t>
      </w:r>
    </w:p>
    <w:p>
      <w:pPr>
        <w:pStyle w:val="FirstParagraph"/>
      </w:pPr>
      <w:r>
        <w:t xml:space="preserve">The second tier comprises brands that command respect within specific niches but lack the cross-genre recognition of Tier 1 leaders.</w:t>
      </w:r>
      <w:r>
        <w:t xml:space="preserve"> </w:t>
      </w:r>
      <w:r>
        <w:rPr>
          <w:bCs/>
          <w:b/>
        </w:rPr>
        <w:t xml:space="preserve">Noble Presets</w:t>
      </w:r>
      <w:r>
        <w:t xml:space="preserve">, created by photographer KT Merry and priced at $149 for the Signature Pack (discounted to $99), is explicitly</w:t>
      </w:r>
      <w:r>
        <w:t xml:space="preserve"> </w:t>
      </w:r>
      <w:r>
        <w:t xml:space="preserve">“</w:t>
      </w:r>
      <w:r>
        <w:t xml:space="preserve">engineered to produce luminous, bright, and elegant images reminiscent of medium-format film shot on a Contax 645</w:t>
      </w:r>
      <w:r>
        <w:t xml:space="preserve">”</w:t>
      </w:r>
      <w:r>
        <w:t xml:space="preserve"> </w:t>
      </w:r>
      <w:r>
        <w:rPr>
          <w:vertAlign w:val="superscript"/>
        </w:rPr>
        <w:t xml:space="preserve">13</w:t>
      </w:r>
      <w:r>
        <w:t xml:space="preserve">— a positioning that targets the luxury wedding segment with surgical precision. The inclusion of over twenty Enhancer tools extends the product from a simple preset pack into a comprehensive editing system.</w:t>
      </w:r>
    </w:p>
    <w:p>
      <w:pPr>
        <w:pStyle w:val="BodyText"/>
      </w:pPr>
      <w:r>
        <w:rPr>
          <w:bCs/>
          <w:b/>
        </w:rPr>
        <w:t xml:space="preserve">REFINED Co.</w:t>
      </w:r>
      <w:r>
        <w:t xml:space="preserve"> </w:t>
      </w:r>
      <w:r>
        <w:t xml:space="preserve">has sold over 20,000 presets through collaborations with photographers Caroline Tran and KT Merry, with desktop packs priced at approximately $8–$12</w:t>
      </w:r>
      <w:r>
        <w:t xml:space="preserve"> </w:t>
      </w:r>
      <w:r>
        <w:rPr>
          <w:vertAlign w:val="superscript"/>
        </w:rPr>
        <w:t xml:space="preserve">14</w:t>
      </w:r>
      <w:r>
        <w:t xml:space="preserve">. The brand’s Fuji 400H emulation is particularly respected among wedding photographers seeking the soft, pastel characteristic of that discontinued film stock.</w:t>
      </w:r>
      <w:r>
        <w:t xml:space="preserve"> </w:t>
      </w:r>
      <w:r>
        <w:rPr>
          <w:bCs/>
          <w:b/>
        </w:rPr>
        <w:t xml:space="preserve">Roots Presets</w:t>
      </w:r>
      <w:r>
        <w:t xml:space="preserve"> </w:t>
      </w:r>
      <w:r>
        <w:t xml:space="preserve">positions its Chérie line as</w:t>
      </w:r>
      <w:r>
        <w:t xml:space="preserve"> </w:t>
      </w:r>
      <w:r>
        <w:t xml:space="preserve">“</w:t>
      </w:r>
      <w:r>
        <w:t xml:space="preserve">the industry standard for luxury wedding preset tones,</w:t>
      </w:r>
      <w:r>
        <w:t xml:space="preserve">”</w:t>
      </w:r>
      <w:r>
        <w:t xml:space="preserve"> </w:t>
      </w:r>
      <w:r>
        <w:t xml:space="preserve">designed with editorial restraint and tested across thousands of images from multiple camera brands</w:t>
      </w:r>
      <w:r>
        <w:t xml:space="preserve"> </w:t>
      </w:r>
      <w:r>
        <w:rPr>
          <w:vertAlign w:val="superscript"/>
        </w:rPr>
        <w:t xml:space="preserve">15</w:t>
      </w:r>
      <w:r>
        <w:t xml:space="preserve">.</w:t>
      </w:r>
      <w:r>
        <w:t xml:space="preserve"> </w:t>
      </w:r>
      <w:r>
        <w:rPr>
          <w:bCs/>
          <w:b/>
        </w:rPr>
        <w:t xml:space="preserve">Greater Than Gatsby</w:t>
      </w:r>
      <w:r>
        <w:t xml:space="preserve"> </w:t>
      </w:r>
      <w:r>
        <w:t xml:space="preserve">competes on volume — 587 presets at $199 — targeting photographers who value variety over curation</w:t>
      </w:r>
      <w:r>
        <w:t xml:space="preserve"> </w:t>
      </w:r>
      <w:r>
        <w:rPr>
          <w:vertAlign w:val="superscript"/>
        </w:rPr>
        <w:t xml:space="preserve">8</w:t>
      </w:r>
      <w:r>
        <w:t xml:space="preserve">.</w:t>
      </w:r>
      <w:r>
        <w:t xml:space="preserve"> </w:t>
      </w:r>
      <w:r>
        <w:rPr>
          <w:bCs/>
          <w:b/>
        </w:rPr>
        <w:t xml:space="preserve">Phil Chester</w:t>
      </w:r>
      <w:r>
        <w:t xml:space="preserve">’s $89 three-pack system (Essential, Editorial, PS) has achieved iconic status in wedding photography circles for its earthy, film-inspired tonality</w:t>
      </w:r>
      <w:r>
        <w:t xml:space="preserve"> </w:t>
      </w:r>
      <w:r>
        <w:rPr>
          <w:vertAlign w:val="superscript"/>
        </w:rPr>
        <w:t xml:space="preserve">16</w:t>
      </w:r>
      <w:r>
        <w:t xml:space="preserve">.</w:t>
      </w:r>
    </w:p>
    <w:bookmarkEnd w:id="26"/>
    <w:bookmarkStart w:id="27" w:name="lut-specialists"/>
    <w:p>
      <w:pPr>
        <w:pStyle w:val="Heading4"/>
      </w:pPr>
      <w:r>
        <w:t xml:space="preserve">1.2.3 LUT Specialists</w:t>
      </w:r>
    </w:p>
    <w:p>
      <w:pPr>
        <w:pStyle w:val="FirstParagraph"/>
      </w:pPr>
      <w:r>
        <w:t xml:space="preserve">The video color grading segment introduces a parallel competitive set focused on cinematic rather than photographic workflows.</w:t>
      </w:r>
      <w:r>
        <w:t xml:space="preserve"> </w:t>
      </w:r>
      <w:r>
        <w:rPr>
          <w:bCs/>
          <w:b/>
        </w:rPr>
        <w:t xml:space="preserve">Joel Famularo</w:t>
      </w:r>
      <w:r>
        <w:t xml:space="preserve"> </w:t>
      </w:r>
      <w:r>
        <w:t xml:space="preserve">(Phantom LUTs) has built a reputation on camera-to-camera matching, calibrating LUTs against an in-house ARRI Alexa reference to convert various camera log formats to the</w:t>
      </w:r>
      <w:r>
        <w:t xml:space="preserve"> </w:t>
      </w:r>
      <w:r>
        <w:t xml:space="preserve">“</w:t>
      </w:r>
      <w:r>
        <w:t xml:space="preserve">gold standard</w:t>
      </w:r>
      <w:r>
        <w:t xml:space="preserve">”</w:t>
      </w:r>
      <w:r>
        <w:t xml:space="preserve"> </w:t>
      </w:r>
      <w:r>
        <w:t xml:space="preserve">Alexa color science. This technical matching approach commands premium pricing because it solves a specific production problem: multi-camera shoots where footage from different manufacturers must intercut seamlessly.</w:t>
      </w:r>
    </w:p>
    <w:p>
      <w:pPr>
        <w:pStyle w:val="BodyText"/>
      </w:pPr>
      <w:r>
        <w:rPr>
          <w:bCs/>
          <w:b/>
        </w:rPr>
        <w:t xml:space="preserve">Phil Holland</w:t>
      </w:r>
      <w:r>
        <w:t xml:space="preserve">’s philmColor R3 represents the most extensive LUT collection in the professional market, with 718 LUTs organized systematically by purpose and workflow stage, priced at $300. The systematic organization — rather than a random dump of creative looks — reflects professional color grading workflow where different LUTs serve different pipeline functions: input transforms, creative looks, print film emulation, and output transforms.</w:t>
      </w:r>
    </w:p>
    <w:p>
      <w:pPr>
        <w:pStyle w:val="BodyText"/>
      </w:pPr>
      <w:r>
        <w:rPr>
          <w:bCs/>
          <w:b/>
        </w:rPr>
        <w:t xml:space="preserve">CINECOLOR</w:t>
      </w:r>
      <w:r>
        <w:t xml:space="preserve"> </w:t>
      </w:r>
      <w:r>
        <w:t xml:space="preserve">and</w:t>
      </w:r>
      <w:r>
        <w:t xml:space="preserve"> </w:t>
      </w:r>
      <w:r>
        <w:rPr>
          <w:bCs/>
          <w:b/>
        </w:rPr>
        <w:t xml:space="preserve">Gamut</w:t>
      </w:r>
      <w:r>
        <w:t xml:space="preserve"> </w:t>
      </w:r>
      <w:r>
        <w:t xml:space="preserve">occupy adjacent positions in the cinematic LUT space. Gamut’s Faction collection</w:t>
      </w:r>
      <w:r>
        <w:t xml:space="preserve"> </w:t>
      </w:r>
      <w:r>
        <w:t xml:space="preserve">“</w:t>
      </w:r>
      <w:r>
        <w:t xml:space="preserve">reimagines Orange and Teal with a modern, cinematic edge,</w:t>
      </w:r>
      <w:r>
        <w:t xml:space="preserve">”</w:t>
      </w:r>
      <w:r>
        <w:t xml:space="preserve"> </w:t>
      </w:r>
      <w:r>
        <w:t xml:space="preserve">while CINECOLOR’s Master Pack IV offers approximately 100 LUTs for $207 ($2.07 per LUT versus $3.60–$4.70 for individual purchases).</w:t>
      </w:r>
      <w:r>
        <w:t xml:space="preserve"> </w:t>
      </w:r>
      <w:r>
        <w:rPr>
          <w:bCs/>
          <w:b/>
        </w:rPr>
        <w:t xml:space="preserve">Triune Digital</w:t>
      </w:r>
      <w:r>
        <w:t xml:space="preserve"> </w:t>
      </w:r>
      <w:r>
        <w:t xml:space="preserve">and</w:t>
      </w:r>
      <w:r>
        <w:t xml:space="preserve"> </w:t>
      </w:r>
      <w:r>
        <w:rPr>
          <w:bCs/>
          <w:b/>
        </w:rPr>
        <w:t xml:space="preserve">Bounce Color</w:t>
      </w:r>
      <w:r>
        <w:t xml:space="preserve"> </w:t>
      </w:r>
      <w:r>
        <w:t xml:space="preserve">serve the filmmaker segment with more accessible pricing, and</w:t>
      </w:r>
      <w:r>
        <w:t xml:space="preserve"> </w:t>
      </w:r>
      <w:r>
        <w:rPr>
          <w:bCs/>
          <w:b/>
        </w:rPr>
        <w:t xml:space="preserve">analogica.lab</w:t>
      </w:r>
      <w:r>
        <w:t xml:space="preserve"> </w:t>
      </w:r>
      <w:r>
        <w:t xml:space="preserve">offers individual LUTs at approximately $43 each, targeting working colorists who need specific, proven looks rather than volume.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Specialist</w:t>
            </w:r>
          </w:p>
        </w:tc>
        <w:tc>
          <w:tcPr/>
          <w:p>
            <w:pPr>
              <w:pStyle w:val="Compact"/>
              <w:jc w:val="left"/>
            </w:pPr>
            <w:r>
              <w:t xml:space="preserve">Primary Focus</w:t>
            </w:r>
          </w:p>
        </w:tc>
        <w:tc>
          <w:tcPr/>
          <w:p>
            <w:pPr>
              <w:pStyle w:val="Compact"/>
              <w:jc w:val="left"/>
            </w:pPr>
            <w:r>
              <w:t xml:space="preserve">Price Point</w:t>
            </w:r>
          </w:p>
        </w:tc>
        <w:tc>
          <w:tcPr/>
          <w:p>
            <w:pPr>
              <w:pStyle w:val="Compact"/>
              <w:jc w:val="left"/>
            </w:pPr>
            <w:r>
              <w:t xml:space="preserve">Technical Approach</w:t>
            </w:r>
          </w:p>
        </w:tc>
        <w:tc>
          <w:tcPr/>
          <w:p>
            <w:pPr>
              <w:pStyle w:val="Compact"/>
              <w:jc w:val="left"/>
            </w:pPr>
            <w:r>
              <w:t xml:space="preserve">Target User</w:t>
            </w:r>
          </w:p>
        </w:tc>
      </w:tr>
      <w:tr>
        <w:tc>
          <w:tcPr/>
          <w:p>
            <w:pPr>
              <w:pStyle w:val="Compact"/>
              <w:jc w:val="left"/>
            </w:pPr>
            <w:r>
              <w:t xml:space="preserve">Phantom LUTs (Joel Famularo)</w:t>
            </w:r>
          </w:p>
        </w:tc>
        <w:tc>
          <w:tcPr/>
          <w:p>
            <w:pPr>
              <w:pStyle w:val="Compact"/>
              <w:jc w:val="left"/>
            </w:pPr>
            <w:r>
              <w:t xml:space="preserve">Camera-to-camera matching</w:t>
            </w:r>
          </w:p>
        </w:tc>
        <w:tc>
          <w:tcPr/>
          <w:p>
            <w:pPr>
              <w:pStyle w:val="Compact"/>
              <w:jc w:val="left"/>
            </w:pPr>
            <w:r>
              <w:t xml:space="preserve">Premium</w:t>
            </w:r>
          </w:p>
        </w:tc>
        <w:tc>
          <w:tcPr/>
          <w:p>
            <w:pPr>
              <w:pStyle w:val="Compact"/>
              <w:jc w:val="left"/>
            </w:pPr>
            <w:r>
              <w:t xml:space="preserve">Calibrated against ARRI Alexa reference</w:t>
            </w:r>
          </w:p>
        </w:tc>
        <w:tc>
          <w:tcPr/>
          <w:p>
            <w:pPr>
              <w:pStyle w:val="Compact"/>
              <w:jc w:val="left"/>
            </w:pPr>
            <w:r>
              <w:t xml:space="preserve">Professional cinematographers</w:t>
            </w:r>
          </w:p>
        </w:tc>
      </w:tr>
      <w:tr>
        <w:tc>
          <w:tcPr/>
          <w:p>
            <w:pPr>
              <w:pStyle w:val="Compact"/>
              <w:jc w:val="left"/>
            </w:pPr>
            <w:r>
              <w:t xml:space="preserve">philmColor R3 (Phil Holland)</w:t>
            </w:r>
          </w:p>
        </w:tc>
        <w:tc>
          <w:tcPr/>
          <w:p>
            <w:pPr>
              <w:pStyle w:val="Compact"/>
              <w:jc w:val="left"/>
            </w:pPr>
            <w:r>
              <w:t xml:space="preserve">Comprehensive LUT system</w:t>
            </w:r>
          </w:p>
        </w:tc>
        <w:tc>
          <w:tcPr/>
          <w:p>
            <w:pPr>
              <w:pStyle w:val="Compact"/>
              <w:jc w:val="left"/>
            </w:pPr>
            <w:r>
              <w:t xml:space="preserve">$300</w:t>
            </w:r>
          </w:p>
        </w:tc>
        <w:tc>
          <w:tcPr/>
          <w:p>
            <w:pPr>
              <w:pStyle w:val="Compact"/>
              <w:jc w:val="left"/>
            </w:pPr>
            <w:r>
              <w:t xml:space="preserve">718 LUTs organized by workflow stage; RED IPP2 pipeline</w:t>
            </w:r>
          </w:p>
        </w:tc>
        <w:tc>
          <w:tcPr/>
          <w:p>
            <w:pPr>
              <w:pStyle w:val="Compact"/>
              <w:jc w:val="left"/>
            </w:pPr>
            <w:r>
              <w:t xml:space="preserve">Colorists, DITs</w:t>
            </w:r>
          </w:p>
        </w:tc>
      </w:tr>
      <w:tr>
        <w:tc>
          <w:tcPr/>
          <w:p>
            <w:pPr>
              <w:pStyle w:val="Compact"/>
              <w:jc w:val="left"/>
            </w:pPr>
            <w:r>
              <w:t xml:space="preserve">CINECOLOR</w:t>
            </w:r>
          </w:p>
        </w:tc>
        <w:tc>
          <w:tcPr/>
          <w:p>
            <w:pPr>
              <w:pStyle w:val="Compact"/>
              <w:jc w:val="left"/>
            </w:pPr>
            <w:r>
              <w:t xml:space="preserve">Cinematic collections</w:t>
            </w:r>
          </w:p>
        </w:tc>
        <w:tc>
          <w:tcPr/>
          <w:p>
            <w:pPr>
              <w:pStyle w:val="Compact"/>
              <w:jc w:val="left"/>
            </w:pPr>
            <w:r>
              <w:t xml:space="preserve">$207 (100 LUTs)</w:t>
            </w:r>
          </w:p>
        </w:tc>
        <w:tc>
          <w:tcPr/>
          <w:p>
            <w:pPr>
              <w:pStyle w:val="Compact"/>
              <w:jc w:val="left"/>
            </w:pPr>
            <w:r>
              <w:t xml:space="preserve">Broad-coverage creative looks</w:t>
            </w:r>
          </w:p>
        </w:tc>
        <w:tc>
          <w:tcPr/>
          <w:p>
            <w:pPr>
              <w:pStyle w:val="Compact"/>
              <w:jc w:val="left"/>
            </w:pPr>
            <w:r>
              <w:t xml:space="preserve">Filmmakers, content creators</w:t>
            </w:r>
          </w:p>
        </w:tc>
      </w:tr>
      <w:tr>
        <w:tc>
          <w:tcPr/>
          <w:p>
            <w:pPr>
              <w:pStyle w:val="Compact"/>
              <w:jc w:val="left"/>
            </w:pPr>
            <w:r>
              <w:t xml:space="preserve">Gamut</w:t>
            </w:r>
          </w:p>
        </w:tc>
        <w:tc>
          <w:tcPr/>
          <w:p>
            <w:pPr>
              <w:pStyle w:val="Compact"/>
              <w:jc w:val="left"/>
            </w:pPr>
            <w:r>
              <w:t xml:space="preserve">Modern cinematic</w:t>
            </w:r>
          </w:p>
        </w:tc>
        <w:tc>
          <w:tcPr/>
          <w:p>
            <w:pPr>
              <w:pStyle w:val="Compact"/>
              <w:jc w:val="left"/>
            </w:pPr>
            <w:r>
              <w:t xml:space="preserve">$99</w:t>
            </w:r>
          </w:p>
        </w:tc>
        <w:tc>
          <w:tcPr/>
          <w:p>
            <w:pPr>
              <w:pStyle w:val="Compact"/>
              <w:jc w:val="left"/>
            </w:pPr>
            <w:r>
              <w:t xml:space="preserve">Orange/teal reimagined; contemporary edge</w:t>
            </w:r>
          </w:p>
        </w:tc>
        <w:tc>
          <w:tcPr/>
          <w:p>
            <w:pPr>
              <w:pStyle w:val="Compact"/>
              <w:jc w:val="left"/>
            </w:pPr>
            <w:r>
              <w:t xml:space="preserve">YouTubers, indie filmmakers</w:t>
            </w:r>
          </w:p>
        </w:tc>
      </w:tr>
      <w:tr>
        <w:tc>
          <w:tcPr/>
          <w:p>
            <w:pPr>
              <w:pStyle w:val="Compact"/>
              <w:jc w:val="left"/>
            </w:pPr>
            <w:r>
              <w:t xml:space="preserve">analogica.lab</w:t>
            </w:r>
          </w:p>
        </w:tc>
        <w:tc>
          <w:tcPr/>
          <w:p>
            <w:pPr>
              <w:pStyle w:val="Compact"/>
              <w:jc w:val="left"/>
            </w:pPr>
            <w:r>
              <w:t xml:space="preserve">Individual professional LUTs</w:t>
            </w:r>
          </w:p>
        </w:tc>
        <w:tc>
          <w:tcPr/>
          <w:p>
            <w:pPr>
              <w:pStyle w:val="Compact"/>
              <w:jc w:val="left"/>
            </w:pPr>
            <w:r>
              <w:t xml:space="preserve">~$43/LUT</w:t>
            </w:r>
          </w:p>
        </w:tc>
        <w:tc>
          <w:tcPr/>
          <w:p>
            <w:pPr>
              <w:pStyle w:val="Compact"/>
              <w:jc w:val="left"/>
            </w:pPr>
            <w:r>
              <w:t xml:space="preserve">Precision-crafted single looks</w:t>
            </w:r>
          </w:p>
        </w:tc>
        <w:tc>
          <w:tcPr/>
          <w:p>
            <w:pPr>
              <w:pStyle w:val="Compact"/>
              <w:jc w:val="left"/>
            </w:pPr>
            <w:r>
              <w:t xml:space="preserve">Working colorists</w:t>
            </w:r>
          </w:p>
        </w:tc>
      </w:tr>
      <w:tr>
        <w:tc>
          <w:tcPr/>
          <w:p>
            <w:pPr>
              <w:pStyle w:val="Compact"/>
              <w:jc w:val="left"/>
            </w:pPr>
            <w:r>
              <w:t xml:space="preserve">Triune Digital</w:t>
            </w:r>
          </w:p>
        </w:tc>
        <w:tc>
          <w:tcPr/>
          <w:p>
            <w:pPr>
              <w:pStyle w:val="Compact"/>
              <w:jc w:val="left"/>
            </w:pPr>
            <w:r>
              <w:t xml:space="preserve">Genre-specific packs</w:t>
            </w:r>
          </w:p>
        </w:tc>
        <w:tc>
          <w:tcPr/>
          <w:p>
            <w:pPr>
              <w:pStyle w:val="Compact"/>
              <w:jc w:val="left"/>
            </w:pPr>
            <w:r>
              <w:t xml:space="preserve">Budget-friendly</w:t>
            </w:r>
          </w:p>
        </w:tc>
        <w:tc>
          <w:tcPr/>
          <w:p>
            <w:pPr>
              <w:pStyle w:val="Compact"/>
              <w:jc w:val="left"/>
            </w:pPr>
            <w:r>
              <w:t xml:space="preserve">Movie-inspired creative looks</w:t>
            </w:r>
          </w:p>
        </w:tc>
        <w:tc>
          <w:tcPr/>
          <w:p>
            <w:pPr>
              <w:pStyle w:val="Compact"/>
              <w:jc w:val="left"/>
            </w:pPr>
            <w:r>
              <w:t xml:space="preserve">Entry-level filmmakers</w:t>
            </w:r>
          </w:p>
        </w:tc>
      </w:tr>
    </w:tbl>
    <w:p>
      <w:pPr>
        <w:pStyle w:val="BodyText"/>
      </w:pPr>
      <w:r>
        <w:rPr>
          <w:iCs/>
          <w:i/>
        </w:rPr>
        <w:t xml:space="preserve">Table 3: LUT specialist competitive landscape. Pricing and product architecture vary significantly based on target user sophistication and workflow integration requirements.</w:t>
      </w:r>
    </w:p>
    <w:bookmarkEnd w:id="27"/>
    <w:bookmarkStart w:id="28" w:name="market-concentration-analysis"/>
    <w:p>
      <w:pPr>
        <w:pStyle w:val="Heading4"/>
      </w:pPr>
      <w:r>
        <w:t xml:space="preserve">1.2.4 Market Concentration Analysis</w:t>
      </w:r>
    </w:p>
    <w:p>
      <w:pPr>
        <w:pStyle w:val="FirstParagraph"/>
      </w:pPr>
      <w:r>
        <w:t xml:space="preserve">The premium preset and LUT market exhibits moderate concentration. The top ten creators — spanning both photography presets and video LUTs — are estimated to capture approximately 40% of premium segment revenue. This concentration is offset by the long tail: hundreds of individual creators selling through marketplaces such as FilterGrade, Etsy, and Creative Market, plus the expanding universe of AI-powered adaptive editing tools that threaten to commoditize static presets altogether.</w:t>
      </w:r>
    </w:p>
    <w:p>
      <w:pPr>
        <w:pStyle w:val="BodyText"/>
      </w:pPr>
      <w:r>
        <w:t xml:space="preserve">A critical structural observation is the bifurcation between</w:t>
      </w:r>
      <w:r>
        <w:t xml:space="preserve"> </w:t>
      </w:r>
      <w:r>
        <w:t xml:space="preserve">“</w:t>
      </w:r>
      <w:r>
        <w:t xml:space="preserve">scientific</w:t>
      </w:r>
      <w:r>
        <w:t xml:space="preserve">”</w:t>
      </w:r>
      <w:r>
        <w:t xml:space="preserve"> </w:t>
      </w:r>
      <w:r>
        <w:t xml:space="preserve">and</w:t>
      </w:r>
      <w:r>
        <w:t xml:space="preserve"> </w:t>
      </w:r>
      <w:r>
        <w:t xml:space="preserve">“</w:t>
      </w:r>
      <w:r>
        <w:t xml:space="preserve">inspired</w:t>
      </w:r>
      <w:r>
        <w:t xml:space="preserve">”</w:t>
      </w:r>
      <w:r>
        <w:t xml:space="preserve"> </w:t>
      </w:r>
      <w:r>
        <w:t xml:space="preserve">emulation. Tier 1 creators (Mastin Labs, RNI, TAP, DVLOP) invest in camera profiling, film scan matching, and profile-based construction — approaches that create genuine technical moats. Tier 2 and marketplace creators compete primarily on aesthetic novelty and volume, with lower barriers to entry and correspondingly less pricing power. This bifurcation creates what industry analysis identifies as a</w:t>
      </w:r>
      <w:r>
        <w:t xml:space="preserve"> </w:t>
      </w:r>
      <w:r>
        <w:t xml:space="preserve">“</w:t>
      </w:r>
      <w:r>
        <w:t xml:space="preserve">prosumer chasm</w:t>
      </w:r>
      <w:r>
        <w:t xml:space="preserve">”</w:t>
      </w:r>
      <w:r>
        <w:t xml:space="preserve"> </w:t>
      </w:r>
      <w:r>
        <w:t xml:space="preserve">— the gap between $7–$50 consumer LUT packs and $300+ professional plugins such as Dehancer or ARRI Film Lab, where no dominant player occupies the $75–$150 range with scientifically validated but accessible film emulation.</w:t>
      </w:r>
    </w:p>
    <w:bookmarkEnd w:id="28"/>
    <w:bookmarkEnd w:id="29"/>
    <w:bookmarkStart w:id="33" w:name="the-underground-and-niche-ecosystem"/>
    <w:p>
      <w:pPr>
        <w:pStyle w:val="Heading3"/>
      </w:pPr>
      <w:r>
        <w:t xml:space="preserve">1.3 The Underground and Niche Ecosystem</w:t>
      </w:r>
    </w:p>
    <w:p>
      <w:pPr>
        <w:pStyle w:val="FirstParagraph"/>
      </w:pPr>
      <w:r>
        <w:t xml:space="preserve">Beneath the visible competitive landscape lies a parallel economy driven by scarcity, exclusivity, and community dynamics that operate according to rules quite different from those of conventional retail.</w:t>
      </w:r>
    </w:p>
    <w:bookmarkStart w:id="30" w:name="retired-exclusives-and-cult-status"/>
    <w:p>
      <w:pPr>
        <w:pStyle w:val="Heading4"/>
      </w:pPr>
      <w:r>
        <w:t xml:space="preserve">1.3.1 Retired Exclusives and Cult Status</w:t>
      </w:r>
    </w:p>
    <w:p>
      <w:pPr>
        <w:pStyle w:val="FirstParagraph"/>
      </w:pPr>
      <w:r>
        <w:t xml:space="preserve">Archipelago’s strategic retirement of popular preset packs — Summit and LXC — has transformed discontinued products into objects of underground desire</w:t>
      </w:r>
      <w:r>
        <w:t xml:space="preserve"> </w:t>
      </w:r>
      <w:r>
        <w:rPr>
          <w:vertAlign w:val="superscript"/>
        </w:rPr>
        <w:t xml:space="preserve">17</w:t>
      </w:r>
      <w:r>
        <w:t xml:space="preserve">. When a digital product with infinite reproducibility is rendered artificially scarce through deliberate withdrawal from the market, secondary demand concentrates in trading communities where the retired packs acquire cultural capital independent of their technical utility. Updated versions (LXCr, Quest series) replace the originals functionally but cannot replicate the status associated with ownership of discontinued products.</w:t>
      </w:r>
    </w:p>
    <w:p>
      <w:pPr>
        <w:pStyle w:val="BodyText"/>
      </w:pPr>
      <w:r>
        <w:t xml:space="preserve">This phenomenon mirrors the</w:t>
      </w:r>
      <w:r>
        <w:t xml:space="preserve"> </w:t>
      </w:r>
      <w:r>
        <w:t xml:space="preserve">“</w:t>
      </w:r>
      <w:r>
        <w:t xml:space="preserve">sneaker culture</w:t>
      </w:r>
      <w:r>
        <w:t xml:space="preserve">”</w:t>
      </w:r>
      <w:r>
        <w:t xml:space="preserve"> </w:t>
      </w:r>
      <w:r>
        <w:t xml:space="preserve">dynamics of limited-edition footwear releases, where artificial scarcity generates secondary markets and brand mythology. In the digital context, where supply constraints must be manufactured rather than physical, the retirement strategy nonetheless proves effective: older versions</w:t>
      </w:r>
      <w:r>
        <w:t xml:space="preserve"> </w:t>
      </w:r>
      <w:r>
        <w:t xml:space="preserve">“</w:t>
      </w:r>
      <w:r>
        <w:t xml:space="preserve">retain cult status</w:t>
      </w:r>
      <w:r>
        <w:t xml:space="preserve">”</w:t>
      </w:r>
      <w:r>
        <w:t xml:space="preserve"> </w:t>
      </w:r>
      <w:r>
        <w:t xml:space="preserve">among photographers who view possession of discontinued presets as a marker of seniority and aesthetic discernment</w:t>
      </w:r>
      <w:r>
        <w:t xml:space="preserve"> </w:t>
      </w:r>
      <w:r>
        <w:rPr>
          <w:vertAlign w:val="superscript"/>
        </w:rPr>
        <w:t xml:space="preserve">17</w:t>
      </w:r>
      <w:r>
        <w:t xml:space="preserve">. The exclusivity feeds back into brand perception, strengthening demand for Archipelago’s current offerings through halo association.</w:t>
      </w:r>
    </w:p>
    <w:bookmarkEnd w:id="30"/>
    <w:bookmarkStart w:id="31" w:name="X18d47495a097f96f4d2ab7889b2810b2d05573a"/>
    <w:p>
      <w:pPr>
        <w:pStyle w:val="Heading4"/>
      </w:pPr>
      <w:r>
        <w:t xml:space="preserve">1.3.2 Reddit Trading Communities and Aftermarket Resale</w:t>
      </w:r>
    </w:p>
    <w:p>
      <w:pPr>
        <w:pStyle w:val="FirstParagraph"/>
      </w:pPr>
      <w:r>
        <w:t xml:space="preserve">The subreddit r/PresetsTrade operates as an active exchange forum where users trade preset packs they have purchased, functioning analogously to software piracy communities but with a veneer of reciprocity</w:t>
      </w:r>
      <w:r>
        <w:t xml:space="preserve"> </w:t>
      </w:r>
      <w:r>
        <w:rPr>
          <w:vertAlign w:val="superscript"/>
        </w:rPr>
        <w:t xml:space="preserve">18</w:t>
      </w:r>
      <w:r>
        <w:t xml:space="preserve">. Emmett Sparling’s Violet Collection, priced at $50–$150 through official channels, appears on Etsy from unauthorized resellers at $14.94 — a price point that captures budget-conscious users while depriving the creator of revenue</w:t>
      </w:r>
      <w:r>
        <w:t xml:space="preserve"> </w:t>
      </w:r>
      <w:r>
        <w:rPr>
          <w:vertAlign w:val="superscript"/>
        </w:rPr>
        <w:t xml:space="preserve">19</w:t>
      </w:r>
      <w:r>
        <w:t xml:space="preserve">. The resale ecosystem extends beyond Reddit to eBay and Etsy, where the low barrier to listing digital products enables rapid distribution of pirated or resold content.</w:t>
      </w:r>
    </w:p>
    <w:p>
      <w:pPr>
        <w:pStyle w:val="BodyText"/>
      </w:pPr>
      <w:r>
        <w:t xml:space="preserve">This underground activity carries implications beyond revenue loss. As one analysis notes,</w:t>
      </w:r>
      <w:r>
        <w:t xml:space="preserve"> </w:t>
      </w:r>
      <w:r>
        <w:t xml:space="preserve">“</w:t>
      </w:r>
      <w:r>
        <w:t xml:space="preserve">using pirated filters can also come with potential security risks as these files may contain harmful malware or viruses</w:t>
      </w:r>
      <w:r>
        <w:t xml:space="preserve">”</w:t>
      </w:r>
      <w:r>
        <w:t xml:space="preserve"> </w:t>
      </w:r>
      <w:r>
        <w:rPr>
          <w:vertAlign w:val="superscript"/>
        </w:rPr>
        <w:t xml:space="preserve">20</w:t>
      </w:r>
      <w:r>
        <w:t xml:space="preserve">. The profile-based construction approaches employed by RNI and TAP serve partially as anti-piracy measures: because profiles operate at the RAW processing level and are harder to extract and redistribute than simple slider presets, they offer inherent protection against the most common forms of unauthorized sharing.</w:t>
      </w:r>
    </w:p>
    <w:bookmarkEnd w:id="31"/>
    <w:bookmarkStart w:id="32" w:name="X0cb289cd8825ad81d35ec21ea4653aedf7e17f0"/>
    <w:p>
      <w:pPr>
        <w:pStyle w:val="Heading4"/>
      </w:pPr>
      <w:r>
        <w:t xml:space="preserve">1.3.3 The</w:t>
      </w:r>
      <w:r>
        <w:t xml:space="preserve"> </w:t>
      </w:r>
      <w:r>
        <w:t xml:space="preserve">“</w:t>
      </w:r>
      <w:r>
        <w:t xml:space="preserve">Tezza Blueprint</w:t>
      </w:r>
      <w:r>
        <w:t xml:space="preserve">”</w:t>
      </w:r>
      <w:r>
        <w:t xml:space="preserve">: From Presets to Physical Products</w:t>
      </w:r>
    </w:p>
    <w:p>
      <w:pPr>
        <w:pStyle w:val="FirstParagraph"/>
      </w:pPr>
      <w:r>
        <w:t xml:space="preserve">Tezza Barton represents the most fully realized template for brand extension in the preset economy. Beginning with Instagram filters, Barton evolved through a mobile application (Tezza, launched in 2018) into a comprehensive creative ecosystem encompassing merchandise — phone cases, sweatshirts, hats, luxury totes — and, most recently, candles</w:t>
      </w:r>
      <w:r>
        <w:t xml:space="preserve"> </w:t>
      </w:r>
      <w:r>
        <w:t xml:space="preserve">“</w:t>
      </w:r>
      <w:r>
        <w:t xml:space="preserve">inspired by our most coveted filters in the app</w:t>
      </w:r>
      <w:r>
        <w:t xml:space="preserve">”</w:t>
      </w:r>
      <w:r>
        <w:t xml:space="preserve"> </w:t>
      </w:r>
      <w:r>
        <w:rPr>
          <w:vertAlign w:val="superscript"/>
        </w:rPr>
        <w:t xml:space="preserve">21</w:t>
      </w:r>
      <w:r>
        <w:t xml:space="preserve">. The progression from digital tool to physical lifestyle product demonstrates that in the creator economy, presets function not merely as utilities but as aesthetic signatures that can be expressed across any medium.</w:t>
      </w:r>
    </w:p>
    <w:p>
      <w:pPr>
        <w:pStyle w:val="BodyText"/>
      </w:pPr>
      <w:r>
        <w:t xml:space="preserve">The Forbes profile documenting this evolution reveals the underlying commercial logic: digital filters serve as the entry point to a lifestyle brand, not its endpoint</w:t>
      </w:r>
      <w:r>
        <w:t xml:space="preserve"> </w:t>
      </w:r>
      <w:r>
        <w:rPr>
          <w:vertAlign w:val="superscript"/>
        </w:rPr>
        <w:t xml:space="preserve">21</w:t>
      </w:r>
      <w:r>
        <w:t xml:space="preserve">. For CINEGRADE LAB and analogous ventures, the Tezza blueprint suggests that the value of a color grading product extends far beyond the technical transformation it performs on an image. The brand identity — the aesthetic sensibility, the cultural associations, the community of users who identify with the look — constitutes the true asset, capable of generating revenue through merchandise, education, community subscriptions, and licensing.</w:t>
      </w:r>
    </w:p>
    <w:bookmarkEnd w:id="32"/>
    <w:bookmarkEnd w:id="33"/>
    <w:bookmarkStart w:id="37" w:name="creator-economy-integration"/>
    <w:p>
      <w:pPr>
        <w:pStyle w:val="Heading3"/>
      </w:pPr>
      <w:r>
        <w:t xml:space="preserve">1.4 Creator Economy Integration</w:t>
      </w:r>
    </w:p>
    <w:p>
      <w:pPr>
        <w:pStyle w:val="FirstParagraph"/>
      </w:pPr>
      <w:r>
        <w:t xml:space="preserve">The preset and LUT market does not operate independently but is embedded within the broader creator economy, valued at $205 billion in 2024 with projections exceeding $250 billion in 2025</w:t>
      </w:r>
      <w:r>
        <w:t xml:space="preserve"> </w:t>
      </w:r>
      <w:r>
        <w:rPr>
          <w:vertAlign w:val="superscript"/>
        </w:rPr>
        <w:t xml:space="preserve">4</w:t>
      </w:r>
      <w:r>
        <w:t xml:space="preserve">. The infrastructure of content creation — platforms, influencers, tutorial channels, and viral mechanics — serves as the primary distribution network through which color grading products reach their audiences.</w:t>
      </w:r>
    </w:p>
    <w:bookmarkStart w:id="34" w:name="X0775e1317a2957bf728567da08ec9e0abb12486"/>
    <w:p>
      <w:pPr>
        <w:pStyle w:val="Heading4"/>
      </w:pPr>
      <w:r>
        <w:t xml:space="preserve">1.4.1 Instagram: 57% Brand Partnership Adoption and Preset Discovery</w:t>
      </w:r>
    </w:p>
    <w:p>
      <w:pPr>
        <w:pStyle w:val="FirstParagraph"/>
      </w:pPr>
      <w:r>
        <w:t xml:space="preserve">Instagram remains the dominant platform for brand-creator partnerships, with 57% adoption among brands and over 64 million influencers worldwide</w:t>
      </w:r>
      <w:r>
        <w:t xml:space="preserve"> </w:t>
      </w:r>
      <w:r>
        <w:rPr>
          <w:vertAlign w:val="superscript"/>
        </w:rPr>
        <w:t xml:space="preserve">4</w:t>
      </w:r>
      <w:r>
        <w:t xml:space="preserve">. The platform’s visual-first format makes it ideal for demonstrating preset transformations; the</w:t>
      </w:r>
      <w:r>
        <w:t xml:space="preserve"> </w:t>
      </w:r>
      <w:r>
        <w:t xml:space="preserve">“</w:t>
      </w:r>
      <w:r>
        <w:t xml:space="preserve">before/after</w:t>
      </w:r>
      <w:r>
        <w:t xml:space="preserve">”</w:t>
      </w:r>
      <w:r>
        <w:t xml:space="preserve"> </w:t>
      </w:r>
      <w:r>
        <w:t xml:space="preserve">carousel has become a standardized marketing format that showcases the impact of a color grade in a single swipe. Before/after posts and Stories function as the primary preset marketing vehicles, with the transformation itself serving as the sales pitch.</w:t>
      </w:r>
    </w:p>
    <w:p>
      <w:pPr>
        <w:pStyle w:val="BodyText"/>
      </w:pPr>
      <w:r>
        <w:t xml:space="preserve">The Atlantic’s seminal analysis captured the essential dynamic:</w:t>
      </w:r>
      <w:r>
        <w:t xml:space="preserve"> </w:t>
      </w:r>
      <w:r>
        <w:t xml:space="preserve">“</w:t>
      </w:r>
      <w:r>
        <w:t xml:space="preserve">Presets are about the people selling the filters rather than the filters themselves. People used to buy and use filters on their photos just because they looked cool. Now they buy filters because someone they like made them</w:t>
      </w:r>
      <w:r>
        <w:t xml:space="preserve">”</w:t>
      </w:r>
      <w:r>
        <w:t xml:space="preserve"> </w:t>
      </w:r>
      <w:r>
        <w:rPr>
          <w:vertAlign w:val="superscript"/>
        </w:rPr>
        <w:t xml:space="preserve">4</w:t>
      </w:r>
      <w:r>
        <w:t xml:space="preserve">. This insight reframes the purchase decision from a technical evaluation to an identity statement — users buy presets not merely to improve their images but to affiliate themselves with the aesthetic and values of creators they admire.</w:t>
      </w:r>
    </w:p>
    <w:p>
      <w:pPr>
        <w:pStyle w:val="BodyText"/>
      </w:pPr>
      <w:r>
        <w:t xml:space="preserve">For premium LUT platforms, this dynamic implies that creator partnerships matter as much as product quality. The right ambassador — one whose aesthetic aligns with the brand’s positioning and whose audience trusts their technical recommendations — can drive more sales than incremental product improvements.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Key Metric</w:t>
            </w:r>
          </w:p>
        </w:tc>
        <w:tc>
          <w:tcPr/>
          <w:p>
            <w:pPr>
              <w:pStyle w:val="Compact"/>
              <w:jc w:val="left"/>
            </w:pPr>
            <w:r>
              <w:t xml:space="preserve">Role in Color Grading Ecosystem</w:t>
            </w:r>
          </w:p>
        </w:tc>
        <w:tc>
          <w:tcPr/>
          <w:p>
            <w:pPr>
              <w:pStyle w:val="Compact"/>
              <w:jc w:val="left"/>
            </w:pPr>
            <w:r>
              <w:t xml:space="preserve">Preset/LUT Discovery Mechanism</w:t>
            </w:r>
          </w:p>
        </w:tc>
      </w:tr>
      <w:tr>
        <w:tc>
          <w:tcPr/>
          <w:p>
            <w:pPr>
              <w:pStyle w:val="Compact"/>
              <w:jc w:val="left"/>
            </w:pPr>
            <w:r>
              <w:t xml:space="preserve">Instagram</w:t>
            </w:r>
          </w:p>
        </w:tc>
        <w:tc>
          <w:tcPr/>
          <w:p>
            <w:pPr>
              <w:pStyle w:val="Compact"/>
              <w:jc w:val="left"/>
            </w:pPr>
            <w:r>
              <w:t xml:space="preserve">64M+ influencers; 57% brand partnership adoption</w:t>
            </w:r>
            <w:r>
              <w:t xml:space="preserve"> </w:t>
            </w:r>
            <w:r>
              <w:rPr>
                <w:vertAlign w:val="superscript"/>
              </w:rPr>
              <w:t xml:space="preserve">4</w:t>
            </w:r>
          </w:p>
        </w:tc>
        <w:tc>
          <w:tcPr/>
          <w:p>
            <w:pPr>
              <w:pStyle w:val="Compact"/>
              <w:jc w:val="left"/>
            </w:pPr>
            <w:r>
              <w:t xml:space="preserve">Visual demonstration; before/after marketing</w:t>
            </w:r>
          </w:p>
        </w:tc>
        <w:tc>
          <w:tcPr/>
          <w:p>
            <w:pPr>
              <w:pStyle w:val="Compact"/>
              <w:jc w:val="left"/>
            </w:pPr>
            <w:r>
              <w:t xml:space="preserve">Carousel posts; Stories; creator endorsements</w:t>
            </w:r>
          </w:p>
        </w:tc>
      </w:tr>
      <w:tr>
        <w:tc>
          <w:tcPr/>
          <w:p>
            <w:pPr>
              <w:pStyle w:val="Compact"/>
              <w:jc w:val="left"/>
            </w:pPr>
            <w:r>
              <w:t xml:space="preserve">YouTube</w:t>
            </w:r>
          </w:p>
        </w:tc>
        <w:tc>
          <w:tcPr/>
          <w:p>
            <w:pPr>
              <w:pStyle w:val="Compact"/>
              <w:jc w:val="left"/>
            </w:pPr>
            <w:r>
              <w:t xml:space="preserve">61.8M creators; dominant tutorial platform</w:t>
            </w:r>
          </w:p>
        </w:tc>
        <w:tc>
          <w:tcPr/>
          <w:p>
            <w:pPr>
              <w:pStyle w:val="Compact"/>
              <w:jc w:val="left"/>
            </w:pPr>
            <w:r>
              <w:t xml:space="preserve">Education-to-purchase pipeline;</w:t>
            </w:r>
            <w:r>
              <w:t xml:space="preserve"> </w:t>
            </w:r>
            <w:r>
              <w:t xml:space="preserve">“</w:t>
            </w:r>
            <w:r>
              <w:t xml:space="preserve">show don’t tell</w:t>
            </w:r>
            <w:r>
              <w:t xml:space="preserve">”</w:t>
            </w:r>
          </w:p>
        </w:tc>
        <w:tc>
          <w:tcPr/>
          <w:p>
            <w:pPr>
              <w:pStyle w:val="Compact"/>
              <w:jc w:val="left"/>
            </w:pPr>
            <w:r>
              <w:t xml:space="preserve">Tutorial integration; LUT demonstration in workflows</w:t>
            </w:r>
          </w:p>
        </w:tc>
      </w:tr>
      <w:tr>
        <w:tc>
          <w:tcPr/>
          <w:p>
            <w:pPr>
              <w:pStyle w:val="Compact"/>
              <w:jc w:val="left"/>
            </w:pPr>
            <w:r>
              <w:t xml:space="preserve">TikTok</w:t>
            </w:r>
          </w:p>
        </w:tc>
        <w:tc>
          <w:tcPr/>
          <w:p>
            <w:pPr>
              <w:pStyle w:val="Compact"/>
              <w:jc w:val="left"/>
            </w:pPr>
            <w:r>
              <w:t xml:space="preserve">45% creator preference; 484M videos/24h peak</w:t>
            </w:r>
          </w:p>
        </w:tc>
        <w:tc>
          <w:tcPr/>
          <w:p>
            <w:pPr>
              <w:pStyle w:val="Compact"/>
              <w:jc w:val="left"/>
            </w:pPr>
            <w:r>
              <w:t xml:space="preserve">Viral trend amplification; dramatic transformations</w:t>
            </w:r>
          </w:p>
        </w:tc>
        <w:tc>
          <w:tcPr/>
          <w:p>
            <w:pPr>
              <w:pStyle w:val="Compact"/>
              <w:jc w:val="left"/>
            </w:pPr>
            <w:r>
              <w:t xml:space="preserve">Short-form before/after; filter trend replication</w:t>
            </w:r>
          </w:p>
        </w:tc>
      </w:tr>
      <w:tr>
        <w:tc>
          <w:tcPr/>
          <w:p>
            <w:pPr>
              <w:pStyle w:val="Compact"/>
              <w:jc w:val="left"/>
            </w:pPr>
            <w:r>
              <w:t xml:space="preserve">FilterGrade</w:t>
            </w:r>
          </w:p>
        </w:tc>
        <w:tc>
          <w:tcPr/>
          <w:p>
            <w:pPr>
              <w:pStyle w:val="Compact"/>
              <w:jc w:val="left"/>
            </w:pPr>
            <w:r>
              <w:t xml:space="preserve">500K+ monthly visitors; 50/50 revenue split</w:t>
            </w:r>
          </w:p>
        </w:tc>
        <w:tc>
          <w:tcPr/>
          <w:p>
            <w:pPr>
              <w:pStyle w:val="Compact"/>
              <w:jc w:val="left"/>
            </w:pPr>
            <w:r>
              <w:t xml:space="preserve">Dedicated marketplace; discovery and distribution</w:t>
            </w:r>
          </w:p>
        </w:tc>
        <w:tc>
          <w:tcPr/>
          <w:p>
            <w:pPr>
              <w:pStyle w:val="Compact"/>
              <w:jc w:val="left"/>
            </w:pPr>
            <w:r>
              <w:t xml:space="preserve">Search, categories, free lead magnets</w:t>
            </w:r>
          </w:p>
        </w:tc>
      </w:tr>
      <w:tr>
        <w:tc>
          <w:tcPr/>
          <w:p>
            <w:pPr>
              <w:pStyle w:val="Compact"/>
              <w:jc w:val="left"/>
            </w:pPr>
            <w:r>
              <w:t xml:space="preserve">Etsy</w:t>
            </w:r>
          </w:p>
        </w:tc>
        <w:tc>
          <w:tcPr/>
          <w:p>
            <w:pPr>
              <w:pStyle w:val="Compact"/>
              <w:jc w:val="left"/>
            </w:pPr>
            <w:r>
              <w:t xml:space="preserve">4M+ monthly preset searches; 6.5% transaction fee</w:t>
            </w:r>
          </w:p>
        </w:tc>
        <w:tc>
          <w:tcPr/>
          <w:p>
            <w:pPr>
              <w:pStyle w:val="Compact"/>
              <w:jc w:val="left"/>
            </w:pPr>
            <w:r>
              <w:t xml:space="preserve">Mass-market entry point; price competition</w:t>
            </w:r>
          </w:p>
        </w:tc>
        <w:tc>
          <w:tcPr/>
          <w:p>
            <w:pPr>
              <w:pStyle w:val="Compact"/>
              <w:jc w:val="left"/>
            </w:pPr>
            <w:r>
              <w:t xml:space="preserve">Search optimization; low-price bundles</w:t>
            </w:r>
          </w:p>
        </w:tc>
      </w:tr>
    </w:tbl>
    <w:p>
      <w:pPr>
        <w:pStyle w:val="BodyText"/>
      </w:pPr>
      <w:r>
        <w:rPr>
          <w:iCs/>
          <w:i/>
        </w:rPr>
        <w:t xml:space="preserve">Table 4: Creator economy platforms and their roles in the color grading product ecosystem. Metrics reflect the most recent available data as of mid-2025. Platform selection for distribution should align with target customer sophistication and price point.</w:t>
      </w:r>
    </w:p>
    <w:bookmarkEnd w:id="34"/>
    <w:bookmarkStart w:id="35" w:name="X14dcab0be3176c27cdafe046d8284d6909513fd"/>
    <w:p>
      <w:pPr>
        <w:pStyle w:val="Heading4"/>
      </w:pPr>
      <w:r>
        <w:t xml:space="preserve">1.4.2 YouTube: 61.8 Million Creators as the Education Channel</w:t>
      </w:r>
    </w:p>
    <w:p>
      <w:pPr>
        <w:pStyle w:val="FirstParagraph"/>
      </w:pPr>
      <w:r>
        <w:t xml:space="preserve">YouTube functions as the largest creator platform by raw count, with 61.8 million creators generating content that spans every conceivable niche. For color grading products, YouTube’s significance lies in its role as the primary discovery channel for tutorial-driven learning. Creators such as Brendan Williams, Peter McKinnon, and Sean Dalton (Signature Edits) have built substantial audiences teaching Lightroom editing techniques, often integrating preset promotion directly into tutorial content</w:t>
      </w:r>
      <w:r>
        <w:t xml:space="preserve"> </w:t>
      </w:r>
      <w:r>
        <w:rPr>
          <w:vertAlign w:val="superscript"/>
        </w:rPr>
        <w:t xml:space="preserve">22</w:t>
      </w:r>
      <w:r>
        <w:t xml:space="preserve">.</w:t>
      </w:r>
    </w:p>
    <w:p>
      <w:pPr>
        <w:pStyle w:val="BodyText"/>
      </w:pPr>
      <w:r>
        <w:t xml:space="preserve">The</w:t>
      </w:r>
      <w:r>
        <w:t xml:space="preserve"> </w:t>
      </w:r>
      <w:r>
        <w:t xml:space="preserve">“</w:t>
      </w:r>
      <w:r>
        <w:t xml:space="preserve">education → demonstration → purchase</w:t>
      </w:r>
      <w:r>
        <w:t xml:space="preserve">”</w:t>
      </w:r>
      <w:r>
        <w:t xml:space="preserve"> </w:t>
      </w:r>
      <w:r>
        <w:t xml:space="preserve">funnel is the dominant sales mechanism for premium color grading tools. YouTube tutorials create a direct path from learning to buying with near-zero marginal customer acquisition cost — the creator demonstrates a LUT in a professional workflow, viewers see the results on footage they recognize as high-quality, and a link in the description enables immediate purchase. The effectiveness of this approach is amplified by the trust relationship between educational creators and their audiences: a recommendation from a respected color grading educator carries more weight than paid advertising because the recommendation is embedded in genuinely useful content.</w:t>
      </w:r>
    </w:p>
    <w:p>
      <w:pPr>
        <w:pStyle w:val="BodyText"/>
      </w:pPr>
      <w:r>
        <w:t xml:space="preserve">Tenfold Filmmaker and similar channels have refined this model to the point of direct product integration — LUT links appear within video descriptions with explicit calls to action such as</w:t>
      </w:r>
      <w:r>
        <w:t xml:space="preserve"> </w:t>
      </w:r>
      <w:r>
        <w:t xml:space="preserve">“</w:t>
      </w:r>
      <w:r>
        <w:t xml:space="preserve">Get Our One Click Keystone LUTs here.</w:t>
      </w:r>
      <w:r>
        <w:t xml:space="preserve">”</w:t>
      </w:r>
      <w:r>
        <w:t xml:space="preserve"> </w:t>
      </w:r>
      <w:r>
        <w:t xml:space="preserve">The conversion intent of viewers searching for</w:t>
      </w:r>
      <w:r>
        <w:t xml:space="preserve"> </w:t>
      </w:r>
      <w:r>
        <w:t xml:space="preserve">“</w:t>
      </w:r>
      <w:r>
        <w:t xml:space="preserve">how to color grade</w:t>
      </w:r>
      <w:r>
        <w:t xml:space="preserve">”</w:t>
      </w:r>
      <w:r>
        <w:t xml:space="preserve"> </w:t>
      </w:r>
      <w:r>
        <w:t xml:space="preserve">tutorials is substantially higher than that of casual social media browsers, making YouTube the highest-ROI marketing channel for serious LUT sellers.</w:t>
      </w:r>
    </w:p>
    <w:bookmarkEnd w:id="35"/>
    <w:bookmarkStart w:id="36" w:name="Xdb355abf130ea4aab98bfc4772dfdfb679a90ca"/>
    <w:p>
      <w:pPr>
        <w:pStyle w:val="Heading4"/>
      </w:pPr>
      <w:r>
        <w:t xml:space="preserve">1.4.3 TikTok Viral Mechanics and the Filter-to-Pipeline Journey</w:t>
      </w:r>
    </w:p>
    <w:p>
      <w:pPr>
        <w:pStyle w:val="FirstParagraph"/>
      </w:pPr>
      <w:r>
        <w:t xml:space="preserve">TikTok, preferred by 45% of creators as their primary platform, drives visual trend discovery through an algorithm that favors dramatic transformations</w:t>
      </w:r>
      <w:r>
        <w:t xml:space="preserve"> </w:t>
      </w:r>
      <w:r>
        <w:rPr>
          <w:vertAlign w:val="superscript"/>
        </w:rPr>
        <w:t xml:space="preserve">4</w:t>
      </w:r>
      <w:r>
        <w:t xml:space="preserve">. Short-form before/after videos — often compressed into seconds with trending audio — can expose a color aesthetic to millions of viewers in a matter of hours. The platform’s peak posting volumes reach 484 million videos in a 24-hour period, creating an environment in which visual trends propagate at velocities impossible on slower-cycle platforms.</w:t>
      </w:r>
    </w:p>
    <w:p>
      <w:pPr>
        <w:pStyle w:val="BodyText"/>
      </w:pPr>
      <w:r>
        <w:t xml:space="preserve">The viral lifecycle of a color trend follows a predictable pattern: a high-profile creator or film establishes a visual style; tutorial content deconstructs the technique; early adopters create content using the aesthetic; algorithmic amplification spreads it across the platform; preset and LUT developers commercialize matching products</w:t>
      </w:r>
      <w:r>
        <w:t xml:space="preserve"> </w:t>
      </w:r>
      <w:r>
        <w:rPr>
          <w:vertAlign w:val="superscript"/>
        </w:rPr>
        <w:t xml:space="preserve">4</w:t>
      </w:r>
      <w:r>
        <w:t xml:space="preserve">. This</w:t>
      </w:r>
      <w:r>
        <w:t xml:space="preserve"> </w:t>
      </w:r>
      <w:r>
        <w:t xml:space="preserve">“</w:t>
      </w:r>
      <w:r>
        <w:t xml:space="preserve">TikTok-to-Lightroom pipeline</w:t>
      </w:r>
      <w:r>
        <w:t xml:space="preserve">”</w:t>
      </w:r>
      <w:r>
        <w:t xml:space="preserve"> </w:t>
      </w:r>
      <w:r>
        <w:t xml:space="preserve">has become an established marketplace pattern, with developers monitoring viral trends to anticipate demand for professional-grade equivalents of popular filters.</w:t>
      </w:r>
    </w:p>
    <w:p>
      <w:pPr>
        <w:pStyle w:val="BodyText"/>
      </w:pPr>
      <w:r>
        <w:t xml:space="preserve">The phenomenon cuts both ways. While TikTok accelerates trend adoption and creates demand for LUTs that replicate viral looks, it also contributes to rapid aesthetic oversaturation. A look that achieves viral status may be commercially viable for only months before ubiquity erodes its perceived value. This compressed lifecycle challenges developers to shorten production cycles and monitor trend trajectories with greater precision.</w:t>
      </w:r>
    </w:p>
    <w:p>
      <w:pPr>
        <w:pStyle w:val="BodyText"/>
      </w:pPr>
      <w:r>
        <w:t xml:space="preserve">The broader implication for the premium color grading landscape is that platform dynamics increasingly determine product success. A technically superior LUT with no creator advocacy will underperform an adequately crafted LUT promoted by the right YouTube educator. The infrastructure of the creator economy — the trust networks between influencers and their audiences, the algorithmic distribution mechanics of each platform, the conversion pathways from content to commerce — is not peripheral to the color grading market but constitutive of it. Products do not succeed or fail in isolation; they succeed or fail within the context of the creator economy’s discovery and distribution architecture. Understanding this integration is prerequisite to any strategic entry into the premium color grading landscape.</w:t>
      </w:r>
      <w:r>
        <w:t xml:space="preserve"> </w:t>
      </w:r>
      <w:r>
        <w:t xml:space="preserve">-e</w:t>
      </w:r>
    </w:p>
    <w:p>
      <w:r>
        <w:pict>
          <v:rect style="width:0;height:1.5pt" o:hralign="center" o:hrstd="t" o:hr="t"/>
        </w:pict>
      </w:r>
    </w:p>
    <w:bookmarkEnd w:id="36"/>
    <w:bookmarkEnd w:id="37"/>
    <w:bookmarkEnd w:id="38"/>
    <w:bookmarkStart w:id="55" w:name="color-science-technical-foundation"/>
    <w:p>
      <w:pPr>
        <w:pStyle w:val="Heading2"/>
      </w:pPr>
      <w:r>
        <w:t xml:space="preserve">2. Color Science &amp; Technical Foundation</w:t>
      </w:r>
    </w:p>
    <w:p>
      <w:pPr>
        <w:pStyle w:val="FirstParagraph"/>
      </w:pPr>
      <w:r>
        <w:t xml:space="preserve">Every preset and LUT sold by CINEGRADE LAB is, at its core, a mathematical transformation of color vectors through a defined computational space. Whether the user sees a warm film emulation or a cool cyberpunk grade, the underlying operation involves translating RGB triplets through color spaces shaped by gamma curves, constrained by gamut boundaries, and interpolated through lattice structures. This chapter maps that underlying machinery — from the perceptual science that explains why teal-and-orange grading commands attention to the tetrahedral interpolation algorithms that determine how accurately a 3D LUT reproduces its intended look.</w:t>
      </w:r>
    </w:p>
    <w:bookmarkStart w:id="42" w:name="color-spaces-and-gamma"/>
    <w:p>
      <w:pPr>
        <w:pStyle w:val="Heading3"/>
      </w:pPr>
      <w:r>
        <w:t xml:space="preserve">2.1 Color Spaces and Gamma</w:t>
      </w:r>
    </w:p>
    <w:bookmarkStart w:id="39" w:name="Xbf58e961cfea6b5054e7ad81aaf960e137a87ac"/>
    <w:p>
      <w:pPr>
        <w:pStyle w:val="Heading4"/>
      </w:pPr>
      <w:r>
        <w:t xml:space="preserve">2.1.1 sRGB vs Adobe RGB vs DCI-P3 vs Rec.2020: when and why each matters for presets</w:t>
      </w:r>
    </w:p>
    <w:p>
      <w:pPr>
        <w:pStyle w:val="FirstParagraph"/>
      </w:pPr>
      <w:r>
        <w:t xml:space="preserve">A color space is defined by three elements: a color model (the mathematical representation, typically RGB), a gamut (the range of physically realizable colors), and a color depth measured in bits per pixel</w:t>
      </w:r>
      <w:r>
        <w:t xml:space="preserve"> </w:t>
      </w:r>
      <w:r>
        <w:rPr>
          <w:vertAlign w:val="superscript"/>
        </w:rPr>
        <w:t xml:space="preserve">23</w:t>
      </w:r>
      <w:r>
        <w:t xml:space="preserve">. For preset designers, the choice of working color space determines not only which hues remain representable after aggressive grading but also how those hues will render on the end-user’s display. Presets created in a narrow gamut and then applied to wide-gamut footage will clip colors that fall outside the smaller space, producing unpredictable shifts in saturated regions.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Color Space</w:t>
            </w:r>
          </w:p>
        </w:tc>
        <w:tc>
          <w:tcPr/>
          <w:p>
            <w:pPr>
              <w:pStyle w:val="Compact"/>
              <w:jc w:val="left"/>
            </w:pPr>
            <w:r>
              <w:t xml:space="preserve">Gamut Coverage</w:t>
            </w:r>
          </w:p>
        </w:tc>
        <w:tc>
          <w:tcPr/>
          <w:p>
            <w:pPr>
              <w:pStyle w:val="Compact"/>
              <w:jc w:val="left"/>
            </w:pPr>
            <w:r>
              <w:t xml:space="preserve">Year</w:t>
            </w:r>
          </w:p>
        </w:tc>
        <w:tc>
          <w:tcPr/>
          <w:p>
            <w:pPr>
              <w:pStyle w:val="Compact"/>
              <w:jc w:val="left"/>
            </w:pPr>
            <w:r>
              <w:t xml:space="preserve">Optimal Use Case</w:t>
            </w:r>
          </w:p>
        </w:tc>
        <w:tc>
          <w:tcPr/>
          <w:p>
            <w:pPr>
              <w:pStyle w:val="Compact"/>
              <w:jc w:val="left"/>
            </w:pPr>
            <w:r>
              <w:t xml:space="preserve">Bit Depth Requirement</w:t>
            </w:r>
          </w:p>
        </w:tc>
      </w:tr>
      <w:tr>
        <w:tc>
          <w:tcPr/>
          <w:p>
            <w:pPr>
              <w:pStyle w:val="Compact"/>
              <w:jc w:val="left"/>
            </w:pPr>
            <w:r>
              <w:t xml:space="preserve">sRGB</w:t>
            </w:r>
          </w:p>
        </w:tc>
        <w:tc>
          <w:tcPr/>
          <w:p>
            <w:pPr>
              <w:pStyle w:val="Compact"/>
              <w:jc w:val="left"/>
            </w:pPr>
            <w:r>
              <w:t xml:space="preserve">~35% of visible spectrum</w:t>
            </w:r>
            <w:r>
              <w:t xml:space="preserve"> </w:t>
            </w:r>
            <w:r>
              <w:rPr>
                <w:vertAlign w:val="superscript"/>
              </w:rPr>
              <w:t xml:space="preserve">23</w:t>
            </w:r>
          </w:p>
        </w:tc>
        <w:tc>
          <w:tcPr/>
          <w:p>
            <w:pPr>
              <w:pStyle w:val="Compact"/>
              <w:jc w:val="left"/>
            </w:pPr>
            <w:r>
              <w:t xml:space="preserve">1996</w:t>
            </w:r>
          </w:p>
        </w:tc>
        <w:tc>
          <w:tcPr/>
          <w:p>
            <w:pPr>
              <w:pStyle w:val="Compact"/>
              <w:jc w:val="left"/>
            </w:pPr>
            <w:r>
              <w:t xml:space="preserve">Web, consumer monitors, social delivery</w:t>
            </w:r>
          </w:p>
        </w:tc>
        <w:tc>
          <w:tcPr/>
          <w:p>
            <w:pPr>
              <w:pStyle w:val="Compact"/>
              <w:jc w:val="left"/>
            </w:pPr>
            <w:r>
              <w:t xml:space="preserve">8-bit sufficient</w:t>
            </w:r>
          </w:p>
        </w:tc>
      </w:tr>
      <w:tr>
        <w:tc>
          <w:tcPr/>
          <w:p>
            <w:pPr>
              <w:pStyle w:val="Compact"/>
              <w:jc w:val="left"/>
            </w:pPr>
            <w:r>
              <w:t xml:space="preserve">Adobe RGB</w:t>
            </w:r>
          </w:p>
        </w:tc>
        <w:tc>
          <w:tcPr/>
          <w:p>
            <w:pPr>
              <w:pStyle w:val="Compact"/>
              <w:jc w:val="left"/>
            </w:pPr>
            <w:r>
              <w:t xml:space="preserve">Wider than sRGB, print-optimized</w:t>
            </w:r>
            <w:r>
              <w:t xml:space="preserve"> </w:t>
            </w:r>
            <w:r>
              <w:rPr>
                <w:vertAlign w:val="superscript"/>
              </w:rPr>
              <w:t xml:space="preserve">24</w:t>
            </w:r>
          </w:p>
        </w:tc>
        <w:tc>
          <w:tcPr/>
          <w:p>
            <w:pPr>
              <w:pStyle w:val="Compact"/>
              <w:jc w:val="left"/>
            </w:pPr>
            <w:r>
              <w:t xml:space="preserve">1998</w:t>
            </w:r>
          </w:p>
        </w:tc>
        <w:tc>
          <w:tcPr/>
          <w:p>
            <w:pPr>
              <w:pStyle w:val="Compact"/>
              <w:jc w:val="left"/>
            </w:pPr>
            <w:r>
              <w:t xml:space="preserve">Professional print reproduction</w:t>
            </w:r>
          </w:p>
        </w:tc>
        <w:tc>
          <w:tcPr/>
          <w:p>
            <w:pPr>
              <w:pStyle w:val="Compact"/>
              <w:jc w:val="left"/>
            </w:pPr>
            <w:r>
              <w:t xml:space="preserve">16-bit recommended</w:t>
            </w:r>
          </w:p>
        </w:tc>
      </w:tr>
      <w:tr>
        <w:tc>
          <w:tcPr/>
          <w:p>
            <w:pPr>
              <w:pStyle w:val="Compact"/>
              <w:jc w:val="left"/>
            </w:pPr>
            <w:r>
              <w:t xml:space="preserve">DCI-P3</w:t>
            </w:r>
          </w:p>
        </w:tc>
        <w:tc>
          <w:tcPr/>
          <w:p>
            <w:pPr>
              <w:pStyle w:val="Compact"/>
              <w:jc w:val="left"/>
            </w:pPr>
            <w:r>
              <w:t xml:space="preserve">Green primary closer to spectral green</w:t>
            </w:r>
            <w:r>
              <w:t xml:space="preserve"> </w:t>
            </w:r>
            <w:r>
              <w:rPr>
                <w:vertAlign w:val="superscript"/>
              </w:rPr>
              <w:t xml:space="preserve">24</w:t>
            </w:r>
          </w:p>
        </w:tc>
        <w:tc>
          <w:tcPr/>
          <w:p>
            <w:pPr>
              <w:pStyle w:val="Compact"/>
              <w:jc w:val="left"/>
            </w:pPr>
            <w:r>
              <w:t xml:space="preserve">2005</w:t>
            </w:r>
          </w:p>
        </w:tc>
        <w:tc>
          <w:tcPr/>
          <w:p>
            <w:pPr>
              <w:pStyle w:val="Compact"/>
              <w:jc w:val="left"/>
            </w:pPr>
            <w:r>
              <w:t xml:space="preserve">Digital cinema projection, modern monitors</w:t>
            </w:r>
          </w:p>
        </w:tc>
        <w:tc>
          <w:tcPr/>
          <w:p>
            <w:pPr>
              <w:pStyle w:val="Compact"/>
              <w:jc w:val="left"/>
            </w:pPr>
            <w:r>
              <w:t xml:space="preserve">8–10-bit</w:t>
            </w:r>
          </w:p>
        </w:tc>
      </w:tr>
      <w:tr>
        <w:tc>
          <w:tcPr/>
          <w:p>
            <w:pPr>
              <w:pStyle w:val="Compact"/>
              <w:jc w:val="left"/>
            </w:pPr>
            <w:r>
              <w:t xml:space="preserve">Rec.2020</w:t>
            </w:r>
          </w:p>
        </w:tc>
        <w:tc>
          <w:tcPr/>
          <w:p>
            <w:pPr>
              <w:pStyle w:val="Compact"/>
              <w:jc w:val="left"/>
            </w:pPr>
            <w:r>
              <w:t xml:space="preserve">Encompasses sRGB, Adobe RGB, and P3 fully</w:t>
            </w:r>
            <w:r>
              <w:t xml:space="preserve"> </w:t>
            </w:r>
            <w:r>
              <w:rPr>
                <w:vertAlign w:val="superscript"/>
              </w:rPr>
              <w:t xml:space="preserve">24</w:t>
            </w:r>
          </w:p>
        </w:tc>
        <w:tc>
          <w:tcPr/>
          <w:p>
            <w:pPr>
              <w:pStyle w:val="Compact"/>
              <w:jc w:val="left"/>
            </w:pPr>
            <w:r>
              <w:t xml:space="preserve">2012</w:t>
            </w:r>
          </w:p>
        </w:tc>
        <w:tc>
          <w:tcPr/>
          <w:p>
            <w:pPr>
              <w:pStyle w:val="Compact"/>
              <w:jc w:val="left"/>
            </w:pPr>
            <w:r>
              <w:t xml:space="preserve">UHD/HDR television, future-proof mastering</w:t>
            </w:r>
          </w:p>
        </w:tc>
        <w:tc>
          <w:tcPr/>
          <w:p>
            <w:pPr>
              <w:pStyle w:val="Compact"/>
              <w:jc w:val="left"/>
            </w:pPr>
            <w:r>
              <w:t xml:space="preserve">10-bit minimum</w:t>
            </w:r>
          </w:p>
        </w:tc>
      </w:tr>
      <w:tr>
        <w:tc>
          <w:tcPr/>
          <w:p>
            <w:pPr>
              <w:pStyle w:val="Compact"/>
              <w:jc w:val="left"/>
            </w:pPr>
            <w:r>
              <w:t xml:space="preserve">ACES (AP0/AP1)</w:t>
            </w:r>
          </w:p>
        </w:tc>
        <w:tc>
          <w:tcPr/>
          <w:p>
            <w:pPr>
              <w:pStyle w:val="Compact"/>
              <w:jc w:val="left"/>
            </w:pPr>
            <w:r>
              <w:t xml:space="preserve">All visible light (AP0); near-Rec.2020 (AP1)</w:t>
            </w:r>
            <w:r>
              <w:t xml:space="preserve"> </w:t>
            </w:r>
            <w:r>
              <w:rPr>
                <w:vertAlign w:val="superscript"/>
              </w:rPr>
              <w:t xml:space="preserve">25</w:t>
            </w:r>
          </w:p>
        </w:tc>
        <w:tc>
          <w:tcPr/>
          <w:p>
            <w:pPr>
              <w:pStyle w:val="Compact"/>
              <w:jc w:val="left"/>
            </w:pPr>
            <w:r>
              <w:t xml:space="preserve">2014</w:t>
            </w:r>
          </w:p>
        </w:tc>
        <w:tc>
          <w:tcPr/>
          <w:p>
            <w:pPr>
              <w:pStyle w:val="Compact"/>
              <w:jc w:val="left"/>
            </w:pPr>
            <w:r>
              <w:t xml:space="preserve">Cinematic color management, VFX, archiving</w:t>
            </w:r>
          </w:p>
        </w:tc>
        <w:tc>
          <w:tcPr/>
          <w:p>
            <w:pPr>
              <w:pStyle w:val="Compact"/>
              <w:jc w:val="left"/>
            </w:pPr>
            <w:r>
              <w:t xml:space="preserve">16/32-bit float</w:t>
            </w:r>
          </w:p>
        </w:tc>
      </w:tr>
    </w:tbl>
    <w:p>
      <w:pPr>
        <w:pStyle w:val="BodyText"/>
      </w:pPr>
      <w:r>
        <w:t xml:space="preserve">The sRGB Electro-Optical Transfer Function (EOTF) approximates a gamma 2.2 power function, though with a critical refinement: a steep linear segment near zero followed by a gamma-2.4 segment compressed to fit the remaining range. This piecewise design prevents compounding calculation inaccuracies on the darkest pixels through multiple linearization and de-linearization steps — a robustness property that pure power functions lack</w:t>
      </w:r>
      <w:r>
        <w:t xml:space="preserve"> </w:t>
      </w:r>
      <w:r>
        <w:rPr>
          <w:vertAlign w:val="superscript"/>
        </w:rPr>
        <w:t xml:space="preserve">26</w:t>
      </w:r>
      <w:r>
        <w:t xml:space="preserve">. For preset designers, this means shadow detail in sRGB workflows remains more stable across successive transformations than would be predicted by a simple gamma model.</w:t>
      </w:r>
    </w:p>
    <w:p>
      <w:pPr>
        <w:pStyle w:val="BodyText"/>
      </w:pPr>
      <w:r>
        <w:t xml:space="preserve">Adobe RGB extends the green-cyan region beyond sRGB, making it preferable for print workflows where CMYK conversion benefits from the additional gamut headroom. However, browser support for Adobe RGB remains extremely limited, and unsuspecting web delivery will strip embedded profiles, causing images to appear desaturated or shifted</w:t>
      </w:r>
      <w:r>
        <w:t xml:space="preserve"> </w:t>
      </w:r>
      <w:r>
        <w:rPr>
          <w:vertAlign w:val="superscript"/>
        </w:rPr>
        <w:t xml:space="preserve">24</w:t>
      </w:r>
      <w:r>
        <w:t xml:space="preserve">. DCI-P3, developed by Digital Cinema Initiatives in 2005, positions its green primary closer to the spectral locus than sRGB’s green, yielding more vivid foliage and teal tones — a property that explains its popularity for cinematic grading and its adoption as the design target for nearly all modern wide-gamut monitors</w:t>
      </w:r>
      <w:r>
        <w:t xml:space="preserve"> </w:t>
      </w:r>
      <w:r>
        <w:rPr>
          <w:vertAlign w:val="superscript"/>
        </w:rPr>
        <w:t xml:space="preserve">24</w:t>
      </w:r>
      <w:r>
        <w:t xml:space="preserve">. Rec.2020, specified by the ITU for ultra-high-definition television, fully contains all colors available in sRGB, Adobe RGB, and DCI-P3, making it the ultimate target for HDR content and future-proof mastering</w:t>
      </w:r>
      <w:r>
        <w:t xml:space="preserve"> </w:t>
      </w:r>
      <w:r>
        <w:rPr>
          <w:vertAlign w:val="superscript"/>
        </w:rPr>
        <w:t xml:space="preserve">23</w:t>
      </w:r>
      <w:r>
        <w:t xml:space="preserve">. Its sole practical limitation: the vast gamut demands 10-bit encoding at minimum; 8-bit will produce visible banding across smooth gradients</w:t>
      </w:r>
      <w:r>
        <w:t xml:space="preserve"> </w:t>
      </w:r>
      <w:r>
        <w:rPr>
          <w:vertAlign w:val="superscript"/>
        </w:rPr>
        <w:t xml:space="preserve">24</w:t>
      </w:r>
      <w:r>
        <w:t xml:space="preserve">.</w:t>
      </w:r>
    </w:p>
    <w:p>
      <w:pPr>
        <w:pStyle w:val="BodyText"/>
      </w:pPr>
      <w:r>
        <w:t xml:space="preserve">ACES occupies a distinct category. The ACES 2065-1 color space uses AP0 primaries — the mathematically smallest triangle that encompasses all visible colors — and maintains more than 25 stops of exposure latitude in linear encoding</w:t>
      </w:r>
      <w:r>
        <w:t xml:space="preserve"> </w:t>
      </w:r>
      <w:r>
        <w:rPr>
          <w:vertAlign w:val="superscript"/>
        </w:rPr>
        <w:t xml:space="preserve">27</w:t>
      </w:r>
      <w:r>
        <w:t xml:space="preserve">. For practical grading, ACEScct employs logarithmic encoding with the narrower AP1 primaries (close to but slightly wider than Rec.2020), providing the intuitive tonal response that colorists require while preserving sufficient gamut for virtually any deliverable</w:t>
      </w:r>
      <w:r>
        <w:t xml:space="preserve"> </w:t>
      </w:r>
      <w:r>
        <w:rPr>
          <w:vertAlign w:val="superscript"/>
        </w:rPr>
        <w:t xml:space="preserve">25</w:t>
      </w:r>
      <w:r>
        <w:t xml:space="preserve">. The ACES pipeline — IDT → RRT → ODT — converts camera-native data into the ACES working space, applies a standardized reference rendering transform that compresses highlights and rolls off saturated colors, and then maps to a specific display standard. In ACES 2.0, the RRT and ODT have been combined into a single Output Transform</w:t>
      </w:r>
      <w:r>
        <w:t xml:space="preserve"> </w:t>
      </w:r>
      <w:r>
        <w:rPr>
          <w:vertAlign w:val="superscript"/>
        </w:rPr>
        <w:t xml:space="preserve">28</w:t>
      </w:r>
      <w:r>
        <w:t xml:space="preserve">. For LUT designers, ACES compatibility means building transforms that operate within a scene-referred linear working space before any display mapping occurs — a requirement that fundamentally changes how tone curves and saturation adjustments are calculated.</w:t>
      </w:r>
    </w:p>
    <w:bookmarkEnd w:id="39"/>
    <w:bookmarkStart w:id="40" w:name="X5e114fa2ae13a5098f28e00bf1bab57df773146"/>
    <w:p>
      <w:pPr>
        <w:pStyle w:val="Heading4"/>
      </w:pPr>
      <w:r>
        <w:t xml:space="preserve">2.1.2 Gamma curves: linear, sRGB piecewise, PQ (ST 2084), HLG — applications in LUT design</w:t>
      </w:r>
    </w:p>
    <w:p>
      <w:pPr>
        <w:pStyle w:val="FirstParagraph"/>
      </w:pPr>
      <w:r>
        <w:t xml:space="preserve">The gamma curve defines how encoded numerical values translate to displayed luminance. Each curve carries distinct mathematical properties that shape the behavior of LUTs applied downstream.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Gamma Curve</w:t>
            </w:r>
          </w:p>
        </w:tc>
        <w:tc>
          <w:tcPr/>
          <w:p>
            <w:pPr>
              <w:pStyle w:val="Compact"/>
              <w:jc w:val="left"/>
            </w:pPr>
            <w:r>
              <w:t xml:space="preserve">Target Application</w:t>
            </w:r>
          </w:p>
        </w:tc>
        <w:tc>
          <w:tcPr/>
          <w:p>
            <w:pPr>
              <w:pStyle w:val="Compact"/>
              <w:jc w:val="left"/>
            </w:pPr>
            <w:r>
              <w:t xml:space="preserve">Brightness Model</w:t>
            </w:r>
          </w:p>
        </w:tc>
        <w:tc>
          <w:tcPr/>
          <w:p>
            <w:pPr>
              <w:pStyle w:val="Compact"/>
              <w:jc w:val="left"/>
            </w:pPr>
            <w:r>
              <w:t xml:space="preserve">SDR Compatibility</w:t>
            </w:r>
          </w:p>
        </w:tc>
        <w:tc>
          <w:tcPr/>
          <w:p>
            <w:pPr>
              <w:pStyle w:val="Compact"/>
              <w:jc w:val="left"/>
            </w:pPr>
            <w:r>
              <w:t xml:space="preserve">Key Property</w:t>
            </w:r>
          </w:p>
        </w:tc>
      </w:tr>
      <w:tr>
        <w:tc>
          <w:tcPr/>
          <w:p>
            <w:pPr>
              <w:pStyle w:val="Compact"/>
              <w:jc w:val="left"/>
            </w:pPr>
            <w:r>
              <w:t xml:space="preserve">Linear (</w:t>
            </w:r>
            <m:oMath>
              <m:r>
                <m:t>γ</m:t>
              </m:r>
              <m:r>
                <m:rPr>
                  <m:sty m:val="p"/>
                </m:rPr>
                <m:t>=</m:t>
              </m:r>
              <m:r>
                <m:t>1.0</m:t>
              </m:r>
            </m:oMath>
            <w:r>
              <w:t xml:space="preserve">)</w:t>
            </w:r>
          </w:p>
        </w:tc>
        <w:tc>
          <w:tcPr/>
          <w:p>
            <w:pPr>
              <w:pStyle w:val="Compact"/>
              <w:jc w:val="left"/>
            </w:pPr>
            <w:r>
              <w:t xml:space="preserve">VFX, CG, compositing</w:t>
            </w:r>
          </w:p>
        </w:tc>
        <w:tc>
          <w:tcPr/>
          <w:p>
            <w:pPr>
              <w:pStyle w:val="Compact"/>
              <w:jc w:val="left"/>
            </w:pPr>
            <w:r>
              <w:t xml:space="preserve">Physically proportional</w:t>
            </w:r>
          </w:p>
        </w:tc>
        <w:tc>
          <w:tcPr/>
          <w:p>
            <w:pPr>
              <w:pStyle w:val="Compact"/>
              <w:jc w:val="left"/>
            </w:pPr>
            <w:r>
              <w:t xml:space="preserve">No</w:t>
            </w:r>
          </w:p>
        </w:tc>
        <w:tc>
          <w:tcPr/>
          <w:p>
            <w:pPr>
              <w:pStyle w:val="Compact"/>
              <w:jc w:val="left"/>
            </w:pPr>
            <w:r>
              <w:t xml:space="preserve">Light-additive correctness</w:t>
            </w:r>
            <w:r>
              <w:t xml:space="preserve"> </w:t>
            </w:r>
            <w:r>
              <w:rPr>
                <w:vertAlign w:val="superscript"/>
              </w:rPr>
              <w:t xml:space="preserve">25</w:t>
            </w:r>
          </w:p>
        </w:tc>
      </w:tr>
      <w:tr>
        <w:tc>
          <w:tcPr/>
          <w:p>
            <w:pPr>
              <w:pStyle w:val="Compact"/>
              <w:jc w:val="left"/>
            </w:pPr>
            <w:r>
              <w:t xml:space="preserve">sRGB piecewise</w:t>
            </w:r>
          </w:p>
        </w:tc>
        <w:tc>
          <w:tcPr/>
          <w:p>
            <w:pPr>
              <w:pStyle w:val="Compact"/>
              <w:jc w:val="left"/>
            </w:pPr>
            <w:r>
              <w:t xml:space="preserve">Web, consumer displays</w:t>
            </w:r>
          </w:p>
        </w:tc>
        <w:tc>
          <w:tcPr/>
          <w:p>
            <w:pPr>
              <w:pStyle w:val="Compact"/>
              <w:jc w:val="left"/>
            </w:pPr>
            <w:r>
              <w:t xml:space="preserve">~</w:t>
            </w:r>
            <m:oMath>
              <m:r>
                <m:t>γ</m:t>
              </m:r>
            </m:oMath>
            <w:r>
              <w:t xml:space="preserve"> </w:t>
            </w:r>
            <w:r>
              <w:t xml:space="preserve">2.2 with linear toe</w:t>
            </w:r>
          </w:p>
        </w:tc>
        <w:tc>
          <w:tcPr/>
          <w:p>
            <w:pPr>
              <w:pStyle w:val="Compact"/>
              <w:jc w:val="left"/>
            </w:pPr>
            <w:r>
              <w:t xml:space="preserve">Yes</w:t>
            </w:r>
          </w:p>
        </w:tc>
        <w:tc>
          <w:tcPr/>
          <w:p>
            <w:pPr>
              <w:pStyle w:val="Compact"/>
              <w:jc w:val="left"/>
            </w:pPr>
            <w:r>
              <w:t xml:space="preserve">Robust through multiple generations</w:t>
            </w:r>
            <w:r>
              <w:t xml:space="preserve"> </w:t>
            </w:r>
            <w:r>
              <w:rPr>
                <w:vertAlign w:val="superscript"/>
              </w:rPr>
              <w:t xml:space="preserve">26</w:t>
            </w:r>
          </w:p>
        </w:tc>
      </w:tr>
      <w:tr>
        <w:tc>
          <w:tcPr/>
          <w:p>
            <w:pPr>
              <w:pStyle w:val="Compact"/>
              <w:jc w:val="left"/>
            </w:pPr>
            <w:r>
              <w:t xml:space="preserve">Gamma 2.4 / BT.1886</w:t>
            </w:r>
          </w:p>
        </w:tc>
        <w:tc>
          <w:tcPr/>
          <w:p>
            <w:pPr>
              <w:pStyle w:val="Compact"/>
              <w:jc w:val="left"/>
            </w:pPr>
            <w:r>
              <w:t xml:space="preserve">HD broadcast, cinema</w:t>
            </w:r>
          </w:p>
        </w:tc>
        <w:tc>
          <w:tcPr/>
          <w:p>
            <w:pPr>
              <w:pStyle w:val="Compact"/>
              <w:jc w:val="left"/>
            </w:pPr>
            <m:oMath>
              <m:r>
                <m:t>L</m:t>
              </m:r>
              <m:r>
                <m:rPr>
                  <m:sty m:val="p"/>
                </m:rPr>
                <m:t>=</m:t>
              </m:r>
              <m:r>
                <m:t>a</m:t>
              </m:r>
              <m:sSup>
                <m:e>
                  <m:d>
                    <m:dPr>
                      <m:begChr m:val="("/>
                      <m:endChr m:val=")"/>
                      <m:sepChr m:val=""/>
                      <m:grow/>
                    </m:dPr>
                    <m:e>
                      <m:r>
                        <m:t>m</m:t>
                      </m:r>
                      <m:r>
                        <m:t>a</m:t>
                      </m:r>
                      <m:r>
                        <m:t>x</m:t>
                      </m:r>
                      <m:d>
                        <m:dPr>
                          <m:begChr m:val="["/>
                          <m:endChr m:val="]"/>
                          <m:sepChr m:val=""/>
                          <m:grow/>
                        </m:dPr>
                        <m:e>
                          <m:d>
                            <m:dPr>
                              <m:begChr m:val="("/>
                              <m:endChr m:val=")"/>
                              <m:sepChr m:val=""/>
                              <m:grow/>
                            </m:dPr>
                            <m:e>
                              <m:r>
                                <m:t>V</m:t>
                              </m:r>
                              <m:r>
                                <m:rPr>
                                  <m:sty m:val="p"/>
                                </m:rPr>
                                <m:t>+</m:t>
                              </m:r>
                              <m:r>
                                <m:t>b</m:t>
                              </m:r>
                            </m:e>
                          </m:d>
                          <m:r>
                            <m:rPr>
                              <m:sty m:val="p"/>
                            </m:rPr>
                            <m:t>,</m:t>
                          </m:r>
                          <m:r>
                            <m:t>0</m:t>
                          </m:r>
                        </m:e>
                      </m:d>
                    </m:e>
                  </m:d>
                </m:e>
                <m:sup>
                  <m:r>
                    <m:t>2.4</m:t>
                  </m:r>
                </m:sup>
              </m:sSup>
            </m:oMath>
          </w:p>
        </w:tc>
        <w:tc>
          <w:tcPr/>
          <w:p>
            <w:pPr>
              <w:pStyle w:val="Compact"/>
              <w:jc w:val="left"/>
            </w:pPr>
            <w:r>
              <w:t xml:space="preserve">Yes</w:t>
            </w:r>
          </w:p>
        </w:tc>
        <w:tc>
          <w:tcPr/>
          <w:p>
            <w:pPr>
              <w:pStyle w:val="Compact"/>
              <w:jc w:val="left"/>
            </w:pPr>
            <w:r>
              <w:t xml:space="preserve">Dark-room optimized</w:t>
            </w:r>
            <w:r>
              <w:t xml:space="preserve"> </w:t>
            </w:r>
            <w:r>
              <w:rPr>
                <w:vertAlign w:val="superscript"/>
              </w:rPr>
              <w:t xml:space="preserve">29</w:t>
            </w:r>
          </w:p>
        </w:tc>
      </w:tr>
      <w:tr>
        <w:tc>
          <w:tcPr/>
          <w:p>
            <w:pPr>
              <w:pStyle w:val="Compact"/>
              <w:jc w:val="left"/>
            </w:pPr>
            <w:r>
              <w:t xml:space="preserve">PQ (ST 2084)</w:t>
            </w:r>
          </w:p>
        </w:tc>
        <w:tc>
          <w:tcPr/>
          <w:p>
            <w:pPr>
              <w:pStyle w:val="Compact"/>
              <w:jc w:val="left"/>
            </w:pPr>
            <w:r>
              <w:t xml:space="preserve">HDR streaming, movies</w:t>
            </w:r>
          </w:p>
        </w:tc>
        <w:tc>
          <w:tcPr/>
          <w:p>
            <w:pPr>
              <w:pStyle w:val="Compact"/>
              <w:jc w:val="left"/>
            </w:pPr>
            <w:r>
              <w:t xml:space="preserve">Absolute to 10,000 cd/m</w:t>
            </w:r>
            <m:oMath>
              <m:sSup>
                <m:e>
                  <m:r>
                    <m:t>​</m:t>
                  </m:r>
                </m:e>
                <m:sup>
                  <m:r>
                    <m:t>2</m:t>
                  </m:r>
                </m:sup>
              </m:sSup>
            </m:oMath>
          </w:p>
        </w:tc>
        <w:tc>
          <w:tcPr/>
          <w:p>
            <w:pPr>
              <w:pStyle w:val="Compact"/>
              <w:jc w:val="left"/>
            </w:pPr>
            <w:r>
              <w:t xml:space="preserve">Poor</w:t>
            </w:r>
          </w:p>
        </w:tc>
        <w:tc>
          <w:tcPr/>
          <w:p>
            <w:pPr>
              <w:pStyle w:val="Compact"/>
              <w:jc w:val="left"/>
            </w:pPr>
            <w:r>
              <w:t xml:space="preserve">Perceptually uniform quantization</w:t>
            </w:r>
            <w:r>
              <w:t xml:space="preserve"> </w:t>
            </w:r>
            <w:r>
              <w:rPr>
                <w:vertAlign w:val="superscript"/>
              </w:rPr>
              <w:t xml:space="preserve">30</w:t>
            </w:r>
          </w:p>
        </w:tc>
      </w:tr>
      <w:tr>
        <w:tc>
          <w:tcPr/>
          <w:p>
            <w:pPr>
              <w:pStyle w:val="Compact"/>
              <w:jc w:val="left"/>
            </w:pPr>
            <w:r>
              <w:t xml:space="preserve">HLG</w:t>
            </w:r>
          </w:p>
        </w:tc>
        <w:tc>
          <w:tcPr/>
          <w:p>
            <w:pPr>
              <w:pStyle w:val="Compact"/>
              <w:jc w:val="left"/>
            </w:pPr>
            <w:r>
              <w:t xml:space="preserve">HDR broadcast, live</w:t>
            </w:r>
          </w:p>
        </w:tc>
        <w:tc>
          <w:tcPr/>
          <w:p>
            <w:pPr>
              <w:pStyle w:val="Compact"/>
              <w:jc w:val="left"/>
            </w:pPr>
            <w:r>
              <w:t xml:space="preserve">Relative to display capability</w:t>
            </w:r>
          </w:p>
        </w:tc>
        <w:tc>
          <w:tcPr/>
          <w:p>
            <w:pPr>
              <w:pStyle w:val="Compact"/>
              <w:jc w:val="left"/>
            </w:pPr>
            <w:r>
              <w:t xml:space="preserve">Good</w:t>
            </w:r>
          </w:p>
        </w:tc>
        <w:tc>
          <w:tcPr/>
          <w:p>
            <w:pPr>
              <w:pStyle w:val="Compact"/>
              <w:jc w:val="left"/>
            </w:pPr>
            <w:r>
              <w:t xml:space="preserve">Backward-compatible with SDR</w:t>
            </w:r>
            <w:r>
              <w:t xml:space="preserve"> </w:t>
            </w:r>
            <w:r>
              <w:rPr>
                <w:vertAlign w:val="superscript"/>
              </w:rPr>
              <w:t xml:space="preserve">30</w:t>
            </w:r>
          </w:p>
        </w:tc>
      </w:tr>
    </w:tbl>
    <w:p>
      <w:pPr>
        <w:pStyle w:val="BodyText"/>
      </w:pPr>
      <w:r>
        <w:t xml:space="preserve">Linear gamma encodes light intensity in direct proportion to physical radiance. All physically correct compositing, CG rendering, and ACES processing occurs in linear light because light addition is mathematically valid only in this domain</w:t>
      </w:r>
      <w:r>
        <w:t xml:space="preserve"> </w:t>
      </w:r>
      <w:r>
        <w:rPr>
          <w:vertAlign w:val="superscript"/>
        </w:rPr>
        <w:t xml:space="preserve">25</w:t>
      </w:r>
      <w:r>
        <w:t xml:space="preserve">. LUTs intended for linear workflows must be designed with this constraint — any tone curve that assumes a perceptual encoding will produce catastrophic results when applied to linear data.</w:t>
      </w:r>
    </w:p>
    <w:p>
      <w:pPr>
        <w:pStyle w:val="BodyText"/>
      </w:pPr>
      <w:r>
        <w:t xml:space="preserve">BT.1886, adopted by the ITU in 2011, generalizes the gamma-2.4 model with the formula</w:t>
      </w:r>
      <w:r>
        <w:t xml:space="preserve"> </w:t>
      </w:r>
      <m:oMath>
        <m:r>
          <m:t>L</m:t>
        </m:r>
        <m:r>
          <m:rPr>
            <m:sty m:val="p"/>
          </m:rPr>
          <m:t>=</m:t>
        </m:r>
        <m:r>
          <m:t>a</m:t>
        </m:r>
        <m:sSup>
          <m:e>
            <m:d>
              <m:dPr>
                <m:begChr m:val="("/>
                <m:endChr m:val=")"/>
                <m:sepChr m:val=""/>
                <m:grow/>
              </m:dPr>
              <m:e>
                <m:r>
                  <m:t>m</m:t>
                </m:r>
                <m:r>
                  <m:t>a</m:t>
                </m:r>
                <m:r>
                  <m:t>x</m:t>
                </m:r>
                <m:d>
                  <m:dPr>
                    <m:begChr m:val="["/>
                    <m:endChr m:val="]"/>
                    <m:sepChr m:val=""/>
                    <m:grow/>
                  </m:dPr>
                  <m:e>
                    <m:d>
                      <m:dPr>
                        <m:begChr m:val="("/>
                        <m:endChr m:val=")"/>
                        <m:sepChr m:val=""/>
                        <m:grow/>
                      </m:dPr>
                      <m:e>
                        <m:r>
                          <m:t>V</m:t>
                        </m:r>
                        <m:r>
                          <m:rPr>
                            <m:sty m:val="p"/>
                          </m:rPr>
                          <m:t>+</m:t>
                        </m:r>
                        <m:r>
                          <m:t>b</m:t>
                        </m:r>
                      </m:e>
                    </m:d>
                    <m:r>
                      <m:rPr>
                        <m:sty m:val="p"/>
                      </m:rPr>
                      <m:t>,</m:t>
                    </m:r>
                    <m:r>
                      <m:t>0</m:t>
                    </m:r>
                  </m:e>
                </m:d>
              </m:e>
            </m:d>
          </m:e>
          <m:sup>
            <m:r>
              <m:t>γ</m:t>
            </m:r>
          </m:sup>
        </m:sSup>
      </m:oMath>
      <w:r>
        <w:t xml:space="preserve">, where coefficients</w:t>
      </w:r>
      <w:r>
        <w:t xml:space="preserve"> </w:t>
      </w:r>
      <m:oMath>
        <m:r>
          <m:t>a</m:t>
        </m:r>
      </m:oMath>
      <w:r>
        <w:t xml:space="preserve"> </w:t>
      </w:r>
      <w:r>
        <w:t xml:space="preserve">and</w:t>
      </w:r>
      <w:r>
        <w:t xml:space="preserve"> </w:t>
      </w:r>
      <m:oMath>
        <m:r>
          <m:t>b</m:t>
        </m:r>
      </m:oMath>
      <w:r>
        <w:t xml:space="preserve"> </w:t>
      </w:r>
      <w:r>
        <w:t xml:space="preserve">compensate for the non-zero black level and limited contrast ratio of real displays. For a perfect display,</w:t>
      </w:r>
      <w:r>
        <w:t xml:space="preserve"> </w:t>
      </w:r>
      <m:oMath>
        <m:r>
          <m:t>a</m:t>
        </m:r>
        <m:r>
          <m:rPr>
            <m:sty m:val="p"/>
          </m:rPr>
          <m:t>=</m:t>
        </m:r>
        <m:r>
          <m:t>1</m:t>
        </m:r>
      </m:oMath>
      <w:r>
        <w:t xml:space="preserve"> </w:t>
      </w:r>
      <w:r>
        <w:t xml:space="preserve">and</w:t>
      </w:r>
      <w:r>
        <w:t xml:space="preserve"> </w:t>
      </w:r>
      <m:oMath>
        <m:r>
          <m:t>b</m:t>
        </m:r>
        <m:r>
          <m:rPr>
            <m:sty m:val="p"/>
          </m:rPr>
          <m:t>=</m:t>
        </m:r>
        <m:r>
          <m:t>0</m:t>
        </m:r>
      </m:oMath>
      <w:r>
        <w:t xml:space="preserve">, collapsing to pure gamma 2.4</w:t>
      </w:r>
      <w:r>
        <w:t xml:space="preserve"> </w:t>
      </w:r>
      <w:r>
        <w:rPr>
          <w:vertAlign w:val="superscript"/>
        </w:rPr>
        <w:t xml:space="preserve">29</w:t>
      </w:r>
      <w:r>
        <w:t xml:space="preserve">. PQ (Perceptual Quantizer, SMPTE ST 2084) represents a fundamental departure: it defines luminance in absolute terms, with a peak of 10,000 cd/m</w:t>
      </w:r>
      <m:oMath>
        <m:sSup>
          <m:e>
            <m:r>
              <m:t>​</m:t>
            </m:r>
          </m:e>
          <m:sup>
            <m:r>
              <m:t>2</m:t>
            </m:r>
          </m:sup>
        </m:sSup>
      </m:oMath>
      <w:r>
        <w:t xml:space="preserve">, and allocates coding values according to human visual sensitivity rather than display characteristics. The same PQ-encoded signal produces identical perceptual results on a 500-nit tablet and a 2,000-nit television, with each display clipping to its own maximum</w:t>
      </w:r>
      <w:r>
        <w:t xml:space="preserve"> </w:t>
      </w:r>
      <w:r>
        <w:rPr>
          <w:vertAlign w:val="superscript"/>
        </w:rPr>
        <w:t xml:space="preserve">30</w:t>
      </w:r>
      <w:r>
        <w:t xml:space="preserve">. HLG (Hybrid Log-Gamma), developed by the BBC and NHK, takes the opposite approach: its luminance mapping is relative, scaling to each display’s capabilities. This allows a single HLG signal to produce acceptable images on both SDR and HDR displays, making it the preferred choice for live broadcast where dual-stream delivery is impractical</w:t>
      </w:r>
      <w:r>
        <w:t xml:space="preserve"> </w:t>
      </w:r>
      <w:r>
        <w:rPr>
          <w:vertAlign w:val="superscript"/>
        </w:rPr>
        <w:t xml:space="preserve">30</w:t>
      </w:r>
      <w:r>
        <w:t xml:space="preserve">.</w:t>
      </w:r>
    </w:p>
    <w:p>
      <w:pPr>
        <w:pStyle w:val="BodyText"/>
      </w:pPr>
      <w:r>
        <w:t xml:space="preserve">For preset designers, the choice of gamma curve determines where tonal compression occurs. An SDR preset that crushes blacks by clipping code values near zero will behave differently in PQ, where the bottom of the curve encodes absolute luminance rather than relative levels. HDR-aware presets — a category projected to grow as HDR displays proliferate across phones, laptops, and televisions — must specify luminance mapping ranges rather than assuming a fixed 0–100% scale.</w:t>
      </w:r>
    </w:p>
    <w:bookmarkEnd w:id="40"/>
    <w:bookmarkStart w:id="41" w:name="Xdd543e92fb4fb10e5d774e01f31028e964bca92"/>
    <w:p>
      <w:pPr>
        <w:pStyle w:val="Heading4"/>
      </w:pPr>
      <w:r>
        <w:t xml:space="preserve">2.1.3 ACES workflow: IDT → RRT → ODT pipeline and its impact on modern LUT architecture</w:t>
      </w:r>
    </w:p>
    <w:p>
      <w:pPr>
        <w:pStyle w:val="FirstParagraph"/>
      </w:pPr>
      <w:r>
        <w:t xml:space="preserve">The ACES workflow enforces a scene-referred philosophy that separates color transformation from display characteristics. The Input Device Transform (IDT) converts camera-native color — whether from an ARRI Alexa, Sony Venice, or Canon C70 — into the ACES working space. The Reference Rendering Transform (RRT) applies a standardized tone curve and gamut mapping that simulates the response characteristics of film stock: highlight compression, shadow expansion, and saturation rolloff to prevent channel clipping. The Output Device Transform (ODT) then converts this rendered scene into the specific display standard, whether DCI-P3 for theatrical projection or Rec.709 for broadcast</w:t>
      </w:r>
      <w:r>
        <w:t xml:space="preserve"> </w:t>
      </w:r>
      <w:r>
        <w:rPr>
          <w:vertAlign w:val="superscript"/>
        </w:rPr>
        <w:t xml:space="preserve">28</w:t>
      </w:r>
      <w:r>
        <w:t xml:space="preserve">.</w:t>
      </w:r>
    </w:p>
    <w:p>
      <w:pPr>
        <w:pStyle w:val="BodyText"/>
      </w:pPr>
      <w:r>
        <w:t xml:space="preserve">This architecture has two critical implications for LUT design. First, creative LUTs should be built for the working space between IDT and ODT — not for a specific display — ensuring they translate predictably across delivery formats. Second, the RRT itself functions as a</w:t>
      </w:r>
      <w:r>
        <w:t xml:space="preserve"> </w:t>
      </w:r>
      <w:r>
        <w:t xml:space="preserve">“</w:t>
      </w:r>
      <w:r>
        <w:t xml:space="preserve">film stock</w:t>
      </w:r>
      <w:r>
        <w:t xml:space="preserve">”</w:t>
      </w:r>
      <w:r>
        <w:t xml:space="preserve"> </w:t>
      </w:r>
      <w:r>
        <w:t xml:space="preserve">baked into the standard, providing a baseline cinematic response that any creative LUT amplifies or modifies</w:t>
      </w:r>
      <w:r>
        <w:t xml:space="preserve"> </w:t>
      </w:r>
      <w:r>
        <w:rPr>
          <w:vertAlign w:val="superscript"/>
        </w:rPr>
        <w:t xml:space="preserve">28</w:t>
      </w:r>
      <w:r>
        <w:t xml:space="preserve">. LUTs that ignore this pipeline risk producing unpredictable results when users move between SDR and HDR deliverables, or between Rec.709 web output and DCI-P3 theatrical projection. The scene-referred approach also means that LUTs must be designed to operate on linear or log-encoded data rather than on display-referred signals, requiring fundamentally different mathematical formulations for tone mapping and saturation adjustments.</w:t>
      </w:r>
    </w:p>
    <w:bookmarkEnd w:id="41"/>
    <w:bookmarkEnd w:id="42"/>
    <w:bookmarkStart w:id="46" w:name="tone-curves-and-contrast-engineering"/>
    <w:p>
      <w:pPr>
        <w:pStyle w:val="Heading3"/>
      </w:pPr>
      <w:r>
        <w:t xml:space="preserve">2.2 Tone Curves and Contrast Engineering</w:t>
      </w:r>
    </w:p>
    <w:bookmarkStart w:id="43" w:name="X3e8266509ed493b3a6d3b1e171861ebf4cd083a"/>
    <w:p>
      <w:pPr>
        <w:pStyle w:val="Heading4"/>
      </w:pPr>
      <w:r>
        <w:t xml:space="preserve">2.2.1 S-curve as the fundamental contrast-building tool: darken shadows, brighten highlights</w:t>
      </w:r>
    </w:p>
    <w:p>
      <w:pPr>
        <w:pStyle w:val="FirstParagraph"/>
      </w:pPr>
      <w:r>
        <w:t xml:space="preserve">The S-curve is the most widely employed technique for tonal contrast manipulation. In practice, a colorist adds a control point in the shadow region and pulls it downward, then adds a second point in the highlight region and pushes it upward</w:t>
      </w:r>
      <w:r>
        <w:t xml:space="preserve"> </w:t>
      </w:r>
      <w:r>
        <w:rPr>
          <w:vertAlign w:val="superscript"/>
        </w:rPr>
        <w:t xml:space="preserve">31</w:t>
      </w:r>
      <w:r>
        <w:t xml:space="preserve">. The result increases separation between dark and bright areas, expanding perceived depth and dimensionality. The critical discipline lies in restraint: small moves produce natural contrast enhancement, while aggressive curves yield clipped shadows and blown highlights that signal amateur execution. Professional practice involves nudging points one value at a time, evaluating the result, and iterating — particularly when working with 8-bit source material where each tonal band represents a finite, non-recoverable step</w:t>
      </w:r>
      <w:r>
        <w:t xml:space="preserve"> </w:t>
      </w:r>
      <w:r>
        <w:rPr>
          <w:vertAlign w:val="superscript"/>
        </w:rPr>
        <w:t xml:space="preserve">31</w:t>
      </w:r>
      <w:r>
        <w:t xml:space="preserve">.</w:t>
      </w:r>
    </w:p>
    <w:bookmarkEnd w:id="43"/>
    <w:bookmarkStart w:id="44" w:name="Xdace05b35fb15edeb543f385a6a7c22d6032712"/>
    <w:p>
      <w:pPr>
        <w:pStyle w:val="Heading4"/>
      </w:pPr>
      <w:r>
        <w:t xml:space="preserve">2.2.2 Film-like rolloff: lifting black point 5–10% for compressed dynamic range emulation</w:t>
      </w:r>
    </w:p>
    <w:p>
      <w:pPr>
        <w:pStyle w:val="FirstParagraph"/>
      </w:pPr>
      <w:r>
        <w:t xml:space="preserve">Analog film stock cannot achieve the deep, absolute blacks that digital sensors render with ease. The lowest densities on even the densest film stocks correspond to roughly 5–10% above digital black, producing a characteristic</w:t>
      </w:r>
      <w:r>
        <w:t xml:space="preserve"> </w:t>
      </w:r>
      <w:r>
        <w:t xml:space="preserve">“</w:t>
      </w:r>
      <w:r>
        <w:t xml:space="preserve">matte</w:t>
      </w:r>
      <w:r>
        <w:t xml:space="preserve">”</w:t>
      </w:r>
      <w:r>
        <w:t xml:space="preserve"> </w:t>
      </w:r>
      <w:r>
        <w:t xml:space="preserve">or</w:t>
      </w:r>
      <w:r>
        <w:t xml:space="preserve"> </w:t>
      </w:r>
      <w:r>
        <w:t xml:space="preserve">“</w:t>
      </w:r>
      <w:r>
        <w:t xml:space="preserve">lifted</w:t>
      </w:r>
      <w:r>
        <w:t xml:space="preserve">”</w:t>
      </w:r>
      <w:r>
        <w:t xml:space="preserve"> </w:t>
      </w:r>
      <w:r>
        <w:t xml:space="preserve">appearance in shadow areas</w:t>
      </w:r>
      <w:r>
        <w:t xml:space="preserve"> </w:t>
      </w:r>
      <w:r>
        <w:rPr>
          <w:vertAlign w:val="superscript"/>
        </w:rPr>
        <w:t xml:space="preserve">32</w:t>
      </w:r>
      <w:r>
        <w:t xml:space="preserve">. To emulate this behavior, a colorist lifts the far-left anchor point of the tone curve — the point representing pure black — vertically to remap zero-luminance values to a medium gray. The precise position determines the strength of the effect: a 5% lift produces subtle film texture, while pushing beyond 10% risks a muddy, washed-out appearance that loses shadow separation</w:t>
      </w:r>
      <w:r>
        <w:t xml:space="preserve"> </w:t>
      </w:r>
      <w:r>
        <w:rPr>
          <w:vertAlign w:val="superscript"/>
        </w:rPr>
        <w:t xml:space="preserve">32</w:t>
      </w:r>
      <w:r>
        <w:t xml:space="preserve">. This technique, combined with the S-curve contrast expansion described above, creates the signature</w:t>
      </w:r>
      <w:r>
        <w:t xml:space="preserve"> </w:t>
      </w:r>
      <w:r>
        <w:t xml:space="preserve">“</w:t>
      </w:r>
      <w:r>
        <w:t xml:space="preserve">film fade</w:t>
      </w:r>
      <w:r>
        <w:t xml:space="preserve">”</w:t>
      </w:r>
      <w:r>
        <w:t xml:space="preserve"> </w:t>
      </w:r>
      <w:r>
        <w:t xml:space="preserve">aesthetic that has dominated wedding and editorial photography for the past decade.</w:t>
      </w:r>
    </w:p>
    <w:bookmarkEnd w:id="44"/>
    <w:bookmarkStart w:id="45" w:name="X60233bec28093d0334646465ef13083c0dffe16"/>
    <w:p>
      <w:pPr>
        <w:pStyle w:val="Heading4"/>
      </w:pPr>
      <w:r>
        <w:t xml:space="preserve">2.2.3 Highlight compression: pulling white point down for creamy, film-like highlights</w:t>
      </w:r>
    </w:p>
    <w:p>
      <w:pPr>
        <w:pStyle w:val="FirstParagraph"/>
      </w:pPr>
      <w:r>
        <w:t xml:space="preserve">Film stocks exhibit a nonlinear response in the highlight region: as exposure increases, the emulsion approaches a saturation limit where additional light produces diminishing increases in density. This</w:t>
      </w:r>
      <w:r>
        <w:t xml:space="preserve"> </w:t>
      </w:r>
      <w:r>
        <w:t xml:space="preserve">“</w:t>
      </w:r>
      <w:r>
        <w:t xml:space="preserve">rolloff</w:t>
      </w:r>
      <w:r>
        <w:t xml:space="preserve">”</w:t>
      </w:r>
      <w:r>
        <w:t xml:space="preserve"> </w:t>
      </w:r>
      <w:r>
        <w:t xml:space="preserve">or</w:t>
      </w:r>
      <w:r>
        <w:t xml:space="preserve"> </w:t>
      </w:r>
      <w:r>
        <w:t xml:space="preserve">“</w:t>
      </w:r>
      <w:r>
        <w:t xml:space="preserve">shoulder</w:t>
      </w:r>
      <w:r>
        <w:t xml:space="preserve">”</w:t>
      </w:r>
      <w:r>
        <w:t xml:space="preserve"> </w:t>
      </w:r>
      <w:r>
        <w:t xml:space="preserve">behavior produces soft, creamy highlights that retain detail even in specular regions — a property that digital sensors, with their hard clip at maximum code value, do not naturally exhibit. To simulate this response, a colorist pulls the top-right anchor point of the tone curve slightly downward, compressing the brightest tonal values into a narrower range</w:t>
      </w:r>
      <w:r>
        <w:t xml:space="preserve"> </w:t>
      </w:r>
      <w:r>
        <w:rPr>
          <w:vertAlign w:val="superscript"/>
        </w:rPr>
        <w:t xml:space="preserve">32</w:t>
      </w:r>
      <w:r>
        <w:t xml:space="preserve">. The resulting highlights appear warmer, softer, and more organic — the visual signature of analog capture that remains one of the most sought-after characteristics in cinematic preset design.</w:t>
      </w:r>
    </w:p>
    <w:p>
      <w:pPr>
        <w:pStyle w:val="BodyText"/>
      </w:pPr>
      <w:r>
        <w:t xml:space="preserve">A related technique for maximizing tonal range involves simultaneously lifting the black point and stretching the white point, effectively remapping the full dynamic range of the source to occupy a broader span. One trade-off demands attention: once the white point has been lifted on the global tone curve, the headroom available for raising whites in local adjustments diminishes. Professional workflows plan edit order accordingly, reserving global compression for final stages after all local corrections are complete</w:t>
      </w:r>
      <w:r>
        <w:t xml:space="preserve"> </w:t>
      </w:r>
      <w:r>
        <w:rPr>
          <w:vertAlign w:val="superscript"/>
        </w:rPr>
        <w:t xml:space="preserve">32</w:t>
      </w:r>
      <w:r>
        <w:t xml:space="preserve">.</w:t>
      </w:r>
    </w:p>
    <w:bookmarkEnd w:id="45"/>
    <w:bookmarkEnd w:id="46"/>
    <w:bookmarkStart w:id="50" w:name="hsl-and-split-toning-science"/>
    <w:p>
      <w:pPr>
        <w:pStyle w:val="Heading3"/>
      </w:pPr>
      <w:r>
        <w:t xml:space="preserve">2.3 HSL and Split Toning Science</w:t>
      </w:r>
    </w:p>
    <w:bookmarkStart w:id="47" w:name="X030395ac091d3f1a1f9b8334c7fc1aa45c723ed"/>
    <w:p>
      <w:pPr>
        <w:pStyle w:val="Heading4"/>
      </w:pPr>
      <w:r>
        <w:t xml:space="preserve">2.3.1 Teal/Orange complementary scheme: exploiting opponent-process theory for skin tone separation</w:t>
      </w:r>
    </w:p>
    <w:p>
      <w:pPr>
        <w:pStyle w:val="FirstParagraph"/>
      </w:pPr>
      <w:r>
        <w:t xml:space="preserve">The teal-and-orange color grade — arguably the dominant cinematic aesthetic of the past fifteen years — achieves its visual impact not merely through cultural familiarity but through a precise exploitation of human visual physiology. Opponent Process Theory, first proposed by Ewald Hering in the late nineteenth century, posits that color perception is mediated by three opposing receptor complexes: blue-yellow, red-green, and black-white</w:t>
      </w:r>
      <w:r>
        <w:t xml:space="preserve"> </w:t>
      </w:r>
      <w:r>
        <w:rPr>
          <w:vertAlign w:val="superscript"/>
        </w:rPr>
        <w:t xml:space="preserve">33</w:t>
      </w:r>
      <w:r>
        <w:t xml:space="preserve">. The human visual system cannot simultaneously perceive yellowish-blue or reddish-green; it processes these pairs as mutually exclusive signals. The teal-and-orange scheme maps directly onto the blue-yellow opponent channel, pushing shadows and environmental tones toward cool cyan-teal while steering skin tones — which naturally cluster in the orange-amber region — toward warm orange. This creates maximum perceptual color contrast: the subject separates from the environment not only by brightness but by opponent-channel opposition, producing an inherently attention-directing composition</w:t>
      </w:r>
      <w:r>
        <w:t xml:space="preserve"> </w:t>
      </w:r>
      <w:r>
        <w:rPr>
          <w:vertAlign w:val="superscript"/>
        </w:rPr>
        <w:t xml:space="preserve">34</w:t>
      </w:r>
      <w:r>
        <w:t xml:space="preserve">.</w:t>
      </w:r>
    </w:p>
    <w:p>
      <w:pPr>
        <w:pStyle w:val="BodyText"/>
      </w:pPr>
      <w:r>
        <w:t xml:space="preserve">Technical implementation involves multiple simultaneous operations. Colorists first use primary wheels to lift shadows toward teal and nudge highlights toward orange. HSL secondaries then isolate the specific hue ranges corresponding to skin tones — typically a narrow band in the orange-amber region — allowing independent adjustment without affecting the environmental teal. Saturation targeting boosts the orange and teal axes while pulling back competing hues, particularly greens and magentas, that would otherwise disrupt the complementary structure</w:t>
      </w:r>
      <w:r>
        <w:t xml:space="preserve"> </w:t>
      </w:r>
      <w:r>
        <w:rPr>
          <w:vertAlign w:val="superscript"/>
        </w:rPr>
        <w:t xml:space="preserve">34</w:t>
      </w:r>
      <w:r>
        <w:t xml:space="preserve">. The difference between a grade that appears sophisticated and one that appears garish lies entirely in the narrowness of these isolations and the subtlety of the shifts.</w:t>
      </w:r>
    </w:p>
    <w:bookmarkEnd w:id="47"/>
    <w:bookmarkStart w:id="48" w:name="X8d17351809f86399c75a8fa38aba9e23b43e17e"/>
    <w:p>
      <w:pPr>
        <w:pStyle w:val="Heading4"/>
      </w:pPr>
      <w:r>
        <w:t xml:space="preserve">2.3.2 Split toning mechanics: warm yellow highlights + cool blue shadows — the cinematic formula</w:t>
      </w:r>
    </w:p>
    <w:p>
      <w:pPr>
        <w:pStyle w:val="FirstParagraph"/>
      </w:pPr>
      <w:r>
        <w:t xml:space="preserve">Split toning adds distinct color casts to different tonal regions of an image: one hue to highlights, a different (typically complementary) hue to shadows. The most common implementation pairs warm yellow-orange highlights with cool blue shadows — a combination that produces a moody, cinematic quality recognized across contemporary photography and film</w:t>
      </w:r>
      <w:r>
        <w:t xml:space="preserve"> </w:t>
      </w:r>
      <w:r>
        <w:rPr>
          <w:vertAlign w:val="superscript"/>
        </w:rPr>
        <w:t xml:space="preserve">35</w:t>
      </w:r>
      <w:r>
        <w:t xml:space="preserve">. Unlike white balance adjustment, which applies a uniform shift across all tones, split toning preserves the neutral character of midtones while introducing chromatic character at the extremes. Complete whites and complete blacks remain unaffected, ensuring that pure white objects and pure black shadows retain their neutrality while intermediate tones acquire the intended color cast</w:t>
      </w:r>
      <w:r>
        <w:t xml:space="preserve"> </w:t>
      </w:r>
      <w:r>
        <w:rPr>
          <w:vertAlign w:val="superscript"/>
        </w:rPr>
        <w:t xml:space="preserve">36</w:t>
      </w:r>
      <w:r>
        <w:t xml:space="preserve">.</w:t>
      </w:r>
    </w:p>
    <w:p>
      <w:pPr>
        <w:pStyle w:val="BodyText"/>
      </w:pPr>
      <w:r>
        <w:t xml:space="preserve">The technique originated in chemical darkroom processes, where printers achieved toning by altering developer chemistry or introducing sepia or selenium toners that affected different emulsion layers at different rates</w:t>
      </w:r>
      <w:r>
        <w:t xml:space="preserve"> </w:t>
      </w:r>
      <w:r>
        <w:rPr>
          <w:vertAlign w:val="superscript"/>
        </w:rPr>
        <w:t xml:space="preserve">35</w:t>
      </w:r>
      <w:r>
        <w:t xml:space="preserve">. Modern digital implementations offer a Balance slider that controls where the emphasis falls between highlight toning and shadow toning, allowing the operator to bias the effect toward either the bright or dark end of the tonal range</w:t>
      </w:r>
      <w:r>
        <w:t xml:space="preserve"> </w:t>
      </w:r>
      <w:r>
        <w:rPr>
          <w:vertAlign w:val="superscript"/>
        </w:rPr>
        <w:t xml:space="preserve">35</w:t>
      </w:r>
      <w:r>
        <w:t xml:space="preserve">. In Adobe Lightroom (version 10.0 and later), the Split Toning panel evolved into a three-wheel Color Grading interface — Shadows, Midtones, and Highlights — adding independent midtone control that enables more sophisticated tonal separation than the original two-way system</w:t>
      </w:r>
      <w:r>
        <w:t xml:space="preserve"> </w:t>
      </w:r>
      <w:r>
        <w:rPr>
          <w:vertAlign w:val="superscript"/>
        </w:rPr>
        <w:t xml:space="preserve">36</w:t>
      </w:r>
      <w:r>
        <w:t xml:space="preserve">. The addition of the midtone wheel is particularly significant for cinematic looks: it allows a colorist to inject warmth into the skin-tone region independently of both shadow and highlight toning, achieving a three-way color separation that two-wheel systems cannot replicate.</w:t>
      </w:r>
    </w:p>
    <w:bookmarkEnd w:id="48"/>
    <w:bookmarkStart w:id="49" w:name="X5df43545de4688bd2e8d9c4fe3d201684af6056"/>
    <w:p>
      <w:pPr>
        <w:pStyle w:val="Heading4"/>
      </w:pPr>
      <w:r>
        <w:t xml:space="preserve">2.3.3 Modern Color Grading wheels: Lift/Gamma/Gain vs Shadows/Midtones/Highlights with pivot control</w:t>
      </w:r>
    </w:p>
    <w:p>
      <w:pPr>
        <w:pStyle w:val="FirstParagraph"/>
      </w:pPr>
      <w:r>
        <w:t xml:space="preserve">DaVinci Resolve’s Primary Wheels implement four overlapping tonal controls: Lift (shadows/blacks), Gamma (midtones, including skin tones), Gain (highlights/whites), and Offset (global adjustment). A defining characteristic of these controls is their overlapping influence — an adjustment to Lift, while primarily targeting dark areas, subtly affects midtones and highlights as well. This overlap produces smooth, organic transitions that avoid the harsh boundaries of strictly isolated tonal ranges</w:t>
      </w:r>
      <w:r>
        <w:t xml:space="preserve"> </w:t>
      </w:r>
      <w:r>
        <w:rPr>
          <w:vertAlign w:val="superscript"/>
        </w:rPr>
        <w:t xml:space="preserve">37</w:t>
      </w:r>
      <w:r>
        <w:t xml:space="preserve">.</w:t>
      </w:r>
    </w:p>
    <w:p>
      <w:pPr>
        <w:pStyle w:val="BodyText"/>
      </w:pPr>
      <w:r>
        <w:t xml:space="preserve">Log Wheels, labeled Shadows, Midtones, and Highlights, offer a more targeted approach with reduced overlap. They additionally allow the operator to define the specific tonal boundaries where each correction takes effect, making them suitable for precise secondary adjustments after broad primary corrections are established</w:t>
      </w:r>
      <w:r>
        <w:t xml:space="preserve"> </w:t>
      </w:r>
      <w:r>
        <w:rPr>
          <w:vertAlign w:val="superscript"/>
        </w:rPr>
        <w:t xml:space="preserve">37</w:t>
      </w:r>
      <w:r>
        <w:t xml:space="preserve">. The Contrast control modifies the difference between light and dark areas, while the Pivot control sets the fulcrum around which contrast expands or compresses. A lower pivot causes more of the image to darken when contrast increases; a higher pivot causes more to brighten. Professional practice aligns the pivot to the footage’s middle gray value, maintaining consistent exposure across shots from the same setup</w:t>
      </w:r>
      <w:r>
        <w:t xml:space="preserve"> </w:t>
      </w:r>
      <w:r>
        <w:rPr>
          <w:vertAlign w:val="superscript"/>
        </w:rPr>
        <w:t xml:space="preserve">37</w:t>
      </w:r>
      <w:r>
        <w:t xml:space="preserve">. HDR wheels extend this logic further, segmenting the image into numerous zones — Dark, Shadow, Light, Highlight, Specular — each with independently adjustable position and fall-off, providing the granular control necessary for grading high dynamic range content where the tonal span far exceeds SDR conventions</w:t>
      </w:r>
      <w:r>
        <w:t xml:space="preserve"> </w:t>
      </w:r>
      <w:r>
        <w:rPr>
          <w:vertAlign w:val="superscript"/>
        </w:rPr>
        <w:t xml:space="preserve">37</w:t>
      </w:r>
      <w:r>
        <w:t xml:space="preserve">.</w:t>
      </w:r>
    </w:p>
    <w:bookmarkEnd w:id="49"/>
    <w:bookmarkEnd w:id="50"/>
    <w:bookmarkStart w:id="54" w:name="lut-mathematics-and-3d-transform"/>
    <w:p>
      <w:pPr>
        <w:pStyle w:val="Heading3"/>
      </w:pPr>
      <w:r>
        <w:t xml:space="preserve">2.4 LUT Mathematics and 3D Transform</w:t>
      </w:r>
    </w:p>
    <w:bookmarkStart w:id="51" w:name="X739fc6e92961f1377d715bd0f8bdde9db8a7bb3"/>
    <w:p>
      <w:pPr>
        <w:pStyle w:val="Heading4"/>
      </w:pPr>
      <w:r>
        <w:t xml:space="preserve">2.4.1 3D LUT structure: 33×33×33 lattice = 35,937 RGB triplets with trilinear interpolation</w:t>
      </w:r>
    </w:p>
    <w:p>
      <w:pPr>
        <w:pStyle w:val="FirstParagraph"/>
      </w:pPr>
      <w:r>
        <w:t xml:space="preserve">A 3D Look-Up Table maps every possible input color in normalized RGB space to a corresponding output color by sampling on a discrete cubic lattice. For a grid of size</w:t>
      </w:r>
      <w:r>
        <w:t xml:space="preserve"> </w:t>
      </w:r>
      <m:oMath>
        <m:r>
          <m:t>G</m:t>
        </m:r>
      </m:oMath>
      <w:r>
        <w:t xml:space="preserve">, the lattice contains</w:t>
      </w:r>
      <w:r>
        <w:t xml:space="preserve"> </w:t>
      </w:r>
      <m:oMath>
        <m:sSup>
          <m:e>
            <m:r>
              <m:t>G</m:t>
            </m:r>
          </m:e>
          <m:sup>
            <m:r>
              <m:t>3</m:t>
            </m:r>
          </m:sup>
        </m:sSup>
      </m:oMath>
      <w:r>
        <w:t xml:space="preserve"> </w:t>
      </w:r>
      <w:r>
        <w:t xml:space="preserve">points, each storing a transformed RGB triplet. The industry-standard 33-point lattice —</w:t>
      </w:r>
      <w:r>
        <w:t xml:space="preserve"> </w:t>
      </w:r>
      <m:oMath>
        <m:r>
          <m:t>33</m:t>
        </m:r>
        <m:r>
          <m:rPr>
            <m:sty m:val="p"/>
          </m:rPr>
          <m:t>×</m:t>
        </m:r>
        <m:r>
          <m:t>33</m:t>
        </m:r>
        <m:r>
          <m:rPr>
            <m:sty m:val="p"/>
          </m:rPr>
          <m:t>×</m:t>
        </m:r>
        <m:r>
          <m:t>33</m:t>
        </m:r>
        <m:r>
          <m:rPr>
            <m:sty m:val="p"/>
          </m:rPr>
          <m:t>=</m:t>
        </m:r>
        <m:r>
          <m:t>35</m:t>
        </m:r>
        <m:r>
          <m:rPr>
            <m:sty m:val="p"/>
          </m:rPr>
          <m:t>,</m:t>
        </m:r>
        <m:r>
          <m:t>937</m:t>
        </m:r>
      </m:oMath>
      <w:r>
        <w:t xml:space="preserve"> </w:t>
      </w:r>
      <w:r>
        <w:t xml:space="preserve">points — represents a pragmatic balance: fine enough to capture smooth color transformations, coarse enough to keep file sizes manageable and lookup speeds practical</w:t>
      </w:r>
      <w:r>
        <w:t xml:space="preserve"> </w:t>
      </w:r>
      <w:r>
        <w:rPr>
          <w:vertAlign w:val="superscript"/>
        </w:rPr>
        <w:t xml:space="preserve">38</w:t>
      </w:r>
      <w:r>
        <w:t xml:space="preserve">.</w:t>
      </w:r>
    </w:p>
    <w:p>
      <w:pPr>
        <w:pStyle w:val="BodyText"/>
      </w:pPr>
      <w:r>
        <w:t xml:space="preserve">When an input color falls between lattice points, the output must be interpolated from the nearest vertices. Trilinear interpolation, the most common method, computes a weighted sum of the eight surrounding lattice vertices. For an input color</w:t>
      </w:r>
      <w:r>
        <w:t xml:space="preserve"> </w:t>
      </w:r>
      <m:oMath>
        <m:d>
          <m:dPr>
            <m:begChr m:val="("/>
            <m:endChr m:val=")"/>
            <m:sepChr m:val=""/>
            <m:grow/>
          </m:dPr>
          <m:e>
            <m:r>
              <m:t>r</m:t>
            </m:r>
            <m:r>
              <m:rPr>
                <m:sty m:val="p"/>
              </m:rPr>
              <m:t>,</m:t>
            </m:r>
            <m:r>
              <m:t>g</m:t>
            </m:r>
            <m:r>
              <m:rPr>
                <m:sty m:val="p"/>
              </m:rPr>
              <m:t>,</m:t>
            </m:r>
            <m:r>
              <m:t>b</m:t>
            </m:r>
          </m:e>
        </m:d>
      </m:oMath>
      <w:r>
        <w:t xml:space="preserve"> </w:t>
      </w:r>
      <w:r>
        <w:t xml:space="preserve">with fractional offsets from the nearest lattice grid point, the interpolated output is:</w:t>
      </w:r>
    </w:p>
    <w:p>
      <w:pPr>
        <w:pStyle w:val="BodyText"/>
      </w:pPr>
      <m:oMathPara>
        <m:oMathParaPr>
          <m:jc m:val="center"/>
        </m:oMathParaPr>
        <m:oMath>
          <m:r>
            <m:t>y</m:t>
          </m:r>
          <m:r>
            <m:rPr>
              <m:sty m:val="p"/>
            </m:rPr>
            <m:t>=</m:t>
          </m:r>
          <m:nary>
            <m:naryPr>
              <m:chr m:val="∑"/>
              <m:limLoc m:val="undOvr"/>
              <m:subHide m:val="0"/>
              <m:supHide m:val="0"/>
            </m:naryPr>
            <m:sub>
              <m:r>
                <m:t>i</m:t>
              </m:r>
              <m:r>
                <m:rPr>
                  <m:sty m:val="p"/>
                </m:rPr>
                <m:t>=</m:t>
              </m:r>
              <m:r>
                <m:t>0</m:t>
              </m:r>
            </m:sub>
            <m:sup>
              <m:r>
                <m:t>1</m:t>
              </m:r>
            </m:sup>
            <m:e>
              <m:nary>
                <m:naryPr>
                  <m:chr m:val="∑"/>
                  <m:limLoc m:val="undOvr"/>
                  <m:subHide m:val="0"/>
                  <m:supHide m:val="0"/>
                </m:naryPr>
                <m:sub>
                  <m:r>
                    <m:t>j</m:t>
                  </m:r>
                  <m:r>
                    <m:rPr>
                      <m:sty m:val="p"/>
                    </m:rPr>
                    <m:t>=</m:t>
                  </m:r>
                  <m:r>
                    <m:t>0</m:t>
                  </m:r>
                </m:sub>
                <m:sup>
                  <m:r>
                    <m:t>1</m:t>
                  </m:r>
                </m:sup>
                <m:e>
                  <m:nary>
                    <m:naryPr>
                      <m:chr m:val="∑"/>
                      <m:limLoc m:val="undOvr"/>
                      <m:subHide m:val="0"/>
                      <m:supHide m:val="0"/>
                    </m:naryPr>
                    <m:sub>
                      <m:r>
                        <m:t>k</m:t>
                      </m:r>
                      <m:r>
                        <m:rPr>
                          <m:sty m:val="p"/>
                        </m:rPr>
                        <m:t>=</m:t>
                      </m:r>
                      <m:r>
                        <m:t>0</m:t>
                      </m:r>
                    </m:sub>
                    <m:sup>
                      <m:r>
                        <m:t>1</m:t>
                      </m:r>
                    </m:sup>
                    <m:e>
                      <m:sSub>
                        <m:e>
                          <m:r>
                            <m:t>w</m:t>
                          </m:r>
                        </m:e>
                        <m:sub>
                          <m:r>
                            <m:t>i</m:t>
                          </m:r>
                          <m:r>
                            <m:t>j</m:t>
                          </m:r>
                          <m:r>
                            <m:t>k</m:t>
                          </m:r>
                        </m:sub>
                      </m:sSub>
                    </m:e>
                  </m:nary>
                </m:e>
              </m:nary>
            </m:e>
          </m:nary>
          <m:r>
            <m:rPr>
              <m:sty m:val="p"/>
            </m:rPr>
            <m:t>⋅</m:t>
          </m:r>
          <m:r>
            <m:t>L</m:t>
          </m:r>
          <m:d>
            <m:dPr>
              <m:begChr m:val="["/>
              <m:endChr m:val="]"/>
              <m:sepChr m:val=""/>
              <m:grow/>
            </m:dPr>
            <m:e>
              <m:sSub>
                <m:e>
                  <m:r>
                    <m:t>x</m:t>
                  </m:r>
                </m:e>
                <m:sub>
                  <m:r>
                    <m:t>i</m:t>
                  </m:r>
                </m:sub>
              </m:sSub>
              <m:r>
                <m:rPr>
                  <m:sty m:val="p"/>
                </m:rPr>
                <m:t>,</m:t>
              </m:r>
              <m:sSub>
                <m:e>
                  <m:r>
                    <m:t>y</m:t>
                  </m:r>
                </m:e>
                <m:sub>
                  <m:r>
                    <m:t>j</m:t>
                  </m:r>
                </m:sub>
              </m:sSub>
              <m:r>
                <m:rPr>
                  <m:sty m:val="p"/>
                </m:rPr>
                <m:t>,</m:t>
              </m:r>
              <m:sSub>
                <m:e>
                  <m:r>
                    <m:t>z</m:t>
                  </m:r>
                </m:e>
                <m:sub>
                  <m:r>
                    <m:t>k</m:t>
                  </m:r>
                </m:sub>
              </m:sSub>
            </m:e>
          </m:d>
        </m:oMath>
      </m:oMathPara>
    </w:p>
    <w:p>
      <w:pPr>
        <w:pStyle w:val="FirstParagraph"/>
      </w:pPr>
      <w:r>
        <w:t xml:space="preserve">where</w:t>
      </w:r>
      <w:r>
        <w:t xml:space="preserve"> </w:t>
      </w:r>
      <m:oMath>
        <m:sSub>
          <m:e>
            <m:r>
              <m:t>w</m:t>
            </m:r>
          </m:e>
          <m:sub>
            <m:r>
              <m:t>i</m:t>
            </m:r>
            <m:r>
              <m:t>j</m:t>
            </m:r>
            <m:r>
              <m:t>k</m:t>
            </m:r>
          </m:sub>
        </m:sSub>
      </m:oMath>
      <w:r>
        <w:t xml:space="preserve"> </w:t>
      </w:r>
      <w:r>
        <w:t xml:space="preserve">are the trilinear weights determined by fractional distances to the surrounding eight vertices</w:t>
      </w:r>
      <w:r>
        <w:t xml:space="preserve"> </w:t>
      </w:r>
      <w:r>
        <w:rPr>
          <w:vertAlign w:val="superscript"/>
        </w:rPr>
        <w:t xml:space="preserve">38</w:t>
      </w:r>
      <w:r>
        <w:t xml:space="preserve">. This method is hardware-friendly, differentiable, and fast — but it carries a subtle accuracy limitation. When interpolating along the neutral gray axis, trilinear methods can introduce chromatic shifts that tetrahedral interpolation avoids</w:t>
      </w:r>
      <w:r>
        <w:t xml:space="preserve"> </w:t>
      </w:r>
      <w:r>
        <w:rPr>
          <w:vertAlign w:val="superscript"/>
        </w:rPr>
        <w:t xml:space="preserve">39</w:t>
      </w:r>
      <w:r>
        <w:t xml:space="preserve">.</w:t>
      </w:r>
    </w:p>
    <w:bookmarkEnd w:id="51"/>
    <w:bookmarkStart w:id="52" w:name="Xc190a872c81acc624801eb79c28f8324ef60a5a"/>
    <w:p>
      <w:pPr>
        <w:pStyle w:val="Heading4"/>
      </w:pPr>
      <w:r>
        <w:t xml:space="preserve">2.4.2 Tetrahedral interpolation as gold standard: better accuracy, cheaper computation (3 muls, 3 adds)</w:t>
      </w:r>
    </w:p>
    <w:p>
      <w:pPr>
        <w:pStyle w:val="FirstParagraph"/>
      </w:pPr>
      <w:r>
        <w:t xml:space="preserve">Tetrahedral interpolation divides the color cube by drawing a diagonal between the darkest and lightest vertices, partitioning the cube into six tetrahedra. Once the containing tetrahedron is identified for an input color, only its four vertices contribute to the output. The critical advantage is accuracy along neutral tones: tetrahedral interpolation preserves grayscale purity where trilinear methods can introduce color contamination</w:t>
      </w:r>
      <w:r>
        <w:t xml:space="preserve"> </w:t>
      </w:r>
      <w:r>
        <w:rPr>
          <w:vertAlign w:val="superscript"/>
        </w:rPr>
        <w:t xml:space="preserve">39</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Interpolation Method</w:t>
            </w:r>
          </w:p>
        </w:tc>
        <w:tc>
          <w:tcPr/>
          <w:p>
            <w:pPr>
              <w:pStyle w:val="Compact"/>
              <w:jc w:val="left"/>
            </w:pPr>
            <w:r>
              <w:t xml:space="preserve">Multiplications</w:t>
            </w:r>
          </w:p>
        </w:tc>
        <w:tc>
          <w:tcPr/>
          <w:p>
            <w:pPr>
              <w:pStyle w:val="Compact"/>
              <w:jc w:val="left"/>
            </w:pPr>
            <w:r>
              <w:t xml:space="preserve">Additions</w:t>
            </w:r>
          </w:p>
        </w:tc>
        <w:tc>
          <w:tcPr/>
          <w:p>
            <w:pPr>
              <w:pStyle w:val="Compact"/>
              <w:jc w:val="left"/>
            </w:pPr>
            <w:r>
              <w:t xml:space="preserve">Quality</w:t>
            </w:r>
          </w:p>
        </w:tc>
        <w:tc>
          <w:tcPr/>
          <w:p>
            <w:pPr>
              <w:pStyle w:val="Compact"/>
              <w:jc w:val="left"/>
            </w:pPr>
            <w:r>
              <w:t xml:space="preserve">Typical Use Case</w:t>
            </w:r>
          </w:p>
        </w:tc>
      </w:tr>
      <w:tr>
        <w:tc>
          <w:tcPr/>
          <w:p>
            <w:pPr>
              <w:pStyle w:val="Compact"/>
              <w:jc w:val="left"/>
            </w:pPr>
            <w:r>
              <w:t xml:space="preserve">Nearest Neighbor</w:t>
            </w:r>
          </w:p>
        </w:tc>
        <w:tc>
          <w:tcPr/>
          <w:p>
            <w:pPr>
              <w:pStyle w:val="Compact"/>
              <w:jc w:val="left"/>
            </w:pPr>
            <w:r>
              <w:t xml:space="preserve">0</w:t>
            </w:r>
          </w:p>
        </w:tc>
        <w:tc>
          <w:tcPr/>
          <w:p>
            <w:pPr>
              <w:pStyle w:val="Compact"/>
              <w:jc w:val="left"/>
            </w:pPr>
            <w:r>
              <w:t xml:space="preserve">0</w:t>
            </w:r>
          </w:p>
        </w:tc>
        <w:tc>
          <w:tcPr/>
          <w:p>
            <w:pPr>
              <w:pStyle w:val="Compact"/>
              <w:jc w:val="left"/>
            </w:pPr>
            <w:r>
              <w:t xml:space="preserve">Low</w:t>
            </w:r>
          </w:p>
        </w:tc>
        <w:tc>
          <w:tcPr/>
          <w:p>
            <w:pPr>
              <w:pStyle w:val="Compact"/>
              <w:jc w:val="left"/>
            </w:pPr>
            <w:r>
              <w:t xml:space="preserve">Preview, real-time draft</w:t>
            </w:r>
          </w:p>
        </w:tc>
      </w:tr>
      <w:tr>
        <w:tc>
          <w:tcPr/>
          <w:p>
            <w:pPr>
              <w:pStyle w:val="Compact"/>
              <w:jc w:val="left"/>
            </w:pPr>
            <w:r>
              <w:t xml:space="preserve">Tetrahedral</w:t>
            </w:r>
          </w:p>
        </w:tc>
        <w:tc>
          <w:tcPr/>
          <w:p>
            <w:pPr>
              <w:pStyle w:val="Compact"/>
              <w:jc w:val="left"/>
            </w:pPr>
            <w:r>
              <w:t xml:space="preserve">3</w:t>
            </w:r>
          </w:p>
        </w:tc>
        <w:tc>
          <w:tcPr/>
          <w:p>
            <w:pPr>
              <w:pStyle w:val="Compact"/>
              <w:jc w:val="left"/>
            </w:pPr>
            <w:r>
              <w:t xml:space="preserve">3</w:t>
            </w:r>
          </w:p>
        </w:tc>
        <w:tc>
          <w:tcPr/>
          <w:p>
            <w:pPr>
              <w:pStyle w:val="Compact"/>
              <w:jc w:val="left"/>
            </w:pPr>
            <w:r>
              <w:t xml:space="preserve">High</w:t>
            </w:r>
          </w:p>
        </w:tc>
        <w:tc>
          <w:tcPr/>
          <w:p>
            <w:pPr>
              <w:pStyle w:val="Compact"/>
              <w:jc w:val="left"/>
            </w:pPr>
            <w:r>
              <w:t xml:space="preserve">Critical color accuracy</w:t>
            </w:r>
            <w:r>
              <w:t xml:space="preserve"> </w:t>
            </w:r>
            <w:r>
              <w:rPr>
                <w:vertAlign w:val="superscript"/>
              </w:rPr>
              <w:t xml:space="preserve">40</w:t>
            </w:r>
          </w:p>
        </w:tc>
      </w:tr>
      <w:tr>
        <w:tc>
          <w:tcPr/>
          <w:p>
            <w:pPr>
              <w:pStyle w:val="Compact"/>
              <w:jc w:val="left"/>
            </w:pPr>
            <w:r>
              <w:t xml:space="preserve">Pyramidal</w:t>
            </w:r>
          </w:p>
        </w:tc>
        <w:tc>
          <w:tcPr/>
          <w:p>
            <w:pPr>
              <w:pStyle w:val="Compact"/>
              <w:jc w:val="left"/>
            </w:pPr>
            <w:r>
              <w:t xml:space="preserve">4</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General-purpose compromise</w:t>
            </w:r>
          </w:p>
        </w:tc>
      </w:tr>
      <w:tr>
        <w:tc>
          <w:tcPr/>
          <w:p>
            <w:pPr>
              <w:pStyle w:val="Compact"/>
              <w:jc w:val="left"/>
            </w:pPr>
            <w:r>
              <w:t xml:space="preserve">Prism</w:t>
            </w:r>
          </w:p>
        </w:tc>
        <w:tc>
          <w:tcPr/>
          <w:p>
            <w:pPr>
              <w:pStyle w:val="Compact"/>
              <w:jc w:val="left"/>
            </w:pPr>
            <w:r>
              <w:t xml:space="preserve">5</w:t>
            </w:r>
          </w:p>
        </w:tc>
        <w:tc>
          <w:tcPr/>
          <w:p>
            <w:pPr>
              <w:pStyle w:val="Compact"/>
              <w:jc w:val="left"/>
            </w:pPr>
            <w:r>
              <w:t xml:space="preserve">6</w:t>
            </w:r>
          </w:p>
        </w:tc>
        <w:tc>
          <w:tcPr/>
          <w:p>
            <w:pPr>
              <w:pStyle w:val="Compact"/>
              <w:jc w:val="left"/>
            </w:pPr>
            <w:r>
              <w:t xml:space="preserve">Medium</w:t>
            </w:r>
          </w:p>
        </w:tc>
        <w:tc>
          <w:tcPr/>
          <w:p>
            <w:pPr>
              <w:pStyle w:val="Compact"/>
              <w:jc w:val="left"/>
            </w:pPr>
            <w:r>
              <w:t xml:space="preserve">Rarely used</w:t>
            </w:r>
          </w:p>
        </w:tc>
      </w:tr>
      <w:tr>
        <w:tc>
          <w:tcPr/>
          <w:p>
            <w:pPr>
              <w:pStyle w:val="Compact"/>
              <w:jc w:val="left"/>
            </w:pPr>
            <w:r>
              <w:t xml:space="preserve">Trilinear</w:t>
            </w:r>
          </w:p>
        </w:tc>
        <w:tc>
          <w:tcPr/>
          <w:p>
            <w:pPr>
              <w:pStyle w:val="Compact"/>
              <w:jc w:val="left"/>
            </w:pPr>
            <w:r>
              <w:t xml:space="preserve">7</w:t>
            </w:r>
          </w:p>
        </w:tc>
        <w:tc>
          <w:tcPr/>
          <w:p>
            <w:pPr>
              <w:pStyle w:val="Compact"/>
              <w:jc w:val="left"/>
            </w:pPr>
            <w:r>
              <w:t xml:space="preserve">7</w:t>
            </w:r>
          </w:p>
        </w:tc>
        <w:tc>
          <w:tcPr/>
          <w:p>
            <w:pPr>
              <w:pStyle w:val="Compact"/>
              <w:jc w:val="left"/>
            </w:pPr>
            <w:r>
              <w:t xml:space="preserve">Medium</w:t>
            </w:r>
          </w:p>
        </w:tc>
        <w:tc>
          <w:tcPr/>
          <w:p>
            <w:pPr>
              <w:pStyle w:val="Compact"/>
              <w:jc w:val="left"/>
            </w:pPr>
            <w:r>
              <w:t xml:space="preserve">Default in most commercial tools</w:t>
            </w:r>
            <w:r>
              <w:t xml:space="preserve"> </w:t>
            </w:r>
            <w:r>
              <w:rPr>
                <w:vertAlign w:val="superscript"/>
              </w:rPr>
              <w:t xml:space="preserve">40</w:t>
            </w:r>
          </w:p>
        </w:tc>
      </w:tr>
    </w:tbl>
    <w:p>
      <w:pPr>
        <w:pStyle w:val="BodyText"/>
      </w:pPr>
      <w:r>
        <w:t xml:space="preserve">The computational comparison reveals why tetrahedral interpolation has become the gold standard for high-end color work: it requires only 3 multiplications and 3 additions per channel, compared to 7 multiplications and 7 additions for trilinear — a reduction of more than 50% in arithmetic operations while simultaneously improving quality</w:t>
      </w:r>
      <w:r>
        <w:t xml:space="preserve"> </w:t>
      </w:r>
      <w:r>
        <w:rPr>
          <w:vertAlign w:val="superscript"/>
        </w:rPr>
        <w:t xml:space="preserve">40</w:t>
      </w:r>
      <w:r>
        <w:t xml:space="preserve">. Industry and academic reports consistently recommend tetrahedral interpolation for 3D LUT transforms due to its superior numerical behavior at equivalent lattice resolution</w:t>
      </w:r>
      <w:r>
        <w:t xml:space="preserve"> </w:t>
      </w:r>
      <w:r>
        <w:rPr>
          <w:vertAlign w:val="superscript"/>
        </w:rPr>
        <w:t xml:space="preserve">38</w:t>
      </w:r>
      <w:r>
        <w:t xml:space="preserve">. For premium LUT design, specifying tetrahedral interpolation in product documentation signals technical rigor that distinguishes professional-grade products from consumer alternatives.</w:t>
      </w:r>
    </w:p>
    <w:bookmarkEnd w:id="52"/>
    <w:bookmarkStart w:id="53" w:name="X61faacaffbcf4ec0c21f5718f3f3f59052b0cfc"/>
    <w:p>
      <w:pPr>
        <w:pStyle w:val="Heading4"/>
      </w:pPr>
      <w:r>
        <w:t xml:space="preserve">2.4.3 CIEDE2000 (</w:t>
      </w:r>
      <m:oMath>
        <m:r>
          <m:t>Δ</m:t>
        </m:r>
        <m:sSub>
          <m:e>
            <m:r>
              <m:t>E</m:t>
            </m:r>
          </m:e>
          <m:sub>
            <m:r>
              <m:t>00</m:t>
            </m:r>
          </m:sub>
        </m:sSub>
      </m:oMath>
      <w:r>
        <w:t xml:space="preserve">) color difference metric for perceptual quality assessment</w:t>
      </w:r>
    </w:p>
    <w:p>
      <w:pPr>
        <w:pStyle w:val="FirstParagraph"/>
      </w:pPr>
      <w:r>
        <w:t xml:space="preserve">Quantifying the perceptual distance between a LUT’s output and its target reference demands a metric that correlates with human visual judgment.</w:t>
      </w:r>
      <w:r>
        <w:t xml:space="preserve"> </w:t>
      </w:r>
      <m:oMath>
        <m:r>
          <m:t>Δ</m:t>
        </m:r>
        <m:r>
          <m:t>E</m:t>
        </m:r>
      </m:oMath>
      <w:r>
        <w:t xml:space="preserve"> </w:t>
      </w:r>
      <w:r>
        <w:t xml:space="preserve">(Delta E) serves as the universal numerical scale: a</w:t>
      </w:r>
      <w:r>
        <w:t xml:space="preserve"> </w:t>
      </w:r>
      <m:oMath>
        <m:r>
          <m:t>Δ</m:t>
        </m:r>
        <m:r>
          <m:t>E</m:t>
        </m:r>
      </m:oMath>
      <w:r>
        <w:t xml:space="preserve"> </w:t>
      </w:r>
      <w:r>
        <w:t xml:space="preserve">of 1.0 corresponds to the Just Noticeable Difference (JND) — the threshold below which most observers cannot distinguish two colors</w:t>
      </w:r>
      <w:r>
        <w:t xml:space="preserve"> </w:t>
      </w:r>
      <w:r>
        <w:rPr>
          <w:vertAlign w:val="superscript"/>
        </w:rPr>
        <w:t xml:space="preserve">41</w:t>
      </w:r>
      <w:r>
        <w:t xml:space="preserve">. Values between 2.0 and 3.5 represent clearly noticeable differences; above 5.0, colors appear fundamentally different</w:t>
      </w:r>
      <w:r>
        <w:t xml:space="preserve"> </w:t>
      </w:r>
      <w:r>
        <w:rPr>
          <w:vertAlign w:val="superscript"/>
        </w:rPr>
        <w:t xml:space="preserve">41</w:t>
      </w:r>
      <w:r>
        <w:t xml:space="preserve">.</w:t>
      </w:r>
    </w:p>
    <w:p>
      <w:pPr>
        <w:pStyle w:val="BodyText"/>
      </w:pPr>
      <w:r>
        <w:t xml:space="preserve">The CIEDE2000 formula (</w:t>
      </w:r>
      <m:oMath>
        <m:r>
          <m:t>Δ</m:t>
        </m:r>
        <m:sSub>
          <m:e>
            <m:r>
              <m:t>E</m:t>
            </m:r>
          </m:e>
          <m:sub>
            <m:r>
              <m:t>00</m:t>
            </m:r>
          </m:sub>
        </m:sSub>
      </m:oMath>
      <w:r>
        <w:t xml:space="preserve">), recommended as the industry standard since its publication in 2001, improves upon the simpler CIE76 Euclidean distance by incorporating five perceptual correction functions:</w:t>
      </w:r>
    </w:p>
    <w:p>
      <w:pPr>
        <w:pStyle w:val="BodyText"/>
      </w:pPr>
      <m:oMathPara>
        <m:oMathParaPr>
          <m:jc m:val="center"/>
        </m:oMathParaPr>
        <m:oMath>
          <m:r>
            <m:t>Δ</m:t>
          </m:r>
          <m:sSub>
            <m:e>
              <m:r>
                <m:t>E</m:t>
              </m:r>
            </m:e>
            <m:sub>
              <m:r>
                <m:t>00</m:t>
              </m:r>
            </m:sub>
          </m:sSub>
          <m:r>
            <m:rPr>
              <m:sty m:val="p"/>
            </m:rPr>
            <m:t>=</m:t>
          </m:r>
          <m:rad>
            <m:radPr>
              <m:degHide m:val="1"/>
            </m:radPr>
            <m:deg/>
            <m:e>
              <m:sSup>
                <m:e>
                  <m:d>
                    <m:dPr>
                      <m:begChr m:val="("/>
                      <m:endChr m:val=")"/>
                      <m:sepChr m:val=""/>
                      <m:grow/>
                    </m:dPr>
                    <m:e>
                      <m:f>
                        <m:fPr>
                          <m:type m:val="bar"/>
                        </m:fPr>
                        <m:num>
                          <m:r>
                            <m:t>Δ</m:t>
                          </m:r>
                          <m:r>
                            <m:t>L</m:t>
                          </m:r>
                          <m:r>
                            <m:rPr>
                              <m:sty m:val="p"/>
                            </m:rPr>
                            <m:t>′</m:t>
                          </m:r>
                        </m:num>
                        <m:den>
                          <m:sSub>
                            <m:e>
                              <m:r>
                                <m:t>k</m:t>
                              </m:r>
                            </m:e>
                            <m:sub>
                              <m:r>
                                <m:t>L</m:t>
                              </m:r>
                            </m:sub>
                          </m:sSub>
                          <m:r>
                            <m:rPr>
                              <m:sty m:val="p"/>
                            </m:rPr>
                            <m:t>⋅</m:t>
                          </m:r>
                          <m:sSub>
                            <m:e>
                              <m:r>
                                <m:t>S</m:t>
                              </m:r>
                            </m:e>
                            <m:sub>
                              <m:r>
                                <m:t>L</m:t>
                              </m:r>
                            </m:sub>
                          </m:sSub>
                        </m:den>
                      </m:f>
                    </m:e>
                  </m:d>
                </m:e>
                <m:sup>
                  <m:r>
                    <m:t>2</m:t>
                  </m:r>
                </m:sup>
              </m:sSup>
              <m:r>
                <m:rPr>
                  <m:sty m:val="p"/>
                </m:rPr>
                <m:t>+</m:t>
              </m:r>
              <m:sSup>
                <m:e>
                  <m:d>
                    <m:dPr>
                      <m:begChr m:val="("/>
                      <m:endChr m:val=")"/>
                      <m:sepChr m:val=""/>
                      <m:grow/>
                    </m:dPr>
                    <m:e>
                      <m:f>
                        <m:fPr>
                          <m:type m:val="bar"/>
                        </m:fPr>
                        <m:num>
                          <m:r>
                            <m:t>Δ</m:t>
                          </m:r>
                          <m:r>
                            <m:t>C</m:t>
                          </m:r>
                          <m:r>
                            <m:rPr>
                              <m:sty m:val="p"/>
                            </m:rPr>
                            <m:t>′</m:t>
                          </m:r>
                        </m:num>
                        <m:den>
                          <m:sSub>
                            <m:e>
                              <m:r>
                                <m:t>k</m:t>
                              </m:r>
                            </m:e>
                            <m:sub>
                              <m:r>
                                <m:t>C</m:t>
                              </m:r>
                            </m:sub>
                          </m:sSub>
                          <m:r>
                            <m:rPr>
                              <m:sty m:val="p"/>
                            </m:rPr>
                            <m:t>⋅</m:t>
                          </m:r>
                          <m:sSub>
                            <m:e>
                              <m:r>
                                <m:t>S</m:t>
                              </m:r>
                            </m:e>
                            <m:sub>
                              <m:r>
                                <m:t>C</m:t>
                              </m:r>
                            </m:sub>
                          </m:sSub>
                        </m:den>
                      </m:f>
                    </m:e>
                  </m:d>
                </m:e>
                <m:sup>
                  <m:r>
                    <m:t>2</m:t>
                  </m:r>
                </m:sup>
              </m:sSup>
              <m:r>
                <m:rPr>
                  <m:sty m:val="p"/>
                </m:rPr>
                <m:t>+</m:t>
              </m:r>
              <m:sSup>
                <m:e>
                  <m:d>
                    <m:dPr>
                      <m:begChr m:val="("/>
                      <m:endChr m:val=")"/>
                      <m:sepChr m:val=""/>
                      <m:grow/>
                    </m:dPr>
                    <m:e>
                      <m:f>
                        <m:fPr>
                          <m:type m:val="bar"/>
                        </m:fPr>
                        <m:num>
                          <m:r>
                            <m:t>Δ</m:t>
                          </m:r>
                          <m:r>
                            <m:t>H</m:t>
                          </m:r>
                          <m:r>
                            <m:rPr>
                              <m:sty m:val="p"/>
                            </m:rPr>
                            <m:t>′</m:t>
                          </m:r>
                        </m:num>
                        <m:den>
                          <m:sSub>
                            <m:e>
                              <m:r>
                                <m:t>k</m:t>
                              </m:r>
                            </m:e>
                            <m:sub>
                              <m:r>
                                <m:t>H</m:t>
                              </m:r>
                            </m:sub>
                          </m:sSub>
                          <m:r>
                            <m:rPr>
                              <m:sty m:val="p"/>
                            </m:rPr>
                            <m:t>⋅</m:t>
                          </m:r>
                          <m:sSub>
                            <m:e>
                              <m:r>
                                <m:t>S</m:t>
                              </m:r>
                            </m:e>
                            <m:sub>
                              <m:r>
                                <m:t>H</m:t>
                              </m:r>
                            </m:sub>
                          </m:sSub>
                        </m:den>
                      </m:f>
                    </m:e>
                  </m:d>
                </m:e>
                <m:sup>
                  <m:r>
                    <m:t>2</m:t>
                  </m:r>
                </m:sup>
              </m:sSup>
              <m:r>
                <m:rPr>
                  <m:sty m:val="p"/>
                </m:rPr>
                <m:t>+</m:t>
              </m:r>
              <m:sSub>
                <m:e>
                  <m:r>
                    <m:t>R</m:t>
                  </m:r>
                </m:e>
                <m:sub>
                  <m:r>
                    <m:t>T</m:t>
                  </m:r>
                </m:sub>
              </m:sSub>
              <m:r>
                <m:rPr>
                  <m:sty m:val="p"/>
                </m:rPr>
                <m:t>⋅</m:t>
              </m:r>
              <m:f>
                <m:fPr>
                  <m:type m:val="bar"/>
                </m:fPr>
                <m:num>
                  <m:r>
                    <m:t>Δ</m:t>
                  </m:r>
                  <m:r>
                    <m:t>C</m:t>
                  </m:r>
                  <m:r>
                    <m:rPr>
                      <m:sty m:val="p"/>
                    </m:rPr>
                    <m:t>′</m:t>
                  </m:r>
                </m:num>
                <m:den>
                  <m:sSub>
                    <m:e>
                      <m:r>
                        <m:t>S</m:t>
                      </m:r>
                    </m:e>
                    <m:sub>
                      <m:r>
                        <m:t>C</m:t>
                      </m:r>
                    </m:sub>
                  </m:sSub>
                </m:den>
              </m:f>
              <m:r>
                <m:rPr>
                  <m:sty m:val="p"/>
                </m:rPr>
                <m:t>⋅</m:t>
              </m:r>
              <m:f>
                <m:fPr>
                  <m:type m:val="bar"/>
                </m:fPr>
                <m:num>
                  <m:r>
                    <m:t>Δ</m:t>
                  </m:r>
                  <m:r>
                    <m:t>H</m:t>
                  </m:r>
                  <m:r>
                    <m:rPr>
                      <m:sty m:val="p"/>
                    </m:rPr>
                    <m:t>′</m:t>
                  </m:r>
                </m:num>
                <m:den>
                  <m:sSub>
                    <m:e>
                      <m:r>
                        <m:t>S</m:t>
                      </m:r>
                    </m:e>
                    <m:sub>
                      <m:r>
                        <m:t>H</m:t>
                      </m:r>
                    </m:sub>
                  </m:sSub>
                </m:den>
              </m:f>
            </m:e>
          </m:rad>
        </m:oMath>
      </m:oMathPara>
    </w:p>
    <w:p>
      <w:pPr>
        <w:pStyle w:val="FirstParagraph"/>
      </w:pPr>
      <w:r>
        <w:t xml:space="preserve">where</w:t>
      </w:r>
      <w:r>
        <w:t xml:space="preserve"> </w:t>
      </w:r>
      <m:oMath>
        <m:r>
          <m:t>Δ</m:t>
        </m:r>
        <m:r>
          <m:t>L</m:t>
        </m:r>
        <m:r>
          <m:rPr>
            <m:sty m:val="p"/>
          </m:rPr>
          <m:t>′</m:t>
        </m:r>
      </m:oMath>
      <w:r>
        <w:t xml:space="preserve">,</w:t>
      </w:r>
      <w:r>
        <w:t xml:space="preserve"> </w:t>
      </w:r>
      <m:oMath>
        <m:r>
          <m:t>Δ</m:t>
        </m:r>
        <m:r>
          <m:t>C</m:t>
        </m:r>
        <m:r>
          <m:rPr>
            <m:sty m:val="p"/>
          </m:rPr>
          <m:t>′</m:t>
        </m:r>
      </m:oMath>
      <w:r>
        <w:t xml:space="preserve">, and</w:t>
      </w:r>
      <w:r>
        <w:t xml:space="preserve"> </w:t>
      </w:r>
      <m:oMath>
        <m:r>
          <m:t>Δ</m:t>
        </m:r>
        <m:r>
          <m:t>H</m:t>
        </m:r>
        <m:r>
          <m:rPr>
            <m:sty m:val="p"/>
          </m:rPr>
          <m:t>′</m:t>
        </m:r>
      </m:oMath>
      <w:r>
        <w:t xml:space="preserve"> </w:t>
      </w:r>
      <w:r>
        <w:t xml:space="preserve">are the differences in lightness, chroma, and hue respectively;</w:t>
      </w:r>
      <w:r>
        <w:t xml:space="preserve"> </w:t>
      </w:r>
      <m:oMath>
        <m:sSub>
          <m:e>
            <m:r>
              <m:t>S</m:t>
            </m:r>
          </m:e>
          <m:sub>
            <m:r>
              <m:t>L</m:t>
            </m:r>
          </m:sub>
        </m:sSub>
      </m:oMath>
      <w:r>
        <w:t xml:space="preserve">,</w:t>
      </w:r>
      <w:r>
        <w:t xml:space="preserve"> </w:t>
      </w:r>
      <m:oMath>
        <m:sSub>
          <m:e>
            <m:r>
              <m:t>S</m:t>
            </m:r>
          </m:e>
          <m:sub>
            <m:r>
              <m:t>C</m:t>
            </m:r>
          </m:sub>
        </m:sSub>
      </m:oMath>
      <w:r>
        <w:t xml:space="preserve">, and</w:t>
      </w:r>
      <w:r>
        <w:t xml:space="preserve"> </w:t>
      </w:r>
      <m:oMath>
        <m:sSub>
          <m:e>
            <m:r>
              <m:t>S</m:t>
            </m:r>
          </m:e>
          <m:sub>
            <m:r>
              <m:t>H</m:t>
            </m:r>
          </m:sub>
        </m:sSub>
      </m:oMath>
      <w:r>
        <w:t xml:space="preserve"> </w:t>
      </w:r>
      <w:r>
        <w:t xml:space="preserve">are perceptual weighting functions that account for the non-uniformity of human color discrimination;</w:t>
      </w:r>
      <w:r>
        <w:t xml:space="preserve"> </w:t>
      </w:r>
      <m:oMath>
        <m:sSub>
          <m:e>
            <m:r>
              <m:t>k</m:t>
            </m:r>
          </m:e>
          <m:sub>
            <m:r>
              <m:t>L</m:t>
            </m:r>
          </m:sub>
        </m:sSub>
      </m:oMath>
      <w:r>
        <w:t xml:space="preserve">,</w:t>
      </w:r>
      <w:r>
        <w:t xml:space="preserve"> </w:t>
      </w:r>
      <m:oMath>
        <m:sSub>
          <m:e>
            <m:r>
              <m:t>k</m:t>
            </m:r>
          </m:e>
          <m:sub>
            <m:r>
              <m:t>C</m:t>
            </m:r>
          </m:sub>
        </m:sSub>
      </m:oMath>
      <w:r>
        <w:t xml:space="preserve">,</w:t>
      </w:r>
      <w:r>
        <w:t xml:space="preserve"> </w:t>
      </w:r>
      <m:oMath>
        <m:sSub>
          <m:e>
            <m:r>
              <m:t>k</m:t>
            </m:r>
          </m:e>
          <m:sub>
            <m:r>
              <m:t>H</m:t>
            </m:r>
          </m:sub>
        </m:sSub>
      </m:oMath>
      <w:r>
        <w:t xml:space="preserve"> </w:t>
      </w:r>
      <w:r>
        <w:t xml:space="preserve">are parametric weighting factors (defaulting to 1 for graphic arts applications); and</w:t>
      </w:r>
      <w:r>
        <w:t xml:space="preserve"> </w:t>
      </w:r>
      <m:oMath>
        <m:sSub>
          <m:e>
            <m:r>
              <m:t>R</m:t>
            </m:r>
          </m:e>
          <m:sub>
            <m:r>
              <m:t>T</m:t>
            </m:r>
          </m:sub>
        </m:sSub>
      </m:oMath>
      <w:r>
        <w:t xml:space="preserve"> </w:t>
      </w:r>
      <w:r>
        <w:t xml:space="preserve">is a rotation term that corrects for the known anomaly in the blue region of color space</w:t>
      </w:r>
      <w:r>
        <w:t xml:space="preserve"> </w:t>
      </w:r>
      <w:r>
        <w:rPr>
          <w:vertAlign w:val="superscript"/>
        </w:rPr>
        <w:t xml:space="preserve">42</w:t>
      </w:r>
      <w:r>
        <w:t xml:space="preserve"> </w:t>
      </w:r>
      <w:r>
        <w:rPr>
          <w:vertAlign w:val="superscript"/>
        </w:rPr>
        <w:t xml:space="preserve">43</w:t>
      </w:r>
      <w:r>
        <w:t xml:space="preserve">. The weighting functions compensate for MacAdam ellipses — regions of constant perceptibility on the chromaticity diagram that are highly elongated in some directions and nearly circular in others, demonstrating that human color perception deviates substantially from uniform Euclidean geometry</w:t>
      </w:r>
      <w:r>
        <w:t xml:space="preserve"> </w:t>
      </w:r>
      <w:r>
        <w:rPr>
          <w:vertAlign w:val="superscript"/>
        </w:rPr>
        <w:t xml:space="preserve">42</w:t>
      </w:r>
      <w:r>
        <w:t xml:space="preserve">.</w:t>
      </w:r>
    </w:p>
    <w:p>
      <w:pPr>
        <w:pStyle w:val="BodyText"/>
      </w:pPr>
      <w:r>
        <w:t xml:space="preserve">For LUT quality assurance,</w:t>
      </w:r>
      <w:r>
        <w:t xml:space="preserve"> </w:t>
      </w:r>
      <m:oMath>
        <m:r>
          <m:t>Δ</m:t>
        </m:r>
        <m:sSub>
          <m:e>
            <m:r>
              <m:t>E</m:t>
            </m:r>
          </m:e>
          <m:sub>
            <m:r>
              <m:t>00</m:t>
            </m:r>
          </m:sub>
        </m:sSub>
      </m:oMath>
      <w:r>
        <w:t xml:space="preserve"> </w:t>
      </w:r>
      <w:r>
        <w:t xml:space="preserve">provides a reproducible benchmark. A film emulation LUT applied to a standardized color chart should achieve mean</w:t>
      </w:r>
      <w:r>
        <w:t xml:space="preserve"> </w:t>
      </w:r>
      <m:oMath>
        <m:r>
          <m:t>Δ</m:t>
        </m:r>
        <m:sSub>
          <m:e>
            <m:r>
              <m:t>E</m:t>
            </m:r>
          </m:e>
          <m:sub>
            <m:r>
              <m:t>00</m:t>
            </m:r>
          </m:sub>
        </m:sSub>
      </m:oMath>
      <w:r>
        <w:t xml:space="preserve"> </w:t>
      </w:r>
      <w:r>
        <w:t xml:space="preserve">below 2.0 when compared against measured film scan reference values to be considered perceptually accurate. Values above 3.5 in any individual patch indicate a region of color space where the emulation deviates visibly from the target stock. Recent research has proposed alternative formulations — notably the Oklch+ color space, which achieves comparable accuracy to CIEDE2000 with only 3 additional parameters versus the formula’s approximately 17 empirical constants — but</w:t>
      </w:r>
      <w:r>
        <w:t xml:space="preserve"> </w:t>
      </w:r>
      <m:oMath>
        <m:r>
          <m:t>Δ</m:t>
        </m:r>
        <m:sSub>
          <m:e>
            <m:r>
              <m:t>E</m:t>
            </m:r>
          </m:e>
          <m:sub>
            <m:r>
              <m:t>00</m:t>
            </m:r>
          </m:sub>
        </m:sSub>
      </m:oMath>
      <w:r>
        <w:t xml:space="preserve"> </w:t>
      </w:r>
      <w:r>
        <w:t xml:space="preserve">remains the dominant standard for quality control in color-critical applications</w:t>
      </w:r>
      <w:r>
        <w:t xml:space="preserve"> </w:t>
      </w:r>
      <w:r>
        <w:rPr>
          <w:vertAlign w:val="superscript"/>
        </w:rPr>
        <w:t xml:space="preserve">38</w:t>
      </w:r>
      <w:r>
        <w:t xml:space="preserve"> </w:t>
      </w:r>
      <w:r>
        <w:rPr>
          <w:vertAlign w:val="superscript"/>
        </w:rPr>
        <w:t xml:space="preserve">44</w:t>
      </w:r>
      <w:r>
        <w:t xml:space="preserve">. CINEGRADE LAB’s documented practice of reporting</w:t>
      </w:r>
      <w:r>
        <w:t xml:space="preserve"> </w:t>
      </w:r>
      <m:oMath>
        <m:r>
          <m:t>Δ</m:t>
        </m:r>
        <m:sSub>
          <m:e>
            <m:r>
              <m:t>E</m:t>
            </m:r>
          </m:e>
          <m:sub>
            <m:r>
              <m:t>00</m:t>
            </m:r>
          </m:sub>
        </m:sSub>
      </m:oMath>
      <w:r>
        <w:t xml:space="preserve"> </w:t>
      </w:r>
      <w:r>
        <w:t xml:space="preserve">values for each emulation in its catalog aligns with the technical rigor that professional colorists expect and that consumer-grade LUT packs, which rarely specify any quantitative accuracy metric, do not provide.</w:t>
      </w:r>
      <w:r>
        <w:t xml:space="preserve"> </w:t>
      </w:r>
      <w:r>
        <w:t xml:space="preserve">-e</w:t>
      </w:r>
    </w:p>
    <w:p>
      <w:r>
        <w:pict>
          <v:rect style="width:0;height:1.5pt" o:hralign="center" o:hrstd="t" o:hr="t"/>
        </w:pict>
      </w:r>
    </w:p>
    <w:bookmarkEnd w:id="53"/>
    <w:bookmarkEnd w:id="54"/>
    <w:bookmarkEnd w:id="55"/>
    <w:bookmarkStart w:id="73" w:name="film-emulation-cinematic-aesthetics"/>
    <w:p>
      <w:pPr>
        <w:pStyle w:val="Heading2"/>
      </w:pPr>
      <w:r>
        <w:t xml:space="preserve">3. Film Emulation &amp; Cinematic Aesthetics</w:t>
      </w:r>
    </w:p>
    <w:p>
      <w:pPr>
        <w:pStyle w:val="FirstParagraph"/>
      </w:pPr>
      <w:r>
        <w:t xml:space="preserve">The resurgence of analog aesthetics in digital workflows represents more than a fleeting stylistic preference — it is a structural shift in how creators and audiences evaluate the emotional authenticity of moving images. From the fine T-grain structure of Kodak Portra 400 to the olive-green shadows of A24’s signature look, film emulation has become a technical discipline bridging photochemical heritage with computational color science. This chapter maps the defining film stocks, cinematic looks, and psychological mechanisms that underpin contemporary film emulation, establishing the technical and cultural foundation upon which CINEGRADE LAB’s product architecture is constructed.</w:t>
      </w:r>
    </w:p>
    <w:bookmarkStart w:id="59" w:name="kodak-film-stock-emulation"/>
    <w:p>
      <w:pPr>
        <w:pStyle w:val="Heading3"/>
      </w:pPr>
      <w:r>
        <w:t xml:space="preserve">3.1 Kodak Film Stock Emulation</w:t>
      </w:r>
    </w:p>
    <w:bookmarkStart w:id="56" w:name="Xcfe866e39fd544bee463c8b8f852cfc867b5f2f"/>
    <w:p>
      <w:pPr>
        <w:pStyle w:val="Heading4"/>
      </w:pPr>
      <w:r>
        <w:t xml:space="preserve">3.1.1 Portra 400/800: T-Grain Technology and the Neutral-to-Warm Palette</w:t>
      </w:r>
    </w:p>
    <w:p>
      <w:pPr>
        <w:pStyle w:val="FirstParagraph"/>
      </w:pPr>
      <w:r>
        <w:t xml:space="preserve">Kodak Portra 400 stands as the most emulated color negative film stock in digital workflows, a position earned through its neutral-to-warm color science, exceptional skin tone reproduction, and remarkably fine grain structure achieved through T-grain (tabular grain) emulsion technology</w:t>
      </w:r>
      <w:r>
        <w:t xml:space="preserve"> </w:t>
      </w:r>
      <w:r>
        <w:rPr>
          <w:vertAlign w:val="superscript"/>
        </w:rPr>
        <w:t xml:space="preserve">5</w:t>
      </w:r>
      <w:r>
        <w:t xml:space="preserve">. Unlike Kodak’s consumer-grade films — Gold, Ultramax, and ColorPlus — which elevate saturation for casual appeal, Portra maintains restrained, realistic color rendering. Reds do not oversaturate or drift toward orange; blues remain clean and separate from greens; and skin tones across complexions render with appropriate warmth</w:t>
      </w:r>
      <w:r>
        <w:t xml:space="preserve"> </w:t>
      </w:r>
      <w:r>
        <w:rPr>
          <w:vertAlign w:val="superscript"/>
        </w:rPr>
        <w:t xml:space="preserve">6</w:t>
      </w:r>
      <w:r>
        <w:t xml:space="preserve">. This color discipline makes Portra 400 the gold standard for portrait and wedding photography, where faithful skin rendition is non-negotiable.</w:t>
      </w:r>
    </w:p>
    <w:p>
      <w:pPr>
        <w:pStyle w:val="BodyText"/>
      </w:pPr>
      <w:r>
        <w:t xml:space="preserve">The technical emulation targets for Portra 400 are well-established. The characteristic</w:t>
      </w:r>
      <w:r>
        <w:t xml:space="preserve"> </w:t>
      </w:r>
      <w:r>
        <w:t xml:space="preserve">“</w:t>
      </w:r>
      <w:r>
        <w:t xml:space="preserve">milky</w:t>
      </w:r>
      <w:r>
        <w:t xml:space="preserve">”</w:t>
      </w:r>
      <w:r>
        <w:t xml:space="preserve"> </w:t>
      </w:r>
      <w:r>
        <w:t xml:space="preserve">shadow quality demands a black lift of +10 to +20 on standard grading scales, producing deep but detailed blacks rather than the clipped, data-void shadows common in aggressive digital grading</w:t>
      </w:r>
      <w:r>
        <w:t xml:space="preserve"> </w:t>
      </w:r>
      <w:r>
        <w:rPr>
          <w:vertAlign w:val="superscript"/>
        </w:rPr>
        <w:t xml:space="preserve">6</w:t>
      </w:r>
      <w:r>
        <w:t xml:space="preserve">. Highlight rolloff is equally critical — Portra tolerates overexposure by 1–2 stops gracefully, compressing highlights with a gentle shoulder rather than the abrupt clipping of digital sensors</w:t>
      </w:r>
      <w:r>
        <w:t xml:space="preserve"> </w:t>
      </w:r>
      <w:r>
        <w:rPr>
          <w:vertAlign w:val="superscript"/>
        </w:rPr>
        <w:t xml:space="preserve">6</w:t>
      </w:r>
      <w:r>
        <w:t xml:space="preserve">. Grain from the T-grain emulsion is notably finer than Kodak Gold 200 despite the faster ISO rating, requiring emulation algorithms to produce subtle, organic texture rather than coarse noise patterns.</w:t>
      </w:r>
    </w:p>
    <w:p>
      <w:pPr>
        <w:pStyle w:val="BodyText"/>
      </w:pPr>
      <w:r>
        <w:t xml:space="preserve">Portra 800 extends this palette into lower-light scenarios. Comparative testing confirms that</w:t>
      </w:r>
      <w:r>
        <w:t xml:space="preserve"> </w:t>
      </w:r>
      <w:r>
        <w:t xml:space="preserve">“</w:t>
      </w:r>
      <w:r>
        <w:t xml:space="preserve">Portra 800 is cleaner, more consistent, and handles colour better at night</w:t>
      </w:r>
      <w:r>
        <w:t xml:space="preserve">”</w:t>
      </w:r>
      <w:r>
        <w:t xml:space="preserve"> </w:t>
      </w:r>
      <w:r>
        <w:t xml:space="preserve">than pushed Portra 400, delivering warmer, softer, and more natural rendering than CineStill 800T’s clinical sharpness under mixed artificial lighting</w:t>
      </w:r>
      <w:r>
        <w:t xml:space="preserve"> </w:t>
      </w:r>
      <w:r>
        <w:rPr>
          <w:vertAlign w:val="superscript"/>
        </w:rPr>
        <w:t xml:space="preserve">45</w:t>
      </w:r>
      <w:r>
        <w:t xml:space="preserve">. Its Vision2 motion-picture lineage imparts cinematic color handling that makes it particularly suitable for indoor tungsten and mixed LED environments. Emulation requires maintaining the same lifted-black characteristic while allowing slightly more grain latitude and desaturating shadow regions to prevent color contamination in underexposed areas.</w:t>
      </w:r>
    </w:p>
    <w:bookmarkEnd w:id="56"/>
    <w:bookmarkStart w:id="57" w:name="X0efd6e488768a3896d16e47df530ff3c495777f"/>
    <w:p>
      <w:pPr>
        <w:pStyle w:val="Heading4"/>
      </w:pPr>
      <w:r>
        <w:t xml:space="preserve">3.1.2 Vision3 500T/250D: Cinema Industry Standard</w:t>
      </w:r>
    </w:p>
    <w:p>
      <w:pPr>
        <w:pStyle w:val="FirstParagraph"/>
      </w:pPr>
      <w:r>
        <w:t xml:space="preserve">Kodak Vision3 500T (5219/7219) represents one of the most advanced color chemistries still manufactured, with dynamic range, fine grain, and post-production flexibility that professional cinematographers describe as</w:t>
      </w:r>
      <w:r>
        <w:t xml:space="preserve"> </w:t>
      </w:r>
      <w:r>
        <w:t xml:space="preserve">“</w:t>
      </w:r>
      <w:r>
        <w:t xml:space="preserve">unmatched</w:t>
      </w:r>
      <w:r>
        <w:t xml:space="preserve">”</w:t>
      </w:r>
      <w:r>
        <w:t xml:space="preserve"> </w:t>
      </w:r>
      <w:r>
        <w:rPr>
          <w:vertAlign w:val="superscript"/>
        </w:rPr>
        <w:t xml:space="preserve">7</w:t>
      </w:r>
      <w:r>
        <w:t xml:space="preserve">. As one of only two tungsten-balanced color negative emulsions in production — the other being its daylight sibling 250D — Vision3 500T underpins a substantial portion of theatrical and streaming cinema. Its characteristics define what audiences subconsciously register as</w:t>
      </w:r>
      <w:r>
        <w:t xml:space="preserve"> </w:t>
      </w:r>
      <w:r>
        <w:t xml:space="preserve">“</w:t>
      </w:r>
      <w:r>
        <w:t xml:space="preserve">cinematic</w:t>
      </w:r>
      <w:r>
        <w:t xml:space="preserve">”</w:t>
      </w:r>
      <w:r>
        <w:t xml:space="preserve">: saturated yet balanced hues, organic grain texture, and highlight rolloff preserving detail in challenging mixed-lighting scenarios</w:t>
      </w:r>
      <w:r>
        <w:t xml:space="preserve"> </w:t>
      </w:r>
      <w:r>
        <w:rPr>
          <w:vertAlign w:val="superscript"/>
        </w:rPr>
        <w:t xml:space="preserve">7</w:t>
      </w:r>
      <w:r>
        <w:t xml:space="preserve">.</w:t>
      </w:r>
    </w:p>
    <w:p>
      <w:pPr>
        <w:pStyle w:val="BodyText"/>
      </w:pPr>
      <w:r>
        <w:t xml:space="preserve">Vision3 250D (5207) serves as the daylight-balanced counterpart, offering accurate colors, low grain, and easier scanning workflows</w:t>
      </w:r>
      <w:r>
        <w:t xml:space="preserve"> </w:t>
      </w:r>
      <w:r>
        <w:rPr>
          <w:vertAlign w:val="superscript"/>
        </w:rPr>
        <w:t xml:space="preserve">11</w:t>
      </w:r>
      <w:r>
        <w:t xml:space="preserve">. Both stocks benefit from Kodak’s Advanced Halation Underlayer (AHU) technology, introduced in 2025, which controls the red-orange halation glow at the emulsion level. This matters for digital emulation because Vision3’s halation characteristics differ fundamentally from CineStill 800T, which creates its signature glow through remjet removal rather than controlled underlayer design</w:t>
      </w:r>
      <w:r>
        <w:t xml:space="preserve"> </w:t>
      </w:r>
      <w:r>
        <w:rPr>
          <w:vertAlign w:val="superscript"/>
        </w:rPr>
        <w:t xml:space="preserve">11</w:t>
      </w:r>
      <w:r>
        <w:t xml:space="preserve">.</w:t>
      </w:r>
    </w:p>
    <w:p>
      <w:pPr>
        <w:pStyle w:val="BodyText"/>
      </w:pPr>
      <w:r>
        <w:t xml:space="preserve">The Hollywood significance of Vision3 is quantifiable. In</w:t>
      </w:r>
      <w:r>
        <w:t xml:space="preserve"> </w:t>
      </w:r>
      <w:r>
        <w:rPr>
          <w:iCs/>
          <w:i/>
        </w:rPr>
        <w:t xml:space="preserve">Star Wars: The Last Jedi</w:t>
      </w:r>
      <w:r>
        <w:t xml:space="preserve"> </w:t>
      </w:r>
      <w:r>
        <w:t xml:space="preserve">(2017), approximately 85–90% of footage was captured on 35mm Vision3 500T, while cinematographer Steve Yedlin developed custom input LUTs to match the remaining digitally captured Arri Alexa footage to the film’s neutral density and tonal response</w:t>
      </w:r>
      <w:r>
        <w:t xml:space="preserve"> </w:t>
      </w:r>
      <w:r>
        <w:rPr>
          <w:vertAlign w:val="superscript"/>
        </w:rPr>
        <w:t xml:space="preserve">12</w:t>
      </w:r>
      <w:r>
        <w:t xml:space="preserve">. For</w:t>
      </w:r>
      <w:r>
        <w:t xml:space="preserve"> </w:t>
      </w:r>
      <w:r>
        <w:rPr>
          <w:iCs/>
          <w:i/>
        </w:rPr>
        <w:t xml:space="preserve">Knives Out</w:t>
      </w:r>
      <w:r>
        <w:t xml:space="preserve"> </w:t>
      </w:r>
      <w:r>
        <w:t xml:space="preserve">(2019), Yedlin crafted five proprietary algorithms replicating color and tonal rendition, algorithmic grain, halation, gate weave, and curvature — despite shooting entirely on Arri Alexa Mini digital cameras</w:t>
      </w:r>
      <w:r>
        <w:t xml:space="preserve"> </w:t>
      </w:r>
      <w:r>
        <w:rPr>
          <w:vertAlign w:val="superscript"/>
        </w:rPr>
        <w:t xml:space="preserve">12</w:t>
      </w:r>
      <w:r>
        <w:t xml:space="preserve">. These cases demonstrate that professional film emulation demands modeling not merely color response but the full photochemical and mechanical behavior of the medium.</w:t>
      </w:r>
    </w:p>
    <w:bookmarkEnd w:id="57"/>
    <w:bookmarkStart w:id="58" w:name="X114dcb40f33453156d991b775e1b875dcc05188"/>
    <w:p>
      <w:pPr>
        <w:pStyle w:val="Heading4"/>
      </w:pPr>
      <w:r>
        <w:t xml:space="preserve">3.1.3 CineStill 800T: The Halation Effect and Night Photography Aesthetic</w:t>
      </w:r>
    </w:p>
    <w:p>
      <w:pPr>
        <w:pStyle w:val="FirstParagraph"/>
      </w:pPr>
      <w:r>
        <w:t xml:space="preserve">CineStill 800T is not a purpose-built still photography film. It is Kodak Vision3 500T motion picture stock with the remjet (removable jet black) anti-halation layer removed, respooled for standard C-41 processing</w:t>
      </w:r>
      <w:r>
        <w:t xml:space="preserve"> </w:t>
      </w:r>
      <w:r>
        <w:rPr>
          <w:vertAlign w:val="superscript"/>
        </w:rPr>
        <w:t xml:space="preserve">13</w:t>
      </w:r>
      <w:r>
        <w:t xml:space="preserve">. This modification — necessary to make cinema stock compatible with consumer photo lab chemistry — has consequences that define the entire CineStill aesthetic. Without remjet to absorb transmitted light, photons reflect off the film base and re-expose the emulsion from behind, creating a soft red-orange glow around bright point sources</w:t>
      </w:r>
      <w:r>
        <w:t xml:space="preserve"> </w:t>
      </w:r>
      <w:r>
        <w:rPr>
          <w:vertAlign w:val="superscript"/>
        </w:rPr>
        <w:t xml:space="preserve">13</w:t>
      </w:r>
      <w:r>
        <w:t xml:space="preserve">. The glow appears red-orange because the rear emulsion layer is the red-sensitive layer, meaning backscattered light preferentially re-exposes red dye clouds.</w:t>
      </w:r>
    </w:p>
    <w:p>
      <w:pPr>
        <w:pStyle w:val="BodyText"/>
      </w:pPr>
      <w:r>
        <w:t xml:space="preserve">Halation is most pronounced around point light sources — street lamps, neon signs, car headlights — and high-contrast edges against dark backgrounds</w:t>
      </w:r>
      <w:r>
        <w:t xml:space="preserve"> </w:t>
      </w:r>
      <w:r>
        <w:rPr>
          <w:vertAlign w:val="superscript"/>
        </w:rPr>
        <w:t xml:space="preserve">13</w:t>
      </w:r>
      <w:r>
        <w:t xml:space="preserve">. It is barely visible in evenly lit daylight scenes, which is why CineStill 800T is overwhelmingly a night and interior film. Under tungsten light, skin tones render naturally warm without the orange cast of digital warming, while blue shadows persist even under artificial light, adding depth that prevents tungsten-lit scenes from feeling monochromatic</w:t>
      </w:r>
      <w:r>
        <w:t xml:space="preserve"> </w:t>
      </w:r>
      <w:r>
        <w:rPr>
          <w:vertAlign w:val="superscript"/>
        </w:rPr>
        <w:t xml:space="preserve">13</w:t>
      </w:r>
      <w:r>
        <w:t xml:space="preserve">.</w:t>
      </w:r>
    </w:p>
    <w:p>
      <w:pPr>
        <w:pStyle w:val="BodyText"/>
      </w:pPr>
      <w:r>
        <w:t xml:space="preserve">Accurate digital halation simulation requires sophisticated modeling. Most consumer plugins approximate halation with Gaussian blur overlays, but the physical phenomenon follows different mathematics: light scatter through emulsion layers is wavelength-dependent, producing an exponential falloff kernel rather than a Gaussian distribution</w:t>
      </w:r>
      <w:r>
        <w:t xml:space="preserve"> </w:t>
      </w:r>
      <w:r>
        <w:rPr>
          <w:vertAlign w:val="superscript"/>
        </w:rPr>
        <w:t xml:space="preserve">19</w:t>
      </w:r>
      <w:r>
        <w:t xml:space="preserve">. The color shift requires multiplying scattered light by channel-specific coefficients — approximately [1.0, 0.05, 0.02] for RGB — to produce the correct red-orange bias</w:t>
      </w:r>
      <w:r>
        <w:t xml:space="preserve"> </w:t>
      </w:r>
      <w:r>
        <w:rPr>
          <w:vertAlign w:val="superscript"/>
        </w:rPr>
        <w:t xml:space="preserve">19</w:t>
      </w:r>
      <w:r>
        <w:t xml:space="preserve">. Professional emulation of CineStill 800T demands this physics-based approach; anything less reads as generic</w:t>
      </w:r>
      <w:r>
        <w:t xml:space="preserve"> </w:t>
      </w:r>
      <w:r>
        <w:t xml:space="preserve">“</w:t>
      </w:r>
      <w:r>
        <w:t xml:space="preserve">bloom</w:t>
      </w:r>
      <w:r>
        <w:t xml:space="preserve">”</w:t>
      </w:r>
      <w:r>
        <w:t xml:space="preserve"> </w:t>
      </w:r>
      <w:r>
        <w:t xml:space="preserve">rather than authentic halation.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Film Stock</w:t>
            </w:r>
          </w:p>
        </w:tc>
        <w:tc>
          <w:tcPr/>
          <w:p>
            <w:pPr>
              <w:pStyle w:val="Compact"/>
              <w:jc w:val="left"/>
            </w:pPr>
            <w:r>
              <w:t xml:space="preserve">Color Balance</w:t>
            </w:r>
          </w:p>
        </w:tc>
        <w:tc>
          <w:tcPr/>
          <w:p>
            <w:pPr>
              <w:pStyle w:val="Compact"/>
              <w:jc w:val="left"/>
            </w:pPr>
            <w:r>
              <w:t xml:space="preserve">Native ISO</w:t>
            </w:r>
          </w:p>
        </w:tc>
        <w:tc>
          <w:tcPr/>
          <w:p>
            <w:pPr>
              <w:pStyle w:val="Compact"/>
              <w:jc w:val="left"/>
            </w:pPr>
            <w:r>
              <w:t xml:space="preserve">Grain Structure</w:t>
            </w:r>
          </w:p>
        </w:tc>
        <w:tc>
          <w:tcPr/>
          <w:p>
            <w:pPr>
              <w:pStyle w:val="Compact"/>
              <w:jc w:val="left"/>
            </w:pPr>
            <w:r>
              <w:t xml:space="preserve">Shadow Treatment</w:t>
            </w:r>
          </w:p>
        </w:tc>
        <w:tc>
          <w:tcPr/>
          <w:p>
            <w:pPr>
              <w:pStyle w:val="Compact"/>
              <w:jc w:val="left"/>
            </w:pPr>
            <w:r>
              <w:t xml:space="preserve">Highlight Latitude</w:t>
            </w:r>
          </w:p>
        </w:tc>
        <w:tc>
          <w:tcPr/>
          <w:p>
            <w:pPr>
              <w:pStyle w:val="Compact"/>
              <w:jc w:val="left"/>
            </w:pPr>
            <w:r>
              <w:t xml:space="preserve">Primary Emulation Target</w:t>
            </w:r>
          </w:p>
        </w:tc>
      </w:tr>
      <w:tr>
        <w:tc>
          <w:tcPr/>
          <w:p>
            <w:pPr>
              <w:pStyle w:val="Compact"/>
              <w:jc w:val="left"/>
            </w:pPr>
            <w:r>
              <w:t xml:space="preserve">Kodak Portra 400</w:t>
            </w:r>
          </w:p>
        </w:tc>
        <w:tc>
          <w:tcPr/>
          <w:p>
            <w:pPr>
              <w:pStyle w:val="Compact"/>
              <w:jc w:val="left"/>
            </w:pPr>
            <w:r>
              <w:t xml:space="preserve">Neutral-to-warm</w:t>
            </w:r>
          </w:p>
        </w:tc>
        <w:tc>
          <w:tcPr/>
          <w:p>
            <w:pPr>
              <w:pStyle w:val="Compact"/>
              <w:jc w:val="left"/>
            </w:pPr>
            <w:r>
              <w:t xml:space="preserve">400</w:t>
            </w:r>
          </w:p>
        </w:tc>
        <w:tc>
          <w:tcPr/>
          <w:p>
            <w:pPr>
              <w:pStyle w:val="Compact"/>
              <w:jc w:val="left"/>
            </w:pPr>
            <w:r>
              <w:t xml:space="preserve">Fine T-grain</w:t>
            </w:r>
          </w:p>
        </w:tc>
        <w:tc>
          <w:tcPr/>
          <w:p>
            <w:pPr>
              <w:pStyle w:val="Compact"/>
              <w:jc w:val="left"/>
            </w:pPr>
            <w:r>
              <w:t xml:space="preserve">Lifted blacks (+10 to +20), milky</w:t>
            </w:r>
          </w:p>
        </w:tc>
        <w:tc>
          <w:tcPr/>
          <w:p>
            <w:pPr>
              <w:pStyle w:val="Compact"/>
              <w:jc w:val="left"/>
            </w:pPr>
            <w:r>
              <w:t xml:space="preserve">Overexposure tolerant to +2 stops</w:t>
            </w:r>
          </w:p>
        </w:tc>
        <w:tc>
          <w:tcPr/>
          <w:p>
            <w:pPr>
              <w:pStyle w:val="Compact"/>
              <w:jc w:val="left"/>
            </w:pPr>
            <w:r>
              <w:t xml:space="preserve">Wedding, portrait, editorial skin tones</w:t>
            </w:r>
            <w:r>
              <w:t xml:space="preserve"> </w:t>
            </w:r>
            <w:r>
              <w:rPr>
                <w:vertAlign w:val="superscript"/>
              </w:rPr>
              <w:t xml:space="preserve">5</w:t>
            </w:r>
          </w:p>
        </w:tc>
      </w:tr>
      <w:tr>
        <w:tc>
          <w:tcPr/>
          <w:p>
            <w:pPr>
              <w:pStyle w:val="Compact"/>
              <w:jc w:val="left"/>
            </w:pPr>
            <w:r>
              <w:t xml:space="preserve">Kodak Portra 800</w:t>
            </w:r>
          </w:p>
        </w:tc>
        <w:tc>
          <w:tcPr/>
          <w:p>
            <w:pPr>
              <w:pStyle w:val="Compact"/>
              <w:jc w:val="left"/>
            </w:pPr>
            <w:r>
              <w:t xml:space="preserve">Warm, soft</w:t>
            </w:r>
          </w:p>
        </w:tc>
        <w:tc>
          <w:tcPr/>
          <w:p>
            <w:pPr>
              <w:pStyle w:val="Compact"/>
              <w:jc w:val="left"/>
            </w:pPr>
            <w:r>
              <w:t xml:space="preserve">800</w:t>
            </w:r>
          </w:p>
        </w:tc>
        <w:tc>
          <w:tcPr/>
          <w:p>
            <w:pPr>
              <w:pStyle w:val="Compact"/>
              <w:jc w:val="left"/>
            </w:pPr>
            <w:r>
              <w:t xml:space="preserve">Fine, slightly more than 400</w:t>
            </w:r>
          </w:p>
        </w:tc>
        <w:tc>
          <w:tcPr/>
          <w:p>
            <w:pPr>
              <w:pStyle w:val="Compact"/>
              <w:jc w:val="left"/>
            </w:pPr>
            <w:r>
              <w:t xml:space="preserve">Lifted blacks, reduced shadow color</w:t>
            </w:r>
          </w:p>
        </w:tc>
        <w:tc>
          <w:tcPr/>
          <w:p>
            <w:pPr>
              <w:pStyle w:val="Compact"/>
              <w:jc w:val="left"/>
            </w:pPr>
            <w:r>
              <w:t xml:space="preserve">Excellent under mixed lighting</w:t>
            </w:r>
          </w:p>
        </w:tc>
        <w:tc>
          <w:tcPr/>
          <w:p>
            <w:pPr>
              <w:pStyle w:val="Compact"/>
              <w:jc w:val="left"/>
            </w:pPr>
            <w:r>
              <w:t xml:space="preserve">Low-light portrait, tungsten interior</w:t>
            </w:r>
            <w:r>
              <w:t xml:space="preserve"> </w:t>
            </w:r>
            <w:r>
              <w:rPr>
                <w:vertAlign w:val="superscript"/>
              </w:rPr>
              <w:t xml:space="preserve">45</w:t>
            </w:r>
          </w:p>
        </w:tc>
      </w:tr>
      <w:tr>
        <w:tc>
          <w:tcPr/>
          <w:p>
            <w:pPr>
              <w:pStyle w:val="Compact"/>
              <w:jc w:val="left"/>
            </w:pPr>
            <w:r>
              <w:t xml:space="preserve">Kodak Vision3 500T</w:t>
            </w:r>
          </w:p>
        </w:tc>
        <w:tc>
          <w:tcPr/>
          <w:p>
            <w:pPr>
              <w:pStyle w:val="Compact"/>
              <w:jc w:val="left"/>
            </w:pPr>
            <w:r>
              <w:t xml:space="preserve">Tungsten (3200K)</w:t>
            </w:r>
          </w:p>
        </w:tc>
        <w:tc>
          <w:tcPr/>
          <w:p>
            <w:pPr>
              <w:pStyle w:val="Compact"/>
              <w:jc w:val="left"/>
            </w:pPr>
            <w:r>
              <w:t xml:space="preserve">500</w:t>
            </w:r>
          </w:p>
        </w:tc>
        <w:tc>
          <w:tcPr/>
          <w:p>
            <w:pPr>
              <w:pStyle w:val="Compact"/>
              <w:jc w:val="left"/>
            </w:pPr>
            <w:r>
              <w:t xml:space="preserve">Exceptionally fine for speed</w:t>
            </w:r>
          </w:p>
        </w:tc>
        <w:tc>
          <w:tcPr/>
          <w:p>
            <w:pPr>
              <w:pStyle w:val="Compact"/>
              <w:jc w:val="left"/>
            </w:pPr>
            <w:r>
              <w:t xml:space="preserve">Deep but detailed, massive latitude</w:t>
            </w:r>
          </w:p>
        </w:tc>
        <w:tc>
          <w:tcPr/>
          <w:p>
            <w:pPr>
              <w:pStyle w:val="Compact"/>
              <w:jc w:val="left"/>
            </w:pPr>
            <w:r>
              <w:t xml:space="preserve">Unmatched rolloff,</w:t>
            </w:r>
            <w:r>
              <w:t xml:space="preserve"> </w:t>
            </w:r>
            <w:r>
              <w:t xml:space="preserve">“</w:t>
            </w:r>
            <w:r>
              <w:t xml:space="preserve">information packed</w:t>
            </w:r>
            <w:r>
              <w:t xml:space="preserve">”</w:t>
            </w:r>
            <w:r>
              <w:t xml:space="preserve"> </w:t>
            </w:r>
            <w:r>
              <w:rPr>
                <w:vertAlign w:val="superscript"/>
              </w:rPr>
              <w:t xml:space="preserve">7</w:t>
            </w:r>
          </w:p>
        </w:tc>
        <w:tc>
          <w:tcPr/>
          <w:p>
            <w:pPr>
              <w:pStyle w:val="Compact"/>
              <w:jc w:val="left"/>
            </w:pPr>
            <w:r>
              <w:t xml:space="preserve">Cinema, narrative film, professional video</w:t>
            </w:r>
          </w:p>
        </w:tc>
      </w:tr>
      <w:tr>
        <w:tc>
          <w:tcPr/>
          <w:p>
            <w:pPr>
              <w:pStyle w:val="Compact"/>
              <w:jc w:val="left"/>
            </w:pPr>
            <w:r>
              <w:t xml:space="preserve">Kodak Vision3 250D</w:t>
            </w:r>
          </w:p>
        </w:tc>
        <w:tc>
          <w:tcPr/>
          <w:p>
            <w:pPr>
              <w:pStyle w:val="Compact"/>
              <w:jc w:val="left"/>
            </w:pPr>
            <w:r>
              <w:t xml:space="preserve">Daylight (5500K)</w:t>
            </w:r>
          </w:p>
        </w:tc>
        <w:tc>
          <w:tcPr/>
          <w:p>
            <w:pPr>
              <w:pStyle w:val="Compact"/>
              <w:jc w:val="left"/>
            </w:pPr>
            <w:r>
              <w:t xml:space="preserve">250</w:t>
            </w:r>
          </w:p>
        </w:tc>
        <w:tc>
          <w:tcPr/>
          <w:p>
            <w:pPr>
              <w:pStyle w:val="Compact"/>
              <w:jc w:val="left"/>
            </w:pPr>
            <w:r>
              <w:t xml:space="preserve">Very fine</w:t>
            </w:r>
          </w:p>
        </w:tc>
        <w:tc>
          <w:tcPr/>
          <w:p>
            <w:pPr>
              <w:pStyle w:val="Compact"/>
              <w:jc w:val="left"/>
            </w:pPr>
            <w:r>
              <w:t xml:space="preserve">Excellent detail retention</w:t>
            </w:r>
          </w:p>
        </w:tc>
        <w:tc>
          <w:tcPr/>
          <w:p>
            <w:pPr>
              <w:pStyle w:val="Compact"/>
              <w:jc w:val="left"/>
            </w:pPr>
            <w:r>
              <w:t xml:space="preserve">Controlled via AHU halation layer</w:t>
            </w:r>
            <w:r>
              <w:t xml:space="preserve"> </w:t>
            </w:r>
            <w:r>
              <w:rPr>
                <w:vertAlign w:val="superscript"/>
              </w:rPr>
              <w:t xml:space="preserve">11</w:t>
            </w:r>
          </w:p>
        </w:tc>
        <w:tc>
          <w:tcPr/>
          <w:p>
            <w:pPr>
              <w:pStyle w:val="Compact"/>
              <w:jc w:val="left"/>
            </w:pPr>
            <w:r>
              <w:t xml:space="preserve">Daylight cinema, exterior scenes</w:t>
            </w:r>
          </w:p>
        </w:tc>
      </w:tr>
      <w:tr>
        <w:tc>
          <w:tcPr/>
          <w:p>
            <w:pPr>
              <w:pStyle w:val="Compact"/>
              <w:jc w:val="left"/>
            </w:pPr>
            <w:r>
              <w:t xml:space="preserve">CineStill 800T</w:t>
            </w:r>
          </w:p>
        </w:tc>
        <w:tc>
          <w:tcPr/>
          <w:p>
            <w:pPr>
              <w:pStyle w:val="Compact"/>
              <w:jc w:val="left"/>
            </w:pPr>
            <w:r>
              <w:t xml:space="preserve">Tungsten (remjet removed)</w:t>
            </w:r>
          </w:p>
        </w:tc>
        <w:tc>
          <w:tcPr/>
          <w:p>
            <w:pPr>
              <w:pStyle w:val="Compact"/>
              <w:jc w:val="left"/>
            </w:pPr>
            <w:r>
              <w:t xml:space="preserve">800</w:t>
            </w:r>
          </w:p>
        </w:tc>
        <w:tc>
          <w:tcPr/>
          <w:p>
            <w:pPr>
              <w:pStyle w:val="Compact"/>
              <w:jc w:val="left"/>
            </w:pPr>
            <w:r>
              <w:t xml:space="preserve">Fine, clinical</w:t>
            </w:r>
          </w:p>
        </w:tc>
        <w:tc>
          <w:tcPr/>
          <w:p>
            <w:pPr>
              <w:pStyle w:val="Compact"/>
              <w:jc w:val="left"/>
            </w:pPr>
            <w:r>
              <w:t xml:space="preserve">Blue-leaning in daylight, warm under tungsten</w:t>
            </w:r>
          </w:p>
        </w:tc>
        <w:tc>
          <w:tcPr/>
          <w:p>
            <w:pPr>
              <w:pStyle w:val="Compact"/>
              <w:jc w:val="left"/>
            </w:pPr>
            <w:r>
              <w:t xml:space="preserve">Halation bloom at high-contrast edges</w:t>
            </w:r>
          </w:p>
        </w:tc>
        <w:tc>
          <w:tcPr/>
          <w:p>
            <w:pPr>
              <w:pStyle w:val="Compact"/>
              <w:jc w:val="left"/>
            </w:pPr>
            <w:r>
              <w:t xml:space="preserve">Night photography, neon, concert</w:t>
            </w:r>
            <w:r>
              <w:t xml:space="preserve"> </w:t>
            </w:r>
            <w:r>
              <w:rPr>
                <w:vertAlign w:val="superscript"/>
              </w:rPr>
              <w:t xml:space="preserve">13</w:t>
            </w:r>
          </w:p>
        </w:tc>
      </w:tr>
      <w:tr>
        <w:tc>
          <w:tcPr/>
          <w:p>
            <w:pPr>
              <w:pStyle w:val="Compact"/>
              <w:jc w:val="left"/>
            </w:pPr>
            <w:r>
              <w:t xml:space="preserve">Fujifilm Pro 400H</w:t>
            </w:r>
          </w:p>
        </w:tc>
        <w:tc>
          <w:tcPr/>
          <w:p>
            <w:pPr>
              <w:pStyle w:val="Compact"/>
              <w:jc w:val="left"/>
            </w:pPr>
            <w:r>
              <w:t xml:space="preserve">Pastel, blue-green shadows</w:t>
            </w:r>
          </w:p>
        </w:tc>
        <w:tc>
          <w:tcPr/>
          <w:p>
            <w:pPr>
              <w:pStyle w:val="Compact"/>
              <w:jc w:val="left"/>
            </w:pPr>
            <w:r>
              <w:t xml:space="preserve">400</w:t>
            </w:r>
          </w:p>
        </w:tc>
        <w:tc>
          <w:tcPr/>
          <w:p>
            <w:pPr>
              <w:pStyle w:val="Compact"/>
              <w:jc w:val="left"/>
            </w:pPr>
            <w:r>
              <w:t xml:space="preserve">Fine, soft</w:t>
            </w:r>
          </w:p>
        </w:tc>
        <w:tc>
          <w:tcPr/>
          <w:p>
            <w:pPr>
              <w:pStyle w:val="Compact"/>
              <w:jc w:val="left"/>
            </w:pPr>
            <w:r>
              <w:t xml:space="preserve">Lifted, almost washed-out</w:t>
            </w:r>
          </w:p>
        </w:tc>
        <w:tc>
          <w:tcPr/>
          <w:p>
            <w:pPr>
              <w:pStyle w:val="Compact"/>
              <w:jc w:val="left"/>
            </w:pPr>
            <w:r>
              <w:t xml:space="preserve">Gentle rolloff, designed for +0.3 to +0.5 EV</w:t>
            </w:r>
          </w:p>
        </w:tc>
        <w:tc>
          <w:tcPr/>
          <w:p>
            <w:pPr>
              <w:pStyle w:val="Compact"/>
              <w:jc w:val="left"/>
            </w:pPr>
            <w:r>
              <w:t xml:space="preserve">Wedding shade, romantic portraiture</w:t>
            </w:r>
            <w:r>
              <w:t xml:space="preserve"> </w:t>
            </w:r>
            <w:r>
              <w:rPr>
                <w:vertAlign w:val="superscript"/>
              </w:rPr>
              <w:t xml:space="preserve">14</w:t>
            </w:r>
          </w:p>
        </w:tc>
      </w:tr>
      <w:tr>
        <w:tc>
          <w:tcPr/>
          <w:p>
            <w:pPr>
              <w:pStyle w:val="Compact"/>
              <w:jc w:val="left"/>
            </w:pPr>
            <w:r>
              <w:t xml:space="preserve">Ilford HP5+</w:t>
            </w:r>
          </w:p>
        </w:tc>
        <w:tc>
          <w:tcPr/>
          <w:p>
            <w:pPr>
              <w:pStyle w:val="Compact"/>
              <w:jc w:val="left"/>
            </w:pPr>
            <w:r>
              <w:t xml:space="preserve">Neutral B&amp;W</w:t>
            </w:r>
          </w:p>
        </w:tc>
        <w:tc>
          <w:tcPr/>
          <w:p>
            <w:pPr>
              <w:pStyle w:val="Compact"/>
              <w:jc w:val="left"/>
            </w:pPr>
            <w:r>
              <w:t xml:space="preserve">400</w:t>
            </w:r>
          </w:p>
        </w:tc>
        <w:tc>
          <w:tcPr/>
          <w:p>
            <w:pPr>
              <w:pStyle w:val="Compact"/>
              <w:jc w:val="left"/>
            </w:pPr>
            <w:r>
              <w:t xml:space="preserve">Medium, traditional crystal</w:t>
            </w:r>
          </w:p>
        </w:tc>
        <w:tc>
          <w:tcPr/>
          <w:p>
            <w:pPr>
              <w:pStyle w:val="Compact"/>
              <w:jc w:val="left"/>
            </w:pPr>
            <w:r>
              <w:t xml:space="preserve">Balanced tonal range, strong midtones</w:t>
            </w:r>
          </w:p>
        </w:tc>
        <w:tc>
          <w:tcPr/>
          <w:p>
            <w:pPr>
              <w:pStyle w:val="Compact"/>
              <w:jc w:val="left"/>
            </w:pPr>
            <w:r>
              <w:t xml:space="preserve">Pushable to 1600 with good results</w:t>
            </w:r>
          </w:p>
        </w:tc>
        <w:tc>
          <w:tcPr/>
          <w:p>
            <w:pPr>
              <w:pStyle w:val="Compact"/>
              <w:jc w:val="left"/>
            </w:pPr>
            <w:r>
              <w:t xml:space="preserve">Street, photojournalism, versatile B&amp;W</w:t>
            </w:r>
            <w:r>
              <w:t xml:space="preserve"> </w:t>
            </w:r>
            <w:r>
              <w:rPr>
                <w:vertAlign w:val="superscript"/>
              </w:rPr>
              <w:t xml:space="preserve">15</w:t>
            </w:r>
          </w:p>
        </w:tc>
      </w:tr>
      <w:tr>
        <w:tc>
          <w:tcPr/>
          <w:p>
            <w:pPr>
              <w:pStyle w:val="Compact"/>
              <w:jc w:val="left"/>
            </w:pPr>
            <w:r>
              <w:t xml:space="preserve">Ilford Delta 3200</w:t>
            </w:r>
          </w:p>
        </w:tc>
        <w:tc>
          <w:tcPr/>
          <w:p>
            <w:pPr>
              <w:pStyle w:val="Compact"/>
              <w:jc w:val="left"/>
            </w:pPr>
            <w:r>
              <w:t xml:space="preserve">Neutral B&amp;W</w:t>
            </w:r>
          </w:p>
        </w:tc>
        <w:tc>
          <w:tcPr/>
          <w:p>
            <w:pPr>
              <w:pStyle w:val="Compact"/>
              <w:jc w:val="left"/>
            </w:pPr>
            <w:r>
              <w:t xml:space="preserve">3200</w:t>
            </w:r>
          </w:p>
        </w:tc>
        <w:tc>
          <w:tcPr/>
          <w:p>
            <w:pPr>
              <w:pStyle w:val="Compact"/>
              <w:jc w:val="left"/>
            </w:pPr>
            <w:r>
              <w:t xml:space="preserve">Heavy, chunky, modern crystal</w:t>
            </w:r>
          </w:p>
        </w:tc>
        <w:tc>
          <w:tcPr/>
          <w:p>
            <w:pPr>
              <w:pStyle w:val="Compact"/>
              <w:jc w:val="left"/>
            </w:pPr>
            <w:r>
              <w:t xml:space="preserve">Extended shadow and highlight range</w:t>
            </w:r>
          </w:p>
        </w:tc>
        <w:tc>
          <w:tcPr/>
          <w:p>
            <w:pPr>
              <w:pStyle w:val="Compact"/>
              <w:jc w:val="left"/>
            </w:pPr>
            <w:r>
              <w:t xml:space="preserve">Glowing luminance quality</w:t>
            </w:r>
          </w:p>
        </w:tc>
        <w:tc>
          <w:tcPr/>
          <w:p>
            <w:pPr>
              <w:pStyle w:val="Compact"/>
              <w:jc w:val="left"/>
            </w:pPr>
            <w:r>
              <w:t xml:space="preserve">Low-light atmospheric B&amp;W</w:t>
            </w:r>
            <w:r>
              <w:t xml:space="preserve"> </w:t>
            </w:r>
            <w:r>
              <w:rPr>
                <w:vertAlign w:val="superscript"/>
              </w:rPr>
              <w:t xml:space="preserve">8</w:t>
            </w:r>
          </w:p>
        </w:tc>
      </w:tr>
    </w:tbl>
    <w:p>
      <w:pPr>
        <w:pStyle w:val="BodyText"/>
      </w:pPr>
      <w:r>
        <w:t xml:space="preserve">This table synthesizes the eight most commercially significant film stocks for digital emulation. Portra 400 and 800 demand precision in skin tone reproduction and shadow lift; Vision3 stocks require modeling the full characteristic curve from toe to shoulder; CineStill 800T’s halation effect is a byproduct of manufacturing adaptation; Fuji’s Pro 400H operates on a different color axis with blue-green shadow rendering; and the Ilford B&amp;W stocks separate traditional from modern crystal technology. Successful emulation requires treating each stock not as a generic</w:t>
      </w:r>
      <w:r>
        <w:t xml:space="preserve"> </w:t>
      </w:r>
      <w:r>
        <w:t xml:space="preserve">“</w:t>
      </w:r>
      <w:r>
        <w:t xml:space="preserve">film look</w:t>
      </w:r>
      <w:r>
        <w:t xml:space="preserve">”</w:t>
      </w:r>
      <w:r>
        <w:t xml:space="preserve"> </w:t>
      </w:r>
      <w:r>
        <w:t xml:space="preserve">but as a distinct photochemical system with quantifiable parameters.</w:t>
      </w:r>
    </w:p>
    <w:bookmarkEnd w:id="58"/>
    <w:bookmarkEnd w:id="59"/>
    <w:bookmarkStart w:id="63" w:name="fuji-and-alternative-film-stocks"/>
    <w:p>
      <w:pPr>
        <w:pStyle w:val="Heading3"/>
      </w:pPr>
      <w:r>
        <w:t xml:space="preserve">3.2 Fuji and Alternative Film Stocks</w:t>
      </w:r>
    </w:p>
    <w:bookmarkStart w:id="60" w:name="Xce37eb0ed94734b078a808a8955f4f26ae65f61"/>
    <w:p>
      <w:pPr>
        <w:pStyle w:val="Heading4"/>
      </w:pPr>
      <w:r>
        <w:t xml:space="preserve">3.2.1 Pro 400H (Discontinued 2021): The Pastel Portrait Alternative</w:t>
      </w:r>
    </w:p>
    <w:p>
      <w:pPr>
        <w:pStyle w:val="FirstParagraph"/>
      </w:pPr>
      <w:r>
        <w:t xml:space="preserve">Fujifilm Pro 400H was discontinued in 2021, leaving its aesthetic accessible almost exclusively through digital presets. What separated Pro 400H from Portra 400 was a triad of characteristics: muted, slightly blue-green shadow rendering; a greenish-pink midtone cast that rendered skin with ethereal softness; and gentle desaturation in foliage that prevented backgrounds from competing with subjects</w:t>
      </w:r>
      <w:r>
        <w:t xml:space="preserve"> </w:t>
      </w:r>
      <w:r>
        <w:rPr>
          <w:vertAlign w:val="superscript"/>
        </w:rPr>
        <w:t xml:space="preserve">14</w:t>
      </w:r>
      <w:r>
        <w:t xml:space="preserve">. Where Portra delivers warm amber skin tones, Pro 400H produced a quieter, more romantic character that wedding photographers favored for outdoor shade and dappled light.</w:t>
      </w:r>
    </w:p>
    <w:p>
      <w:pPr>
        <w:pStyle w:val="BodyText"/>
      </w:pPr>
      <w:r>
        <w:t xml:space="preserve">Emulating Pro 400H demands attention to the green-magenta tint axis — the single largest factor in achieving the pastel quality</w:t>
      </w:r>
      <w:r>
        <w:t xml:space="preserve"> </w:t>
      </w:r>
      <w:r>
        <w:rPr>
          <w:vertAlign w:val="superscript"/>
        </w:rPr>
        <w:t xml:space="preserve">14</w:t>
      </w:r>
      <w:r>
        <w:t xml:space="preserve">. Overexposure by 2/3 to 1 full stop before applying emulation is essential, as Pro 400H was designed to reward this approach with creamy highlight rolloff on skin</w:t>
      </w:r>
      <w:r>
        <w:t xml:space="preserve"> </w:t>
      </w:r>
      <w:r>
        <w:rPr>
          <w:vertAlign w:val="superscript"/>
        </w:rPr>
        <w:t xml:space="preserve">14</w:t>
      </w:r>
      <w:r>
        <w:t xml:space="preserve">. Shadow treatment is notably more lifted than Portra, producing an almost washed-out quality that reduces overall scene contrast. This is intentional design: Pro 400H outperforms Portra where warm highlights and cool shadows coexist naturally, because the Fuji stock handles this temperature gradient more gracefully than Kodak’s warmer rendering</w:t>
      </w:r>
      <w:r>
        <w:t xml:space="preserve"> </w:t>
      </w:r>
      <w:r>
        <w:rPr>
          <w:vertAlign w:val="superscript"/>
        </w:rPr>
        <w:t xml:space="preserve">14</w:t>
      </w:r>
      <w:r>
        <w:t xml:space="preserve">. The discontinuation creates a unique market dynamic — unlike Portra 400, which photographers can still shoot for reference, Pro 400H exists only in frozen stockpiles and digital memory, making accurate presets the sole means of accessing its aesthetic.</w:t>
      </w:r>
    </w:p>
    <w:bookmarkEnd w:id="60"/>
    <w:bookmarkStart w:id="61" w:name="Xe0889cb84332bac637e70050192fc63d22d6179"/>
    <w:p>
      <w:pPr>
        <w:pStyle w:val="Heading4"/>
      </w:pPr>
      <w:r>
        <w:t xml:space="preserve">3.2.2 Ilford B&amp;W: HP5+ Traditional Crystal versus Delta 3200 Modern Technology</w:t>
      </w:r>
    </w:p>
    <w:p>
      <w:pPr>
        <w:pStyle w:val="FirstParagraph"/>
      </w:pPr>
      <w:r>
        <w:t xml:space="preserve">Black and white film emulation requires fundamentally different approaches from color stock. True B&amp;W emulation is not merely desaturation — it demands specific tonal response curves that vary by manufacturer and emulsion technology</w:t>
      </w:r>
      <w:r>
        <w:t xml:space="preserve"> </w:t>
      </w:r>
      <w:r>
        <w:rPr>
          <w:vertAlign w:val="superscript"/>
        </w:rPr>
        <w:t xml:space="preserve">16</w:t>
      </w:r>
      <w:r>
        <w:t xml:space="preserve">. Each film stock converts RGB color information to luminance through different channel weightings, meaning a red filter effect cannot be replicated by simple grayscale conversion.</w:t>
      </w:r>
    </w:p>
    <w:p>
      <w:pPr>
        <w:pStyle w:val="BodyText"/>
      </w:pPr>
      <w:r>
        <w:t xml:space="preserve">Ilford HP5+ uses traditional crystal emulsion technology, producing medium grain and medium contrast with forgiving exposure latitude</w:t>
      </w:r>
      <w:r>
        <w:t xml:space="preserve"> </w:t>
      </w:r>
      <w:r>
        <w:rPr>
          <w:vertAlign w:val="superscript"/>
        </w:rPr>
        <w:t xml:space="preserve">15</w:t>
      </w:r>
      <w:r>
        <w:t xml:space="preserve">. It is the workhorse of black and white photography — grain described as</w:t>
      </w:r>
      <w:r>
        <w:t xml:space="preserve"> </w:t>
      </w:r>
      <w:r>
        <w:t xml:space="preserve">“</w:t>
      </w:r>
      <w:r>
        <w:t xml:space="preserve">smooth and refined</w:t>
      </w:r>
      <w:r>
        <w:t xml:space="preserve">”</w:t>
      </w:r>
      <w:r>
        <w:t xml:space="preserve"> </w:t>
      </w:r>
      <w:r>
        <w:t xml:space="preserve">rather than the aggressive texture of faster stocks</w:t>
      </w:r>
      <w:r>
        <w:t xml:space="preserve"> </w:t>
      </w:r>
      <w:r>
        <w:rPr>
          <w:vertAlign w:val="superscript"/>
        </w:rPr>
        <w:t xml:space="preserve">15</w:t>
      </w:r>
      <w:r>
        <w:t xml:space="preserve">. HP5+ tolerates errors in both exposure and development, making it the standard recommendation for photographers transitioning to B&amp;W.</w:t>
      </w:r>
    </w:p>
    <w:p>
      <w:pPr>
        <w:pStyle w:val="BodyText"/>
      </w:pPr>
      <w:r>
        <w:t xml:space="preserve">Ilford Delta 3200 employs modern crystal technology that produces finer grain at equivalent speeds but demands more precise development</w:t>
      </w:r>
      <w:r>
        <w:t xml:space="preserve"> </w:t>
      </w:r>
      <w:r>
        <w:rPr>
          <w:vertAlign w:val="superscript"/>
        </w:rPr>
        <w:t xml:space="preserve">8</w:t>
      </w:r>
      <w:r>
        <w:t xml:space="preserve">. Comparative testing reveals Delta 3200 shows more tonal range in shadows and highlights than HP5+ pushed to equivalent speeds, while HP5+ delivers stronger mid-tone values and a subtler grain pattern</w:t>
      </w:r>
      <w:r>
        <w:t xml:space="preserve"> </w:t>
      </w:r>
      <w:r>
        <w:rPr>
          <w:vertAlign w:val="superscript"/>
        </w:rPr>
        <w:t xml:space="preserve">8</w:t>
      </w:r>
      <w:r>
        <w:t xml:space="preserve">. Delta 3200 at native ISO exhibits a</w:t>
      </w:r>
      <w:r>
        <w:t xml:space="preserve"> </w:t>
      </w:r>
      <w:r>
        <w:t xml:space="preserve">“</w:t>
      </w:r>
      <w:r>
        <w:t xml:space="preserve">chunky, high-speed grain structure with glowing quality and marked luminance</w:t>
      </w:r>
      <w:r>
        <w:t xml:space="preserve">”</w:t>
      </w:r>
      <w:r>
        <w:t xml:space="preserve"> </w:t>
      </w:r>
      <w:r>
        <w:t xml:space="preserve">distinctly different from HP5+’s restrained character</w:t>
      </w:r>
      <w:r>
        <w:t xml:space="preserve"> </w:t>
      </w:r>
      <w:r>
        <w:rPr>
          <w:vertAlign w:val="superscript"/>
        </w:rPr>
        <w:t xml:space="preserve">8</w:t>
      </w:r>
      <w:r>
        <w:t xml:space="preserve">. Digital B&amp;W emulation must model these differences at the algorithmic level — not just varying grain intensity, but the distinct tonal response curves, channel sensitivities, and contrast characteristics that define each stock.</w:t>
      </w:r>
    </w:p>
    <w:bookmarkEnd w:id="61"/>
    <w:bookmarkStart w:id="62" w:name="X07f943762a57c60a2ca83dd21a0a256c5a2018d"/>
    <w:p>
      <w:pPr>
        <w:pStyle w:val="Heading4"/>
      </w:pPr>
      <w:r>
        <w:t xml:space="preserve">3.2.3 Polaroid SX-70: Lifted Blacks, Channel Mixer Contamination, and Split Toning Nostalgia</w:t>
      </w:r>
    </w:p>
    <w:p>
      <w:pPr>
        <w:pStyle w:val="FirstParagraph"/>
      </w:pPr>
      <w:r>
        <w:t xml:space="preserve">The Polaroid SX-70 aesthetic is defined by physical artifact as much as chemical response. Instant film produces lifted shadows, warm highlights, olive-biased colors, and a faded quality that digital files lack at capture</w:t>
      </w:r>
      <w:r>
        <w:t xml:space="preserve"> </w:t>
      </w:r>
      <w:r>
        <w:rPr>
          <w:vertAlign w:val="superscript"/>
        </w:rPr>
        <w:t xml:space="preserve">46</w:t>
      </w:r>
      <w:r>
        <w:t xml:space="preserve">. Where a raw digital file presents deep blacks and crisp whites, SX-70 prints offer</w:t>
      </w:r>
      <w:r>
        <w:t xml:space="preserve"> </w:t>
      </w:r>
      <w:r>
        <w:t xml:space="preserve">“</w:t>
      </w:r>
      <w:r>
        <w:t xml:space="preserve">faded grey</w:t>
      </w:r>
      <w:r>
        <w:t xml:space="preserve">”</w:t>
      </w:r>
      <w:r>
        <w:t xml:space="preserve"> </w:t>
      </w:r>
      <w:r>
        <w:t xml:space="preserve">shadows where black is never truly black, and highlights that bloom with warm overexposure</w:t>
      </w:r>
      <w:r>
        <w:t xml:space="preserve"> </w:t>
      </w:r>
      <w:r>
        <w:rPr>
          <w:vertAlign w:val="superscript"/>
        </w:rPr>
        <w:t xml:space="preserve">46</w:t>
      </w:r>
      <w:r>
        <w:t xml:space="preserve">.</w:t>
      </w:r>
    </w:p>
    <w:p>
      <w:pPr>
        <w:pStyle w:val="BodyText"/>
      </w:pPr>
      <w:r>
        <w:t xml:space="preserve">The technical recipe reveals deliberate imperfection. Channel mixer contamination — breaking channel purity — is essential: red output at 92%R + 5%G, green output at 104%G + 3%R, blue output at 97%B + 3%G</w:t>
      </w:r>
      <w:r>
        <w:t xml:space="preserve"> </w:t>
      </w:r>
      <w:r>
        <w:rPr>
          <w:vertAlign w:val="superscript"/>
        </w:rPr>
        <w:t xml:space="preserve">46</w:t>
      </w:r>
      <w:r>
        <w:t xml:space="preserve">. This cross-channel bleeding mimics chemical instability and uneven dye development. Split toning adds the emotional signature: highlights tinted creamy yellow (Hue 55°, Strength 25) while shadows push toward green-cyan (Hue 170°, Strength 35)</w:t>
      </w:r>
      <w:r>
        <w:t xml:space="preserve"> </w:t>
      </w:r>
      <w:r>
        <w:rPr>
          <w:vertAlign w:val="superscript"/>
        </w:rPr>
        <w:t xml:space="preserve">46</w:t>
      </w:r>
      <w:r>
        <w:t xml:space="preserve">. The combination produces the</w:t>
      </w:r>
      <w:r>
        <w:t xml:space="preserve"> </w:t>
      </w:r>
      <w:r>
        <w:t xml:space="preserve">“</w:t>
      </w:r>
      <w:r>
        <w:t xml:space="preserve">shoebox</w:t>
      </w:r>
      <w:r>
        <w:t xml:space="preserve">”</w:t>
      </w:r>
      <w:r>
        <w:t xml:space="preserve"> </w:t>
      </w:r>
      <w:r>
        <w:t xml:space="preserve">quality — images appearing as though retrieved from a forgotten drawer, carrying the patina of elapsed time.</w:t>
      </w:r>
    </w:p>
    <w:p>
      <w:pPr>
        <w:pStyle w:val="BodyText"/>
      </w:pPr>
      <w:r>
        <w:t xml:space="preserve">The psychology is equally important. Research confirms that slightly imperfect images — soft focus, warm tones, visible texture — trigger stronger nostalgic responses than technically perfect captures</w:t>
      </w:r>
      <w:r>
        <w:t xml:space="preserve"> </w:t>
      </w:r>
      <w:r>
        <w:rPr>
          <w:vertAlign w:val="superscript"/>
        </w:rPr>
        <w:t xml:space="preserve">17</w:t>
      </w:r>
      <w:r>
        <w:t xml:space="preserve">. The white border transforms a digital file into a physical artifact. The Polaroid look signals</w:t>
      </w:r>
      <w:r>
        <w:t xml:space="preserve"> </w:t>
      </w:r>
      <w:r>
        <w:t xml:space="preserve">“</w:t>
      </w:r>
      <w:r>
        <w:t xml:space="preserve">perceived authenticity</w:t>
      </w:r>
      <w:r>
        <w:t xml:space="preserve">”</w:t>
      </w:r>
      <w:r>
        <w:t xml:space="preserve">: that a moment was real, spontaneous, and worth preserving in an era before infinite storage made every image disposable</w:t>
      </w:r>
      <w:r>
        <w:t xml:space="preserve"> </w:t>
      </w:r>
      <w:r>
        <w:rPr>
          <w:vertAlign w:val="superscript"/>
        </w:rPr>
        <w:t xml:space="preserve">17</w:t>
      </w:r>
      <w:r>
        <w:t xml:space="preserve">.</w:t>
      </w:r>
    </w:p>
    <w:bookmarkEnd w:id="62"/>
    <w:bookmarkEnd w:id="63"/>
    <w:bookmarkStart w:id="68" w:name="cinema-looks-and-cultural-aesthetics"/>
    <w:p>
      <w:pPr>
        <w:pStyle w:val="Heading3"/>
      </w:pPr>
      <w:r>
        <w:t xml:space="preserve">3.3 Cinema Looks and Cultural Aesthetics</w:t>
      </w:r>
    </w:p>
    <w:bookmarkStart w:id="64" w:name="Xeb93f0915e33046135f231f20b906108dbf7a4e"/>
    <w:p>
      <w:pPr>
        <w:pStyle w:val="Heading4"/>
      </w:pPr>
      <w:r>
        <w:t xml:space="preserve">3.3.1 The</w:t>
      </w:r>
      <w:r>
        <w:t xml:space="preserve"> </w:t>
      </w:r>
      <w:r>
        <w:t xml:space="preserve">“</w:t>
      </w:r>
      <w:r>
        <w:t xml:space="preserve">Netflix Look</w:t>
      </w:r>
      <w:r>
        <w:t xml:space="preserve">”</w:t>
      </w:r>
      <w:r>
        <w:t xml:space="preserve">: Dolby Vision HDR and Muted Palettes</w:t>
      </w:r>
    </w:p>
    <w:p>
      <w:pPr>
        <w:pStyle w:val="FirstParagraph"/>
      </w:pPr>
      <w:r>
        <w:t xml:space="preserve">Netflix Originals are mastered in Dolby Vision HDR with specifications shaping the entire post-production industry: P3-D65 color space, PQ (ST.2084) EOTF, minimum 1000 nits peak luminance, and 10-bit minimum bit depth</w:t>
      </w:r>
      <w:r>
        <w:t xml:space="preserve"> </w:t>
      </w:r>
      <w:r>
        <w:rPr>
          <w:vertAlign w:val="superscript"/>
        </w:rPr>
        <w:t xml:space="preserve">47</w:t>
      </w:r>
      <w:r>
        <w:t xml:space="preserve">. This HDR-first workflow creates an aesthetic fundamentally different from traditional SDR broadcast looks. Where SDR grading at 100 nits (Rec.709) often relies on crushed blacks and saturated primaries, Dolby Vision HDR at 1000+ nits allows subtle shadow detail and natural highlight extension</w:t>
      </w:r>
      <w:r>
        <w:t xml:space="preserve"> </w:t>
      </w:r>
      <w:r>
        <w:rPr>
          <w:vertAlign w:val="superscript"/>
        </w:rPr>
        <w:t xml:space="preserve">10</w:t>
      </w:r>
      <w:r>
        <w:t xml:space="preserve">.</w:t>
      </w:r>
    </w:p>
    <w:p>
      <w:pPr>
        <w:pStyle w:val="BodyText"/>
      </w:pPr>
      <w:r>
        <w:t xml:space="preserve">The</w:t>
      </w:r>
      <w:r>
        <w:t xml:space="preserve"> </w:t>
      </w:r>
      <w:r>
        <w:t xml:space="preserve">“</w:t>
      </w:r>
      <w:r>
        <w:t xml:space="preserve">Netflix look,</w:t>
      </w:r>
      <w:r>
        <w:t xml:space="preserve">”</w:t>
      </w:r>
      <w:r>
        <w:t xml:space="preserve"> </w:t>
      </w:r>
      <w:r>
        <w:t xml:space="preserve">as exemplified by</w:t>
      </w:r>
      <w:r>
        <w:t xml:space="preserve"> </w:t>
      </w:r>
      <w:r>
        <w:rPr>
          <w:iCs/>
          <w:i/>
        </w:rPr>
        <w:t xml:space="preserve">Wednesday</w:t>
      </w:r>
      <w:r>
        <w:t xml:space="preserve">,</w:t>
      </w:r>
      <w:r>
        <w:t xml:space="preserve"> </w:t>
      </w:r>
      <w:r>
        <w:rPr>
          <w:iCs/>
          <w:i/>
        </w:rPr>
        <w:t xml:space="preserve">Stranger Things</w:t>
      </w:r>
      <w:r>
        <w:t xml:space="preserve">, and</w:t>
      </w:r>
      <w:r>
        <w:t xml:space="preserve"> </w:t>
      </w:r>
      <w:r>
        <w:rPr>
          <w:iCs/>
          <w:i/>
        </w:rPr>
        <w:t xml:space="preserve">The Witcher</w:t>
      </w:r>
      <w:r>
        <w:t xml:space="preserve">, favors muted palettes with selective color retention, cool shadows paired with warm highlights, and film grain.</w:t>
      </w:r>
      <w:r>
        <w:t xml:space="preserve"> </w:t>
      </w:r>
      <w:r>
        <w:rPr>
          <w:iCs/>
          <w:i/>
        </w:rPr>
        <w:t xml:space="preserve">Wednesday</w:t>
      </w:r>
      <w:r>
        <w:t xml:space="preserve"> </w:t>
      </w:r>
      <w:r>
        <w:t xml:space="preserve">Season 2 demonstrates:</w:t>
      </w:r>
      <w:r>
        <w:t xml:space="preserve"> </w:t>
      </w:r>
      <w:r>
        <w:t xml:space="preserve">“</w:t>
      </w:r>
      <w:r>
        <w:t xml:space="preserve">Muted color palette, deep shadows with soft roll-off, skin tones that feel neutral, pale, and cold, cool shadows and warm highlights for contrast, minimal saturation but selective color pop</w:t>
      </w:r>
      <w:r>
        <w:t xml:space="preserve">”</w:t>
      </w:r>
      <w:r>
        <w:t xml:space="preserve"> </w:t>
      </w:r>
      <w:r>
        <w:rPr>
          <w:vertAlign w:val="superscript"/>
        </w:rPr>
        <w:t xml:space="preserve">48</w:t>
      </w:r>
      <w:r>
        <w:t xml:space="preserve">. Desaturation is substantial — approximately 80% of full saturation — with color reserved for narrative emphasis rather than decorative enhancement.</w:t>
      </w:r>
    </w:p>
    <w:p>
      <w:pPr>
        <w:pStyle w:val="BodyText"/>
      </w:pPr>
      <w:r>
        <w:t xml:space="preserve">Netflix’s requirements specify that</w:t>
      </w:r>
      <w:r>
        <w:t xml:space="preserve"> </w:t>
      </w:r>
      <w:r>
        <w:t xml:space="preserve">“</w:t>
      </w:r>
      <w:r>
        <w:t xml:space="preserve">HDR should be graded first, followed by a Dolby Vision analysis of the HDR image and a shot-by-shot trim pass of the entire program</w:t>
      </w:r>
      <w:r>
        <w:t xml:space="preserve">”</w:t>
      </w:r>
      <w:r>
        <w:t xml:space="preserve"> </w:t>
      </w:r>
      <w:r>
        <w:rPr>
          <w:vertAlign w:val="superscript"/>
        </w:rPr>
        <w:t xml:space="preserve">47</w:t>
      </w:r>
      <w:r>
        <w:t xml:space="preserve">. The creative intent is established in HDR space and mapped down to SDR, reversing the traditional workflow. For LUT design, this has profound implications: a look that works at 1000 nits with full P3 gamut may appear completely different when tone-mapped to 100 nits Rec.709. The preset market, currently estimated at 99% SDR-native, is only beginning to address this technical challenge</w:t>
      </w:r>
      <w:r>
        <w:t xml:space="preserve"> </w:t>
      </w:r>
      <w:r>
        <w:rPr>
          <w:vertAlign w:val="superscript"/>
        </w:rPr>
        <w:t xml:space="preserve">47</w:t>
      </w:r>
      <w:r>
        <w:t xml:space="preserve">.</w:t>
      </w:r>
    </w:p>
    <w:bookmarkEnd w:id="64"/>
    <w:bookmarkStart w:id="65" w:name="X1a9e39b202d403914c62e81f9c4d6c00da20546"/>
    <w:p>
      <w:pPr>
        <w:pStyle w:val="Heading4"/>
      </w:pPr>
      <w:r>
        <w:t xml:space="preserve">3.3.2 A24 Visual DNA: The Indie Film Aesthetic as Quantifiable System</w:t>
      </w:r>
    </w:p>
    <w:p>
      <w:pPr>
        <w:pStyle w:val="FirstParagraph"/>
      </w:pPr>
      <w:r>
        <w:t xml:space="preserve">A24 has cultivated what observers describe as a</w:t>
      </w:r>
      <w:r>
        <w:t xml:space="preserve"> </w:t>
      </w:r>
      <w:r>
        <w:t xml:space="preserve">“</w:t>
      </w:r>
      <w:r>
        <w:t xml:space="preserve">lifestyle aesthetic</w:t>
      </w:r>
      <w:r>
        <w:t xml:space="preserve">”</w:t>
      </w:r>
      <w:r>
        <w:t xml:space="preserve"> </w:t>
      </w:r>
      <w:r>
        <w:t xml:space="preserve">beyond cinema — a visual identity that social media users adopt as cultural signaling</w:t>
      </w:r>
      <w:r>
        <w:t xml:space="preserve"> </w:t>
      </w:r>
      <w:r>
        <w:rPr>
          <w:vertAlign w:val="superscript"/>
        </w:rPr>
        <w:t xml:space="preserve">49</w:t>
      </w:r>
      <w:r>
        <w:t xml:space="preserve">. The A24 look is not a single preset but an approach:</w:t>
      </w:r>
      <w:r>
        <w:t xml:space="preserve"> </w:t>
      </w:r>
      <w:r>
        <w:t xml:space="preserve">“</w:t>
      </w:r>
      <w:r>
        <w:t xml:space="preserve">prioritizing naturalism, allowing imperfection, using color to serve story rather than spectacle</w:t>
      </w:r>
      <w:r>
        <w:t xml:space="preserve">”</w:t>
      </w:r>
      <w:r>
        <w:t xml:space="preserve"> </w:t>
      </w:r>
      <w:r>
        <w:rPr>
          <w:vertAlign w:val="superscript"/>
        </w:rPr>
        <w:t xml:space="preserve">50</w:t>
      </w:r>
      <w:r>
        <w:t xml:space="preserve">. Yet within this philosophy, specific technical patterns emerge.</w:t>
      </w:r>
    </w:p>
    <w:p>
      <w:pPr>
        <w:pStyle w:val="BodyText"/>
      </w:pPr>
      <w:r>
        <w:t xml:space="preserve">The universal A24 base recipe reveals the numerical foundation: Contrast at 108, Saturation at 78 (22% desaturated), Brightness at 98, Shadows lifted to +12, Fade at 8, Matte at 10, Grain at 18</w:t>
      </w:r>
      <w:r>
        <w:t xml:space="preserve"> </w:t>
      </w:r>
      <w:r>
        <w:rPr>
          <w:vertAlign w:val="superscript"/>
        </w:rPr>
        <w:t xml:space="preserve">50</w:t>
      </w:r>
      <w:r>
        <w:t xml:space="preserve">. Split toning defines the emotional register: shadow hue #283828 (olive green) and highlight hue #d4c8a0 (warm ochre), producing the earthy palette distinguishing A24 from blockbuster blue-orange contrast. Individual films extend this base:</w:t>
      </w:r>
      <w:r>
        <w:t xml:space="preserve"> </w:t>
      </w:r>
      <w:r>
        <w:rPr>
          <w:iCs/>
          <w:i/>
        </w:rPr>
        <w:t xml:space="preserve">Moonlight</w:t>
      </w:r>
      <w:r>
        <w:t xml:space="preserve"> </w:t>
      </w:r>
      <w:r>
        <w:t xml:space="preserve">(2016) pushes temperature to -12 and introduces halation at strength 6</w:t>
      </w:r>
      <w:r>
        <w:t xml:space="preserve"> </w:t>
      </w:r>
      <w:r>
        <w:rPr>
          <w:vertAlign w:val="superscript"/>
        </w:rPr>
        <w:t xml:space="preserve">50</w:t>
      </w:r>
      <w:r>
        <w:t xml:space="preserve">;</w:t>
      </w:r>
      <w:r>
        <w:t xml:space="preserve"> </w:t>
      </w:r>
      <w:r>
        <w:rPr>
          <w:iCs/>
          <w:i/>
        </w:rPr>
        <w:t xml:space="preserve">Lady Bird</w:t>
      </w:r>
      <w:r>
        <w:t xml:space="preserve"> </w:t>
      </w:r>
      <w:r>
        <w:t xml:space="preserve">(2017) warms to +10 with bloom at 6;</w:t>
      </w:r>
      <w:r>
        <w:t xml:space="preserve"> </w:t>
      </w:r>
      <w:r>
        <w:rPr>
          <w:iCs/>
          <w:i/>
        </w:rPr>
        <w:t xml:space="preserve">Midsommar</w:t>
      </w:r>
      <w:r>
        <w:t xml:space="preserve"> </w:t>
      </w:r>
      <w:r>
        <w:t xml:space="preserve">(2019) increases brightness to 108 with fade at 14, producing overexposed dreamlike quality</w:t>
      </w:r>
      <w:r>
        <w:t xml:space="preserve"> </w:t>
      </w:r>
      <w:r>
        <w:rPr>
          <w:vertAlign w:val="superscript"/>
        </w:rPr>
        <w:t xml:space="preserve">50</w:t>
      </w:r>
      <w:r>
        <w:t xml:space="preserve">.</w:t>
      </w:r>
    </w:p>
    <w:p>
      <w:pPr>
        <w:pStyle w:val="BodyText"/>
      </w:pPr>
      <w:r>
        <w:t xml:space="preserve">The cultural impact extends far beyond film exhibition.</w:t>
      </w:r>
      <w:r>
        <w:t xml:space="preserve"> </w:t>
      </w:r>
      <w:r>
        <w:t xml:space="preserve">“</w:t>
      </w:r>
      <w:r>
        <w:t xml:space="preserve">Social media has also played a huge role in their continued success. Iconic visuals from A24 films constantly circulate online, becoming memes, aesthetic inspiration, or fan edits</w:t>
      </w:r>
      <w:r>
        <w:t xml:space="preserve">”</w:t>
      </w:r>
      <w:r>
        <w:t xml:space="preserve"> </w:t>
      </w:r>
      <w:r>
        <w:rPr>
          <w:vertAlign w:val="superscript"/>
        </w:rPr>
        <w:t xml:space="preserve">49</w:t>
      </w:r>
      <w:r>
        <w:t xml:space="preserve">. TikTok and Instagram creators adopt A24-inspired grading for the cultural cachet of</w:t>
      </w:r>
      <w:r>
        <w:t xml:space="preserve"> </w:t>
      </w:r>
      <w:r>
        <w:t xml:space="preserve">“</w:t>
      </w:r>
      <w:r>
        <w:t xml:space="preserve">indie film credibility</w:t>
      </w:r>
      <w:r>
        <w:t xml:space="preserve">”</w:t>
      </w:r>
      <w:r>
        <w:t xml:space="preserve"> </w:t>
      </w:r>
      <w:r>
        <w:t xml:space="preserve">— an identity signal positioning the creator as culturally discerning. The demand is not merely for color grading parameters but for the cultural authority of indie film taste.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Cinema Look</w:t>
            </w:r>
          </w:p>
        </w:tc>
        <w:tc>
          <w:tcPr/>
          <w:p>
            <w:pPr>
              <w:pStyle w:val="Compact"/>
              <w:jc w:val="left"/>
            </w:pPr>
            <w:r>
              <w:t xml:space="preserve">Key Color Characteristics</w:t>
            </w:r>
          </w:p>
        </w:tc>
        <w:tc>
          <w:tcPr/>
          <w:p>
            <w:pPr>
              <w:pStyle w:val="Compact"/>
              <w:jc w:val="left"/>
            </w:pPr>
            <w:r>
              <w:t xml:space="preserve">Shadow Treatment</w:t>
            </w:r>
          </w:p>
        </w:tc>
        <w:tc>
          <w:tcPr/>
          <w:p>
            <w:pPr>
              <w:pStyle w:val="Compact"/>
              <w:jc w:val="left"/>
            </w:pPr>
            <w:r>
              <w:t xml:space="preserve">Saturation</w:t>
            </w:r>
          </w:p>
        </w:tc>
        <w:tc>
          <w:tcPr/>
          <w:p>
            <w:pPr>
              <w:pStyle w:val="Compact"/>
              <w:jc w:val="left"/>
            </w:pPr>
            <w:r>
              <w:t xml:space="preserve">Grain/Texture</w:t>
            </w:r>
          </w:p>
        </w:tc>
        <w:tc>
          <w:tcPr/>
          <w:p>
            <w:pPr>
              <w:pStyle w:val="Compact"/>
              <w:jc w:val="left"/>
            </w:pPr>
            <w:r>
              <w:t xml:space="preserve">Primary Use Case</w:t>
            </w:r>
          </w:p>
        </w:tc>
      </w:tr>
      <w:tr>
        <w:tc>
          <w:tcPr/>
          <w:p>
            <w:pPr>
              <w:pStyle w:val="Compact"/>
              <w:jc w:val="left"/>
            </w:pPr>
            <w:r>
              <w:t xml:space="preserve">Netflix / Dolby Vision HDR</w:t>
            </w:r>
          </w:p>
        </w:tc>
        <w:tc>
          <w:tcPr/>
          <w:p>
            <w:pPr>
              <w:pStyle w:val="Compact"/>
              <w:jc w:val="left"/>
            </w:pPr>
            <w:r>
              <w:t xml:space="preserve">Cool shadows, warm highlights, selective color pop</w:t>
            </w:r>
          </w:p>
        </w:tc>
        <w:tc>
          <w:tcPr/>
          <w:p>
            <w:pPr>
              <w:pStyle w:val="Compact"/>
              <w:jc w:val="left"/>
            </w:pPr>
            <w:r>
              <w:t xml:space="preserve">Deep with soft rolloff, detail preserved</w:t>
            </w:r>
          </w:p>
        </w:tc>
        <w:tc>
          <w:tcPr/>
          <w:p>
            <w:pPr>
              <w:pStyle w:val="Compact"/>
              <w:jc w:val="left"/>
            </w:pPr>
            <w:r>
              <w:t xml:space="preserve">~80% desaturated, selective retention</w:t>
            </w:r>
          </w:p>
        </w:tc>
        <w:tc>
          <w:tcPr/>
          <w:p>
            <w:pPr>
              <w:pStyle w:val="Compact"/>
              <w:jc w:val="left"/>
            </w:pPr>
            <w:r>
              <w:t xml:space="preserve">Fine film grain, subtle</w:t>
            </w:r>
          </w:p>
        </w:tc>
        <w:tc>
          <w:tcPr/>
          <w:p>
            <w:pPr>
              <w:pStyle w:val="Compact"/>
              <w:jc w:val="left"/>
            </w:pPr>
            <w:r>
              <w:t xml:space="preserve">Streaming series, cinematic video</w:t>
            </w:r>
            <w:r>
              <w:t xml:space="preserve"> </w:t>
            </w:r>
            <w:r>
              <w:rPr>
                <w:vertAlign w:val="superscript"/>
              </w:rPr>
              <w:t xml:space="preserve">48</w:t>
            </w:r>
          </w:p>
        </w:tc>
      </w:tr>
      <w:tr>
        <w:tc>
          <w:tcPr/>
          <w:p>
            <w:pPr>
              <w:pStyle w:val="Compact"/>
              <w:jc w:val="left"/>
            </w:pPr>
            <w:r>
              <w:t xml:space="preserve">A24 Indie Film</w:t>
            </w:r>
          </w:p>
        </w:tc>
        <w:tc>
          <w:tcPr/>
          <w:p>
            <w:pPr>
              <w:pStyle w:val="Compact"/>
              <w:jc w:val="left"/>
            </w:pPr>
            <w:r>
              <w:t xml:space="preserve">Muted primaries, olive-green shadows, ochre highlights</w:t>
            </w:r>
          </w:p>
        </w:tc>
        <w:tc>
          <w:tcPr/>
          <w:p>
            <w:pPr>
              <w:pStyle w:val="Compact"/>
              <w:jc w:val="left"/>
            </w:pPr>
            <w:r>
              <w:t xml:space="preserve">Lifted (+12), never crushed</w:t>
            </w:r>
          </w:p>
        </w:tc>
        <w:tc>
          <w:tcPr/>
          <w:p>
            <w:pPr>
              <w:pStyle w:val="Compact"/>
              <w:jc w:val="left"/>
            </w:pPr>
            <w:r>
              <w:t xml:space="preserve">78% (22% desaturated)</w:t>
            </w:r>
          </w:p>
        </w:tc>
        <w:tc>
          <w:tcPr/>
          <w:p>
            <w:pPr>
              <w:pStyle w:val="Compact"/>
              <w:jc w:val="left"/>
            </w:pPr>
            <w:r>
              <w:t xml:space="preserve">Fine (14–20), matte blacks (10)</w:t>
            </w:r>
          </w:p>
        </w:tc>
        <w:tc>
          <w:tcPr/>
          <w:p>
            <w:pPr>
              <w:pStyle w:val="Compact"/>
              <w:jc w:val="left"/>
            </w:pPr>
            <w:r>
              <w:t xml:space="preserve">Indie cinema, editorial, social</w:t>
            </w:r>
            <w:r>
              <w:t xml:space="preserve"> </w:t>
            </w:r>
            <w:r>
              <w:rPr>
                <w:vertAlign w:val="superscript"/>
              </w:rPr>
              <w:t xml:space="preserve">50</w:t>
            </w:r>
          </w:p>
        </w:tc>
      </w:tr>
      <w:tr>
        <w:tc>
          <w:tcPr/>
          <w:p>
            <w:pPr>
              <w:pStyle w:val="Compact"/>
              <w:jc w:val="left"/>
            </w:pPr>
            <w:r>
              <w:t xml:space="preserve">Teal &amp; Orange (Classic)</w:t>
            </w:r>
          </w:p>
        </w:tc>
        <w:tc>
          <w:tcPr/>
          <w:p>
            <w:pPr>
              <w:pStyle w:val="Compact"/>
              <w:jc w:val="left"/>
            </w:pPr>
            <w:r>
              <w:t xml:space="preserve">Complementary contrast, orange skin, teal shadows</w:t>
            </w:r>
          </w:p>
        </w:tc>
        <w:tc>
          <w:tcPr/>
          <w:p>
            <w:pPr>
              <w:pStyle w:val="Compact"/>
              <w:jc w:val="left"/>
            </w:pPr>
            <w:r>
              <w:t xml:space="preserve">Crushed, high contrast</w:t>
            </w:r>
          </w:p>
        </w:tc>
        <w:tc>
          <w:tcPr/>
          <w:p>
            <w:pPr>
              <w:pStyle w:val="Compact"/>
              <w:jc w:val="left"/>
            </w:pPr>
            <w:r>
              <w:t xml:space="preserve">High on skin, reduced in environment</w:t>
            </w:r>
          </w:p>
        </w:tc>
        <w:tc>
          <w:tcPr/>
          <w:p>
            <w:pPr>
              <w:pStyle w:val="Compact"/>
              <w:jc w:val="left"/>
            </w:pPr>
            <w:r>
              <w:t xml:space="preserve">Medium, cinematic texture</w:t>
            </w:r>
          </w:p>
        </w:tc>
        <w:tc>
          <w:tcPr/>
          <w:p>
            <w:pPr>
              <w:pStyle w:val="Compact"/>
              <w:jc w:val="left"/>
            </w:pPr>
            <w:r>
              <w:t xml:space="preserve">Action, blockbuster, travel</w:t>
            </w:r>
            <w:r>
              <w:t xml:space="preserve"> </w:t>
            </w:r>
            <w:r>
              <w:rPr>
                <w:vertAlign w:val="superscript"/>
              </w:rPr>
              <w:t xml:space="preserve">51</w:t>
            </w:r>
          </w:p>
        </w:tc>
      </w:tr>
      <w:tr>
        <w:tc>
          <w:tcPr/>
          <w:p>
            <w:pPr>
              <w:pStyle w:val="Compact"/>
              <w:jc w:val="left"/>
            </w:pPr>
            <w:r>
              <w:t xml:space="preserve">Teal &amp; Orange (Modern)</w:t>
            </w:r>
          </w:p>
        </w:tc>
        <w:tc>
          <w:tcPr/>
          <w:p>
            <w:pPr>
              <w:pStyle w:val="Compact"/>
              <w:jc w:val="left"/>
            </w:pPr>
            <w:r>
              <w:t xml:space="preserve">Subtle complementary shift, desaturated overall</w:t>
            </w:r>
          </w:p>
        </w:tc>
        <w:tc>
          <w:tcPr/>
          <w:p>
            <w:pPr>
              <w:pStyle w:val="Compact"/>
              <w:jc w:val="left"/>
            </w:pPr>
            <w:r>
              <w:t xml:space="preserve">Softer, more detail</w:t>
            </w:r>
          </w:p>
        </w:tc>
        <w:tc>
          <w:tcPr/>
          <w:p>
            <w:pPr>
              <w:pStyle w:val="Compact"/>
              <w:jc w:val="left"/>
            </w:pPr>
            <w:r>
              <w:t xml:space="preserve">Reduced vs. classic</w:t>
            </w:r>
          </w:p>
        </w:tc>
        <w:tc>
          <w:tcPr/>
          <w:p>
            <w:pPr>
              <w:pStyle w:val="Compact"/>
              <w:jc w:val="left"/>
            </w:pPr>
            <w:r>
              <w:t xml:space="preserve">Fine, less aggressive</w:t>
            </w:r>
          </w:p>
        </w:tc>
        <w:tc>
          <w:tcPr/>
          <w:p>
            <w:pPr>
              <w:pStyle w:val="Compact"/>
              <w:jc w:val="left"/>
            </w:pPr>
            <w:r>
              <w:t xml:space="preserve">Premium YouTube, commercial</w:t>
            </w:r>
            <w:r>
              <w:t xml:space="preserve"> </w:t>
            </w:r>
            <w:r>
              <w:rPr>
                <w:vertAlign w:val="superscript"/>
              </w:rPr>
              <w:t xml:space="preserve">52</w:t>
            </w:r>
          </w:p>
        </w:tc>
      </w:tr>
      <w:tr>
        <w:tc>
          <w:tcPr/>
          <w:p>
            <w:pPr>
              <w:pStyle w:val="Compact"/>
              <w:jc w:val="left"/>
            </w:pPr>
            <w:r>
              <w:t xml:space="preserve">Bleach Bypass</w:t>
            </w:r>
          </w:p>
        </w:tc>
        <w:tc>
          <w:tcPr/>
          <w:p>
            <w:pPr>
              <w:pStyle w:val="Compact"/>
              <w:jc w:val="left"/>
            </w:pPr>
            <w:r>
              <w:t xml:space="preserve">Desaturated, deep blacks, silver contrast</w:t>
            </w:r>
          </w:p>
        </w:tc>
        <w:tc>
          <w:tcPr/>
          <w:p>
            <w:pPr>
              <w:pStyle w:val="Compact"/>
              <w:jc w:val="left"/>
            </w:pPr>
            <w:r>
              <w:t xml:space="preserve">Deep blacks, increased shadow contrast</w:t>
            </w:r>
          </w:p>
        </w:tc>
        <w:tc>
          <w:tcPr/>
          <w:p>
            <w:pPr>
              <w:pStyle w:val="Compact"/>
              <w:jc w:val="left"/>
            </w:pPr>
            <w:r>
              <w:t xml:space="preserve">60–70% desaturated</w:t>
            </w:r>
          </w:p>
        </w:tc>
        <w:tc>
          <w:tcPr/>
          <w:p>
            <w:pPr>
              <w:pStyle w:val="Compact"/>
              <w:jc w:val="left"/>
            </w:pPr>
            <w:r>
              <w:t xml:space="preserve">Heavy texture, gritty</w:t>
            </w:r>
          </w:p>
        </w:tc>
        <w:tc>
          <w:tcPr/>
          <w:p>
            <w:pPr>
              <w:pStyle w:val="Compact"/>
              <w:jc w:val="left"/>
            </w:pPr>
            <w:r>
              <w:t xml:space="preserve">Prestige drama, 1990s aesthetic</w:t>
            </w:r>
            <w:r>
              <w:t xml:space="preserve"> </w:t>
            </w:r>
            <w:r>
              <w:rPr>
                <w:vertAlign w:val="superscript"/>
              </w:rPr>
              <w:t xml:space="preserve">53</w:t>
            </w:r>
          </w:p>
        </w:tc>
      </w:tr>
      <w:tr>
        <w:tc>
          <w:tcPr/>
          <w:p>
            <w:pPr>
              <w:pStyle w:val="Compact"/>
              <w:jc w:val="left"/>
            </w:pPr>
            <w:r>
              <w:t xml:space="preserve">Silver Retention (ENR)</w:t>
            </w:r>
          </w:p>
        </w:tc>
        <w:tc>
          <w:tcPr/>
          <w:p>
            <w:pPr>
              <w:pStyle w:val="Compact"/>
              <w:jc w:val="left"/>
            </w:pPr>
            <w:r>
              <w:t xml:space="preserve">Deeper than D-Max blacks, desaturated, darkened</w:t>
            </w:r>
          </w:p>
        </w:tc>
        <w:tc>
          <w:tcPr/>
          <w:p>
            <w:pPr>
              <w:pStyle w:val="Compact"/>
              <w:jc w:val="left"/>
            </w:pPr>
            <w:r>
              <w:t xml:space="preserve">Deep blacks, less shadow detail</w:t>
            </w:r>
          </w:p>
        </w:tc>
        <w:tc>
          <w:tcPr/>
          <w:p>
            <w:pPr>
              <w:pStyle w:val="Compact"/>
              <w:jc w:val="left"/>
            </w:pPr>
            <w:r>
              <w:t xml:space="preserve">Desaturated from silver in dyes</w:t>
            </w:r>
          </w:p>
        </w:tc>
        <w:tc>
          <w:tcPr/>
          <w:p>
            <w:pPr>
              <w:pStyle w:val="Compact"/>
              <w:jc w:val="left"/>
            </w:pPr>
            <w:r>
              <w:t xml:space="preserve">Increased graininess</w:t>
            </w:r>
          </w:p>
        </w:tc>
        <w:tc>
          <w:tcPr/>
          <w:p>
            <w:pPr>
              <w:pStyle w:val="Compact"/>
              <w:jc w:val="left"/>
            </w:pPr>
            <w:r>
              <w:t xml:space="preserve">Print-only prestige, Spielberg/Kaminski</w:t>
            </w:r>
            <w:r>
              <w:t xml:space="preserve"> </w:t>
            </w:r>
            <w:r>
              <w:rPr>
                <w:vertAlign w:val="superscript"/>
              </w:rPr>
              <w:t xml:space="preserve">54</w:t>
            </w:r>
          </w:p>
        </w:tc>
      </w:tr>
    </w:tbl>
    <w:p>
      <w:pPr>
        <w:pStyle w:val="BodyText"/>
      </w:pPr>
      <w:r>
        <w:t xml:space="preserve">This table presents six major cinematic looks as quantifiable technical systems. Netflix and A24 share lifted shadows and desaturation but diverge in split toning. Classic teal and orange operates on complementary color theory —</w:t>
      </w:r>
      <w:r>
        <w:t xml:space="preserve"> </w:t>
      </w:r>
      <w:r>
        <w:t xml:space="preserve">“</w:t>
      </w:r>
      <w:r>
        <w:t xml:space="preserve">skin tones exist mostly in the orange range, and when you look to the opposite end of the color wheel, you land at teal</w:t>
      </w:r>
      <w:r>
        <w:t xml:space="preserve">”</w:t>
      </w:r>
      <w:r>
        <w:t xml:space="preserve"> </w:t>
      </w:r>
      <w:r>
        <w:rPr>
          <w:vertAlign w:val="superscript"/>
        </w:rPr>
        <w:t xml:space="preserve">51</w:t>
      </w:r>
      <w:r>
        <w:t xml:space="preserve">— while modern variants have softened this contrast. Bleach bypass and silver retention (ENR) represent photochemical processes whose digital recreation demands modeling metallic silver density alongside color dye response, a challenge separating professional emulation from consumer filters.</w:t>
      </w:r>
    </w:p>
    <w:bookmarkEnd w:id="65"/>
    <w:bookmarkStart w:id="66" w:name="Xc630407ef329192e169ae37e55e5d720e6268df"/>
    <w:p>
      <w:pPr>
        <w:pStyle w:val="Heading4"/>
      </w:pPr>
      <w:r>
        <w:t xml:space="preserve">3.3.3 Teal &amp; Orange: From Stefan Sonnenfeld’s</w:t>
      </w:r>
      <w:r>
        <w:t xml:space="preserve"> </w:t>
      </w:r>
      <w:r>
        <w:rPr>
          <w:iCs/>
          <w:i/>
        </w:rPr>
        <w:t xml:space="preserve">Bad Boys II</w:t>
      </w:r>
      <w:r>
        <w:t xml:space="preserve"> </w:t>
      </w:r>
      <w:r>
        <w:t xml:space="preserve">to Modern Subtlety</w:t>
      </w:r>
    </w:p>
    <w:p>
      <w:pPr>
        <w:pStyle w:val="FirstParagraph"/>
      </w:pPr>
      <w:r>
        <w:t xml:space="preserve">The teal and orange look traces its origins to colorist Stefan Sonnenfeld at Company 3, who developed it for Michael Bay’s</w:t>
      </w:r>
      <w:r>
        <w:t xml:space="preserve"> </w:t>
      </w:r>
      <w:r>
        <w:rPr>
          <w:iCs/>
          <w:i/>
        </w:rPr>
        <w:t xml:space="preserve">Bad Boys II</w:t>
      </w:r>
      <w:r>
        <w:t xml:space="preserve"> </w:t>
      </w:r>
      <w:r>
        <w:t xml:space="preserve">(2003)</w:t>
      </w:r>
      <w:r>
        <w:t xml:space="preserve"> </w:t>
      </w:r>
      <w:r>
        <w:rPr>
          <w:vertAlign w:val="superscript"/>
        </w:rPr>
        <w:t xml:space="preserve">51</w:t>
      </w:r>
      <w:r>
        <w:t xml:space="preserve">. The principle is color theory applied to human physiology: skin tones occupy the orange range, and teal is orange’s complement</w:t>
      </w:r>
      <w:r>
        <w:t xml:space="preserve"> </w:t>
      </w:r>
      <w:r>
        <w:rPr>
          <w:vertAlign w:val="superscript"/>
        </w:rPr>
        <w:t xml:space="preserve">55</w:t>
      </w:r>
      <w:r>
        <w:t xml:space="preserve">. By pushing shadows toward cyan-teal and highlights toward warm orange, the look creates maximum color contrast while separating subjects from environments — a technique Sonnenfeld refined through the digital intermediate process</w:t>
      </w:r>
      <w:r>
        <w:t xml:space="preserve"> </w:t>
      </w:r>
      <w:r>
        <w:rPr>
          <w:vertAlign w:val="superscript"/>
        </w:rPr>
        <w:t xml:space="preserve">51</w:t>
      </w:r>
      <w:r>
        <w:t xml:space="preserve">.</w:t>
      </w:r>
    </w:p>
    <w:p>
      <w:pPr>
        <w:pStyle w:val="BodyText"/>
      </w:pPr>
      <w:r>
        <w:t xml:space="preserve">Teal and orange spread as DI technology proliferated, evolving from a</w:t>
      </w:r>
      <w:r>
        <w:t xml:space="preserve"> </w:t>
      </w:r>
      <w:r>
        <w:t xml:space="preserve">“</w:t>
      </w:r>
      <w:r>
        <w:t xml:space="preserve">subtle, sophisticated technique</w:t>
      </w:r>
      <w:r>
        <w:t xml:space="preserve">”</w:t>
      </w:r>
      <w:r>
        <w:t xml:space="preserve"> </w:t>
      </w:r>
      <w:r>
        <w:t xml:space="preserve">into an</w:t>
      </w:r>
      <w:r>
        <w:t xml:space="preserve"> </w:t>
      </w:r>
      <w:r>
        <w:t xml:space="preserve">“</w:t>
      </w:r>
      <w:r>
        <w:t xml:space="preserve">overused visual cliché</w:t>
      </w:r>
      <w:r>
        <w:t xml:space="preserve">”</w:t>
      </w:r>
      <w:r>
        <w:t xml:space="preserve"> </w:t>
      </w:r>
      <w:r>
        <w:rPr>
          <w:vertAlign w:val="superscript"/>
        </w:rPr>
        <w:t xml:space="preserve">52</w:t>
      </w:r>
      <w:r>
        <w:t xml:space="preserve">. Its popularity is not arbitrary: orange and teal offer</w:t>
      </w:r>
      <w:r>
        <w:t xml:space="preserve"> </w:t>
      </w:r>
      <w:r>
        <w:t xml:space="preserve">“</w:t>
      </w:r>
      <w:r>
        <w:t xml:space="preserve">the highest contrast between their exposure values of any pair of complementary colors on the color wheel,</w:t>
      </w:r>
      <w:r>
        <w:t xml:space="preserve">”</w:t>
      </w:r>
      <w:r>
        <w:t xml:space="preserve"> </w:t>
      </w:r>
      <w:r>
        <w:t xml:space="preserve">replicating golden hour’s warm light against blue sky</w:t>
      </w:r>
      <w:r>
        <w:t xml:space="preserve"> </w:t>
      </w:r>
      <w:r>
        <w:rPr>
          <w:vertAlign w:val="superscript"/>
        </w:rPr>
        <w:t xml:space="preserve">55</w:t>
      </w:r>
      <w:r>
        <w:t xml:space="preserve">. The preset market offers both aggressive</w:t>
      </w:r>
      <w:r>
        <w:t xml:space="preserve"> </w:t>
      </w:r>
      <w:r>
        <w:t xml:space="preserve">“</w:t>
      </w:r>
      <w:r>
        <w:t xml:space="preserve">cinematic teal/orange</w:t>
      </w:r>
      <w:r>
        <w:t xml:space="preserve">”</w:t>
      </w:r>
      <w:r>
        <w:t xml:space="preserve"> </w:t>
      </w:r>
      <w:r>
        <w:t xml:space="preserve">variants (high contrast, closer to the original blockbuster aesthetic) and</w:t>
      </w:r>
      <w:r>
        <w:t xml:space="preserve"> </w:t>
      </w:r>
      <w:r>
        <w:t xml:space="preserve">“</w:t>
      </w:r>
      <w:r>
        <w:t xml:space="preserve">subtle teal/orange</w:t>
      </w:r>
      <w:r>
        <w:t xml:space="preserve">”</w:t>
      </w:r>
      <w:r>
        <w:t xml:space="preserve"> </w:t>
      </w:r>
      <w:r>
        <w:t xml:space="preserve">variants softened for contemporary taste. YouTube creators have driven significant demand: Peter McKinnon’s pack includes</w:t>
      </w:r>
      <w:r>
        <w:t xml:space="preserve"> </w:t>
      </w:r>
      <w:r>
        <w:t xml:space="preserve">“</w:t>
      </w:r>
      <w:r>
        <w:t xml:space="preserve">That Orange &amp; Teal Though!</w:t>
      </w:r>
      <w:r>
        <w:t xml:space="preserve">”</w:t>
      </w:r>
      <w:r>
        <w:t xml:space="preserve"> </w:t>
      </w:r>
      <w:r>
        <w:t xml:space="preserve">alongside</w:t>
      </w:r>
      <w:r>
        <w:t xml:space="preserve"> </w:t>
      </w:r>
      <w:r>
        <w:t xml:space="preserve">“</w:t>
      </w:r>
      <w:r>
        <w:t xml:space="preserve">Fade Out</w:t>
      </w:r>
      <w:r>
        <w:t xml:space="preserve">”</w:t>
      </w:r>
      <w:r>
        <w:t xml:space="preserve"> </w:t>
      </w:r>
      <w:r>
        <w:t xml:space="preserve">and</w:t>
      </w:r>
      <w:r>
        <w:t xml:space="preserve"> </w:t>
      </w:r>
      <w:r>
        <w:t xml:space="preserve">“</w:t>
      </w:r>
      <w:r>
        <w:t xml:space="preserve">Kodak Killer</w:t>
      </w:r>
      <w:r>
        <w:t xml:space="preserve">”</w:t>
      </w:r>
      <w:r>
        <w:t xml:space="preserve"> </w:t>
      </w:r>
      <w:r>
        <w:t xml:space="preserve">— names chosen for narrative resonance rather than technical description</w:t>
      </w:r>
      <w:r>
        <w:t xml:space="preserve"> </w:t>
      </w:r>
      <w:r>
        <w:rPr>
          <w:vertAlign w:val="superscript"/>
        </w:rPr>
        <w:t xml:space="preserve">56</w:t>
      </w:r>
      <w:r>
        <w:t xml:space="preserve">. The YouTube variant typically prioritizes immediate visual impact for small screens where strong color separation commands attention.</w:t>
      </w:r>
    </w:p>
    <w:bookmarkEnd w:id="66"/>
    <w:bookmarkStart w:id="67" w:name="Xe3a84840e45234927c056d02e45e3f1f3554832"/>
    <w:p>
      <w:pPr>
        <w:pStyle w:val="Heading4"/>
      </w:pPr>
      <w:r>
        <w:t xml:space="preserve">3.3.4 Bleach Bypass and Silver Retention: Photochemical Origins, Digital Recreation</w:t>
      </w:r>
    </w:p>
    <w:p>
      <w:pPr>
        <w:pStyle w:val="FirstParagraph"/>
      </w:pPr>
      <w:r>
        <w:t xml:space="preserve">Bleach bypass originated as a photochemical process in which the bleach step of color negative processing was skipped, leaving metallic silver in the emulsion alongside color dyes</w:t>
      </w:r>
      <w:r>
        <w:t xml:space="preserve"> </w:t>
      </w:r>
      <w:r>
        <w:rPr>
          <w:vertAlign w:val="superscript"/>
        </w:rPr>
        <w:t xml:space="preserve">53</w:t>
      </w:r>
      <w:r>
        <w:t xml:space="preserve">. The result is a composite image — black and white silver superimposed on color dye — producing desaturated colors,</w:t>
      </w:r>
      <w:r>
        <w:t xml:space="preserve"> </w:t>
      </w:r>
      <w:r>
        <w:t xml:space="preserve">“</w:t>
      </w:r>
      <w:r>
        <w:t xml:space="preserve">bulletproof</w:t>
      </w:r>
      <w:r>
        <w:t xml:space="preserve">”</w:t>
      </w:r>
      <w:r>
        <w:t xml:space="preserve"> </w:t>
      </w:r>
      <w:r>
        <w:t xml:space="preserve">blacks, and increased contrast</w:t>
      </w:r>
      <w:r>
        <w:t xml:space="preserve"> </w:t>
      </w:r>
      <w:r>
        <w:rPr>
          <w:vertAlign w:val="superscript"/>
        </w:rPr>
        <w:t xml:space="preserve">53</w:t>
      </w:r>
      <w:r>
        <w:t xml:space="preserve">. The look is associated with David Fincher’s</w:t>
      </w:r>
      <w:r>
        <w:t xml:space="preserve"> </w:t>
      </w:r>
      <w:r>
        <w:rPr>
          <w:iCs/>
          <w:i/>
        </w:rPr>
        <w:t xml:space="preserve">Seven</w:t>
      </w:r>
      <w:r>
        <w:t xml:space="preserve"> </w:t>
      </w:r>
      <w:r>
        <w:t xml:space="preserve">(1995),</w:t>
      </w:r>
      <w:r>
        <w:t xml:space="preserve"> </w:t>
      </w:r>
      <w:r>
        <w:rPr>
          <w:iCs/>
          <w:i/>
        </w:rPr>
        <w:t xml:space="preserve">Saving Private Ryan</w:t>
      </w:r>
      <w:r>
        <w:t xml:space="preserve">, and</w:t>
      </w:r>
      <w:r>
        <w:t xml:space="preserve"> </w:t>
      </w:r>
      <w:r>
        <w:rPr>
          <w:iCs/>
          <w:i/>
        </w:rPr>
        <w:t xml:space="preserve">Fight Club</w:t>
      </w:r>
      <w:r>
        <w:t xml:space="preserve"> </w:t>
      </w:r>
      <w:r>
        <w:t xml:space="preserve">— films using the process to evoke psychological intensity.</w:t>
      </w:r>
    </w:p>
    <w:p>
      <w:pPr>
        <w:pStyle w:val="BodyText"/>
      </w:pPr>
      <w:r>
        <w:t xml:space="preserve">Silver retention (ENR) is a related print-only technique developed at Technicolor Rome, named after sensitometrist Enrico Novelli Rimo</w:t>
      </w:r>
      <w:r>
        <w:t xml:space="preserve"> </w:t>
      </w:r>
      <w:r>
        <w:rPr>
          <w:vertAlign w:val="superscript"/>
        </w:rPr>
        <w:t xml:space="preserve">54</w:t>
      </w:r>
      <w:r>
        <w:t xml:space="preserve">. Unlike bleach bypass, applied to the camera negative, ENR adds controlled metallic silver back into the release print through additional chemical baths. Results differ: deeper blacks than standard D-Max, less shadow detail from increased shadow contrast, darker desaturated colors from black silver in dyes, and increased print graininess</w:t>
      </w:r>
      <w:r>
        <w:t xml:space="preserve"> </w:t>
      </w:r>
      <w:r>
        <w:rPr>
          <w:vertAlign w:val="superscript"/>
        </w:rPr>
        <w:t xml:space="preserve">54</w:t>
      </w:r>
      <w:r>
        <w:t xml:space="preserve">. Spielberg and cinematographer Janusz Kaminski used ENR extensively, making it a signature of 1990s prestige cinema.</w:t>
      </w:r>
    </w:p>
    <w:p>
      <w:pPr>
        <w:pStyle w:val="BodyText"/>
      </w:pPr>
      <w:r>
        <w:t xml:space="preserve">Digital recreation faces a fundamental limitation: display black levels cannot be exceeded, whereas silver retention produces blacks deeper than standard processing allows</w:t>
      </w:r>
      <w:r>
        <w:t xml:space="preserve"> </w:t>
      </w:r>
      <w:r>
        <w:rPr>
          <w:vertAlign w:val="superscript"/>
        </w:rPr>
        <w:t xml:space="preserve">57</w:t>
      </w:r>
      <w:r>
        <w:t xml:space="preserve">. Digital emulation relies on contrast enhancement, selective desaturation, and grain addition to approximate the result without replicating the underlying physics. Genesis, the plugin by colorist Cullen Kelly and cinematographer Steve Yedlin, addresses this through scientifically modeled interlayer effects and 13 print stock options including Kodak 2383 and Fuji 3513</w:t>
      </w:r>
      <w:r>
        <w:t xml:space="preserve"> </w:t>
      </w:r>
      <w:r>
        <w:rPr>
          <w:vertAlign w:val="superscript"/>
        </w:rPr>
        <w:t xml:space="preserve">58</w:t>
      </w:r>
      <w:r>
        <w:t xml:space="preserve">.</w:t>
      </w:r>
    </w:p>
    <w:bookmarkEnd w:id="67"/>
    <w:bookmarkEnd w:id="68"/>
    <w:bookmarkStart w:id="72" w:name="the-psychology-of-film-aesthetics"/>
    <w:p>
      <w:pPr>
        <w:pStyle w:val="Heading3"/>
      </w:pPr>
      <w:r>
        <w:t xml:space="preserve">3.4 The Psychology of Film Aesthetics</w:t>
      </w:r>
    </w:p>
    <w:bookmarkStart w:id="69" w:name="Xa182dba577284f175fec2cd157573d99f5c0e9a"/>
    <w:p>
      <w:pPr>
        <w:pStyle w:val="Heading4"/>
      </w:pPr>
      <w:r>
        <w:t xml:space="preserve">3.4.1 Nostalgia as Adaptive Psychological Function</w:t>
      </w:r>
    </w:p>
    <w:p>
      <w:pPr>
        <w:pStyle w:val="FirstParagraph"/>
      </w:pPr>
      <w:r>
        <w:t xml:space="preserve">The psychological foundation of film emulation’s appeal is documented cognitive function, not merely sentimental preference. Peer-reviewed research confirms that nostalgia serves adaptive functions:</w:t>
      </w:r>
      <w:r>
        <w:t xml:space="preserve"> </w:t>
      </w:r>
      <w:r>
        <w:t xml:space="preserve">“</w:t>
      </w:r>
      <w:r>
        <w:t xml:space="preserve">bolstering social connectedness, enhancing self-continuity by linking past and present selves, providing a sense of existential meaning, and even increasing positive affect</w:t>
      </w:r>
      <w:r>
        <w:t xml:space="preserve">”</w:t>
      </w:r>
      <w:r>
        <w:t xml:space="preserve"> </w:t>
      </w:r>
      <w:r>
        <w:rPr>
          <w:vertAlign w:val="superscript"/>
        </w:rPr>
        <w:t xml:space="preserve">59</w:t>
      </w:r>
      <w:r>
        <w:t xml:space="preserve">. The act of recreating past aesthetics functions as a</w:t>
      </w:r>
      <w:r>
        <w:t xml:space="preserve"> </w:t>
      </w:r>
      <w:r>
        <w:t xml:space="preserve">“</w:t>
      </w:r>
      <w:r>
        <w:t xml:space="preserve">direct pathway to these psychologically beneficial nostalgic states</w:t>
      </w:r>
      <w:r>
        <w:t xml:space="preserve">”</w:t>
      </w:r>
      <w:r>
        <w:t xml:space="preserve"> </w:t>
      </w:r>
      <w:r>
        <w:rPr>
          <w:vertAlign w:val="superscript"/>
        </w:rPr>
        <w:t xml:space="preserve">59</w:t>
      </w:r>
      <w:r>
        <w:t xml:space="preserve">.</w:t>
      </w:r>
    </w:p>
    <w:p>
      <w:pPr>
        <w:pStyle w:val="BodyText"/>
      </w:pPr>
      <w:r>
        <w:t xml:space="preserve">These benefits translate into measurable purchasing behavior. Users consistently pay 2–3x more for presets evoking specific emotional memories than for technically equivalent generic looks</w:t>
      </w:r>
      <w:r>
        <w:t xml:space="preserve"> </w:t>
      </w:r>
      <w:r>
        <w:rPr>
          <w:vertAlign w:val="superscript"/>
        </w:rPr>
        <w:t xml:space="preserve">60</w:t>
      </w:r>
      <w:r>
        <w:t xml:space="preserve">. Noble Presets at $149 per pack positions products as</w:t>
      </w:r>
      <w:r>
        <w:t xml:space="preserve"> </w:t>
      </w:r>
      <w:r>
        <w:t xml:space="preserve">“</w:t>
      </w:r>
      <w:r>
        <w:t xml:space="preserve">reminiscent of medium-format film shot on a Contax 645</w:t>
      </w:r>
      <w:r>
        <w:t xml:space="preserve">”</w:t>
      </w:r>
      <w:r>
        <w:t xml:space="preserve"> </w:t>
      </w:r>
      <w:r>
        <w:t xml:space="preserve">— a reference triggering nostalgia for film photographers who associate the Contax 645 with a specific wedding photography era</w:t>
      </w:r>
      <w:r>
        <w:t xml:space="preserve"> </w:t>
      </w:r>
      <w:r>
        <w:rPr>
          <w:vertAlign w:val="superscript"/>
        </w:rPr>
        <w:t xml:space="preserve">60</w:t>
      </w:r>
      <w:r>
        <w:t xml:space="preserve">. This</w:t>
      </w:r>
      <w:r>
        <w:t xml:space="preserve"> </w:t>
      </w:r>
      <w:r>
        <w:t xml:space="preserve">“</w:t>
      </w:r>
      <w:r>
        <w:t xml:space="preserve">nostalgia tax</w:t>
      </w:r>
      <w:r>
        <w:t xml:space="preserve">”</w:t>
      </w:r>
      <w:r>
        <w:t xml:space="preserve"> </w:t>
      </w:r>
      <w:r>
        <w:t xml:space="preserve">justifies 30–50% price premiums when emotional specificity aligns with formative visual memories. The mechanism operates below conscious awareness: nostalgic images increase social connectedness and reduce stress even when viewers did not experience the referenced era</w:t>
      </w:r>
      <w:r>
        <w:t xml:space="preserve"> </w:t>
      </w:r>
      <w:r>
        <w:rPr>
          <w:vertAlign w:val="superscript"/>
        </w:rPr>
        <w:t xml:space="preserve">22</w:t>
      </w:r>
      <w:r>
        <w:t xml:space="preserve">. Film grain and color shifts — characteristics technical evaluation might classify as imperfections — become</w:t>
      </w:r>
      <w:r>
        <w:t xml:space="preserve"> </w:t>
      </w:r>
      <w:r>
        <w:t xml:space="preserve">“</w:t>
      </w:r>
      <w:r>
        <w:t xml:space="preserve">elements of personality and authenticity</w:t>
      </w:r>
      <w:r>
        <w:t xml:space="preserve">”</w:t>
      </w:r>
      <w:r>
        <w:t xml:space="preserve"> </w:t>
      </w:r>
      <w:r>
        <w:t xml:space="preserve">signaling human intention</w:t>
      </w:r>
      <w:r>
        <w:t xml:space="preserve"> </w:t>
      </w:r>
      <w:r>
        <w:rPr>
          <w:vertAlign w:val="superscript"/>
        </w:rPr>
        <w:t xml:space="preserve">22</w:t>
      </w:r>
      <w:r>
        <w:t xml:space="preserve">.</w:t>
      </w:r>
    </w:p>
    <w:bookmarkEnd w:id="69"/>
    <w:bookmarkStart w:id="70" w:name="Xe5333f819d18fb6a8c212b56e103b927307342f"/>
    <w:p>
      <w:pPr>
        <w:pStyle w:val="Heading4"/>
      </w:pPr>
      <w:r>
        <w:t xml:space="preserve">3.4.2 Gen Z Rebellion Against Digital Perfection</w:t>
      </w:r>
    </w:p>
    <w:p>
      <w:pPr>
        <w:pStyle w:val="FirstParagraph"/>
      </w:pPr>
      <w:r>
        <w:t xml:space="preserve">The generational dynamics driving film photography’s resurgence reveal deliberate aesthetic rebellion. As documented in 2025:</w:t>
      </w:r>
      <w:r>
        <w:t xml:space="preserve"> </w:t>
      </w:r>
      <w:r>
        <w:t xml:space="preserve">“</w:t>
      </w:r>
      <w:r>
        <w:t xml:space="preserve">In a world where Instagram influencers spend hours perfecting their skin texture with FaceTune and smartphone cameras automatically smooth wrinkles, young photographers are deliberately choosing a different path. Their photography features visible grain, slightly soft focus, and color rendition that no digital filter can truly replicate</w:t>
      </w:r>
      <w:r>
        <w:t xml:space="preserve">”</w:t>
      </w:r>
      <w:r>
        <w:t xml:space="preserve"> </w:t>
      </w:r>
      <w:r>
        <w:rPr>
          <w:vertAlign w:val="superscript"/>
        </w:rPr>
        <w:t xml:space="preserve">21</w:t>
      </w:r>
      <w:r>
        <w:t xml:space="preserve">. Film does not lie in the same way digital can — its chemical unpredictability produces images authentic precisely because they resist perfect control</w:t>
      </w:r>
      <w:r>
        <w:t xml:space="preserve"> </w:t>
      </w:r>
      <w:r>
        <w:rPr>
          <w:vertAlign w:val="superscript"/>
        </w:rPr>
        <w:t xml:space="preserve">21</w:t>
      </w:r>
      <w:r>
        <w:t xml:space="preserve">.</w:t>
      </w:r>
    </w:p>
    <w:p>
      <w:pPr>
        <w:pStyle w:val="BodyText"/>
      </w:pPr>
      <w:r>
        <w:t xml:space="preserve">Gen Z — the first generation to grow up entirely within digital photography — occupies a unique position. Their first baby photos were digital, their first camera was a smartphone. Film represents</w:t>
      </w:r>
      <w:r>
        <w:t xml:space="preserve"> </w:t>
      </w:r>
      <w:r>
        <w:t xml:space="preserve">“</w:t>
      </w:r>
      <w:r>
        <w:t xml:space="preserve">an intentional departure from the only world they’ve known</w:t>
      </w:r>
      <w:r>
        <w:t xml:space="preserve">”</w:t>
      </w:r>
      <w:r>
        <w:t xml:space="preserve"> </w:t>
      </w:r>
      <w:r>
        <w:rPr>
          <w:vertAlign w:val="superscript"/>
        </w:rPr>
        <w:t xml:space="preserve">61</w:t>
      </w:r>
      <w:r>
        <w:t xml:space="preserve">. Instagram hashtags like #filmisnotdead and #believeinfilm accumulate millions of posts, creating a feedback loop where analog aesthetics shared on digital platforms drive further analog interest</w:t>
      </w:r>
      <w:r>
        <w:t xml:space="preserve"> </w:t>
      </w:r>
      <w:r>
        <w:rPr>
          <w:vertAlign w:val="superscript"/>
        </w:rPr>
        <w:t xml:space="preserve">21</w:t>
      </w:r>
      <w:r>
        <w:t xml:space="preserve">. When someone posts a film photograph, viewers understand a person physically loaded film, composed deliberately, and participated in chemical development —</w:t>
      </w:r>
      <w:r>
        <w:t xml:space="preserve"> </w:t>
      </w:r>
      <w:r>
        <w:t xml:space="preserve">“</w:t>
      </w:r>
      <w:r>
        <w:t xml:space="preserve">human authentication</w:t>
      </w:r>
      <w:r>
        <w:t xml:space="preserve">”</w:t>
      </w:r>
      <w:r>
        <w:t xml:space="preserve"> </w:t>
      </w:r>
      <w:r>
        <w:t xml:space="preserve">gaining value as AI-generated imagery proliferates</w:t>
      </w:r>
      <w:r>
        <w:t xml:space="preserve"> </w:t>
      </w:r>
      <w:r>
        <w:rPr>
          <w:vertAlign w:val="superscript"/>
        </w:rPr>
        <w:t xml:space="preserve">61</w:t>
      </w:r>
      <w:r>
        <w:t xml:space="preserve">. Film cameras have become fashion accessories and conversation pieces, visible props in</w:t>
      </w:r>
      <w:r>
        <w:t xml:space="preserve"> </w:t>
      </w:r>
      <w:r>
        <w:t xml:space="preserve">“</w:t>
      </w:r>
      <w:r>
        <w:t xml:space="preserve">camera check</w:t>
      </w:r>
      <w:r>
        <w:t xml:space="preserve">”</w:t>
      </w:r>
      <w:r>
        <w:t xml:space="preserve"> </w:t>
      </w:r>
      <w:r>
        <w:t xml:space="preserve">videos with significant engagement</w:t>
      </w:r>
      <w:r>
        <w:t xml:space="preserve"> </w:t>
      </w:r>
      <w:r>
        <w:rPr>
          <w:vertAlign w:val="superscript"/>
        </w:rPr>
        <w:t xml:space="preserve">21</w:t>
      </w:r>
      <w:r>
        <w:t xml:space="preserve">. For the LUT market, this means film emulation serves not only photographers who shoot film but a substantially larger audience desiring the cultural identity of film without the cost and learning curve of analog capture.</w:t>
      </w:r>
    </w:p>
    <w:bookmarkEnd w:id="70"/>
    <w:bookmarkStart w:id="71" w:name="X2d38da45e83ce2c63e8036ed32cb3647c960321"/>
    <w:p>
      <w:pPr>
        <w:pStyle w:val="Heading4"/>
      </w:pPr>
      <w:r>
        <w:t xml:space="preserve">3.4.3 The</w:t>
      </w:r>
      <w:r>
        <w:t xml:space="preserve"> </w:t>
      </w:r>
      <w:r>
        <w:t xml:space="preserve">“</w:t>
      </w:r>
      <w:r>
        <w:t xml:space="preserve">Slow Photography</w:t>
      </w:r>
      <w:r>
        <w:t xml:space="preserve">”</w:t>
      </w:r>
      <w:r>
        <w:t xml:space="preserve"> </w:t>
      </w:r>
      <w:r>
        <w:t xml:space="preserve">Movement: Mindfulness and Flow States</w:t>
      </w:r>
    </w:p>
    <w:p>
      <w:pPr>
        <w:pStyle w:val="FirstParagraph"/>
      </w:pPr>
      <w:r>
        <w:t xml:space="preserve">Beyond nostalgia and rebellion, film aesthetics connect to a deeper psychological need: restoration of presence in an age of acceleration. Peer-reviewed research confirms that</w:t>
      </w:r>
      <w:r>
        <w:t xml:space="preserve"> </w:t>
      </w:r>
      <w:r>
        <w:t xml:space="preserve">“</w:t>
      </w:r>
      <w:r>
        <w:t xml:space="preserve">the inherently deliberate, often slow, and methodical nature of analog photography can be a potent catalyst for inducing states of mindfulness — a non-judgmental, present-moment awareness</w:t>
      </w:r>
      <w:r>
        <w:t xml:space="preserve">”</w:t>
      </w:r>
      <w:r>
        <w:t xml:space="preserve"> </w:t>
      </w:r>
      <w:r>
        <w:rPr>
          <w:vertAlign w:val="superscript"/>
        </w:rPr>
        <w:t xml:space="preserve">59</w:t>
      </w:r>
      <w:r>
        <w:t xml:space="preserve">. Analog constraints — limited exposures, delayed gratification, irreversible commitment — necessitate considered composition that digital’s infinite undoing and instant review undermine</w:t>
      </w:r>
      <w:r>
        <w:t xml:space="preserve"> </w:t>
      </w:r>
      <w:r>
        <w:rPr>
          <w:vertAlign w:val="superscript"/>
        </w:rPr>
        <w:t xml:space="preserve">59</w:t>
      </w:r>
      <w:r>
        <w:t xml:space="preserve">.</w:t>
      </w:r>
    </w:p>
    <w:p>
      <w:pPr>
        <w:pStyle w:val="BodyText"/>
      </w:pPr>
      <w:r>
        <w:t xml:space="preserve">This</w:t>
      </w:r>
      <w:r>
        <w:t xml:space="preserve"> </w:t>
      </w:r>
      <w:r>
        <w:t xml:space="preserve">“</w:t>
      </w:r>
      <w:r>
        <w:t xml:space="preserve">slow photography</w:t>
      </w:r>
      <w:r>
        <w:t xml:space="preserve">”</w:t>
      </w:r>
      <w:r>
        <w:t xml:space="preserve"> </w:t>
      </w:r>
      <w:r>
        <w:t xml:space="preserve">movement functions as an intentional counter-practice to the</w:t>
      </w:r>
      <w:r>
        <w:t xml:space="preserve"> </w:t>
      </w:r>
      <w:r>
        <w:t xml:space="preserve">“</w:t>
      </w:r>
      <w:r>
        <w:t xml:space="preserve">culture of speed</w:t>
      </w:r>
      <w:r>
        <w:t xml:space="preserve">”</w:t>
      </w:r>
      <w:r>
        <w:t xml:space="preserve"> </w:t>
      </w:r>
      <w:r>
        <w:t xml:space="preserve">and information overload</w:t>
      </w:r>
      <w:r>
        <w:t xml:space="preserve"> </w:t>
      </w:r>
      <w:r>
        <w:rPr>
          <w:vertAlign w:val="superscript"/>
        </w:rPr>
        <w:t xml:space="preserve">59</w:t>
      </w:r>
      <w:r>
        <w:t xml:space="preserve">. It is linked to attention restoration and enhanced well-being in academic literature, suggesting the desire for film aesthetics is not merely stylistic but therapeutic</w:t>
      </w:r>
      <w:r>
        <w:t xml:space="preserve"> </w:t>
      </w:r>
      <w:r>
        <w:rPr>
          <w:vertAlign w:val="superscript"/>
        </w:rPr>
        <w:t xml:space="preserve">59</w:t>
      </w:r>
      <w:r>
        <w:t xml:space="preserve">. Limited frames force deliberate composition; delayed gratification introduces anticipation; tactile processes engage sensory channels that touchscreen interfaces cannot replicate.</w:t>
      </w:r>
    </w:p>
    <w:p>
      <w:pPr>
        <w:pStyle w:val="BodyText"/>
      </w:pPr>
      <w:r>
        <w:t xml:space="preserve">For the preset market, this movement creates a psychographic segment valuing intentionality over speed. These users view presets as starting points for deliberate exploration — tools enhancing rather than replacing human decision-making. With professional AI adoption in photography estimated at 68%, the remaining 32% represents a substantial market of creators who resist or have not adopted AI-assisted workflows</w:t>
      </w:r>
      <w:r>
        <w:t xml:space="preserve"> </w:t>
      </w:r>
      <w:r>
        <w:rPr>
          <w:vertAlign w:val="superscript"/>
        </w:rPr>
        <w:t xml:space="preserve">60</w:t>
      </w:r>
      <w:r>
        <w:t xml:space="preserve">. For this segment, presets with educational content explaining color science, workflow recommendations encouraging experimentation, and community features address needs automated grading cannot satisfy. Positioning as</w:t>
      </w:r>
      <w:r>
        <w:t xml:space="preserve"> </w:t>
      </w:r>
      <w:r>
        <w:t xml:space="preserve">“</w:t>
      </w:r>
      <w:r>
        <w:t xml:space="preserve">tools for intentional color</w:t>
      </w:r>
      <w:r>
        <w:t xml:space="preserve">”</w:t>
      </w:r>
      <w:r>
        <w:t xml:space="preserve"> </w:t>
      </w:r>
      <w:r>
        <w:t xml:space="preserve">captures this psychographic with messaging aligned to values of craft, deliberation, and creative agency</w:t>
      </w:r>
      <w:r>
        <w:t xml:space="preserve"> </w:t>
      </w:r>
      <w:r>
        <w:rPr>
          <w:vertAlign w:val="superscript"/>
        </w:rPr>
        <w:t xml:space="preserve">60</w:t>
      </w:r>
      <w:r>
        <w:t xml:space="preserve">.</w:t>
      </w:r>
    </w:p>
    <w:p>
      <w:pPr>
        <w:pStyle w:val="BodyText"/>
      </w:pPr>
      <w:r>
        <w:t xml:space="preserve">The convergence of these psychological forces — nostalgia as social connectedness, Gen Z’s rebellion against algorithmic perfection, and mindfulness benefits of deliberate practice — explains why film emulation has moved from niche preference to mainstream demand. It is not a retrograde trend but a response to identifiable pressures of digital modernity, one that CINEGRADE LAB addresses through scientifically grounded emulation of the stocks and looks carrying deepest emotional resonance for contemporary creators.</w:t>
      </w:r>
      <w:r>
        <w:t xml:space="preserve"> </w:t>
      </w:r>
      <w:r>
        <w:t xml:space="preserve">-e</w:t>
      </w:r>
    </w:p>
    <w:p>
      <w:r>
        <w:pict>
          <v:rect style="width:0;height:1.5pt" o:hralign="center" o:hrstd="t" o:hr="t"/>
        </w:pict>
      </w:r>
    </w:p>
    <w:bookmarkEnd w:id="71"/>
    <w:bookmarkEnd w:id="72"/>
    <w:bookmarkEnd w:id="73"/>
    <w:bookmarkStart w:id="89" w:name="cinegrade-lab-product-architecture"/>
    <w:p>
      <w:pPr>
        <w:pStyle w:val="Heading2"/>
      </w:pPr>
      <w:r>
        <w:t xml:space="preserve">4. CINEGRADE LAB Product Architecture</w:t>
      </w:r>
    </w:p>
    <w:bookmarkStart w:id="77" w:name="system-overview"/>
    <w:p>
      <w:pPr>
        <w:pStyle w:val="Heading3"/>
      </w:pPr>
      <w:r>
        <w:t xml:space="preserve">4.1 System Overview</w:t>
      </w:r>
    </w:p>
    <w:bookmarkStart w:id="74" w:name="Xd27f6a73186595f7c7a5af914e945b75403261d"/>
    <w:p>
      <w:pPr>
        <w:pStyle w:val="Heading4"/>
      </w:pPr>
      <w:r>
        <w:t xml:space="preserve">4.1.1 Product Vision: Convergence of Four Aesthetic Pillars</w:t>
      </w:r>
    </w:p>
    <w:p>
      <w:pPr>
        <w:pStyle w:val="FirstParagraph"/>
      </w:pPr>
      <w:r>
        <w:t xml:space="preserve">CINEGRADE LAB is architected around the thesis that the most compelling color grading tools will emerge from the intersection of four aesthetic traditions. First, Apple’s computational photography philosophy — restraint, natural skin tones, and invisible correction over visible manipulation. Second, Netflix’s HDR-first cinematic pipeline, which mandates Dolby Vision mastering with P3-D65 color space and PQ (ST.2084) EOTF at minimum 1000 nits peak luminance</w:t>
      </w:r>
      <w:r>
        <w:t xml:space="preserve"> </w:t>
      </w:r>
      <w:r>
        <w:rPr>
          <w:vertAlign w:val="superscript"/>
        </w:rPr>
        <w:t xml:space="preserve">62</w:t>
      </w:r>
      <w:r>
        <w:t xml:space="preserve">. Third, DaVinci Resolve’s democratization of professional color science, bringing tetrahedral LUT interpolation and ACES-native workflows to creators beyond the traditional color suite. Fourth, Leica’s optical aesthetic: warm tonal rendition, creamy highlight rolloff, and rendering the world beautifully without post-processing artifice.</w:t>
      </w:r>
    </w:p>
    <w:p>
      <w:pPr>
        <w:pStyle w:val="BodyText"/>
      </w:pPr>
      <w:r>
        <w:t xml:space="preserve">Market data confirms that the global Cinematic LUTs market reached USD 312.8 million in 2024 and is projected to grow at a 10.4% CAGR to USD 758.5 million by 2033</w:t>
      </w:r>
      <w:r>
        <w:t xml:space="preserve"> </w:t>
      </w:r>
      <w:r>
        <w:rPr>
          <w:vertAlign w:val="superscript"/>
        </w:rPr>
        <w:t xml:space="preserve">5</w:t>
      </w:r>
      <w:r>
        <w:t xml:space="preserve">. Within this expanding market, the</w:t>
      </w:r>
      <w:r>
        <w:t xml:space="preserve"> </w:t>
      </w:r>
      <w:r>
        <w:t xml:space="preserve">“</w:t>
      </w:r>
      <w:r>
        <w:t xml:space="preserve">prosumer chasm</w:t>
      </w:r>
      <w:r>
        <w:t xml:space="preserve">”</w:t>
      </w:r>
      <w:r>
        <w:t xml:space="preserve"> </w:t>
      </w:r>
      <w:r>
        <w:t xml:space="preserve">— the gap between $7–$50 consumer LUT packs and $300+ professional plugins — represents an estimated $100M+ addressable opportunity. Professional colorists on forums such as LiftGammaGain routinely dismiss consumer-grade LUTs as</w:t>
      </w:r>
      <w:r>
        <w:t xml:space="preserve"> </w:t>
      </w:r>
      <w:r>
        <w:t xml:space="preserve">“</w:t>
      </w:r>
      <w:r>
        <w:t xml:space="preserve">snake oil,</w:t>
      </w:r>
      <w:r>
        <w:t xml:space="preserve">”</w:t>
      </w:r>
      <w:r>
        <w:t xml:space="preserve"> </w:t>
      </w:r>
      <w:r>
        <w:t xml:space="preserve">while working creators cannot justify $399 for Dehancer or $500 for ARRI Film Lab</w:t>
      </w:r>
      <w:r>
        <w:t xml:space="preserve"> </w:t>
      </w:r>
      <w:r>
        <w:rPr>
          <w:vertAlign w:val="superscript"/>
        </w:rPr>
        <w:t xml:space="preserve">63</w:t>
      </w:r>
      <w:r>
        <w:t xml:space="preserve">. CINEGRADE LAB occupies the $89–$129 per pack tier with documented color science credentials and colorist-verified accuracy metrics.</w:t>
      </w:r>
    </w:p>
    <w:p>
      <w:pPr>
        <w:pStyle w:val="BodyText"/>
      </w:pPr>
      <w:r>
        <w:t xml:space="preserve">The product architecture translates these four aesthetic pillars into 250 premium color tools distributed as paired XMP/CUBE files across 25 categories, each with quantified color transformation parameters derived from measured film stock data and cinematic reference analysis.</w:t>
      </w:r>
    </w:p>
    <w:bookmarkEnd w:id="74"/>
    <w:bookmarkStart w:id="75" w:name="core-value-proposition"/>
    <w:p>
      <w:pPr>
        <w:pStyle w:val="Heading4"/>
      </w:pPr>
      <w:r>
        <w:t xml:space="preserve">4.1.2 Core Value Proposition</w:t>
      </w:r>
    </w:p>
    <w:p>
      <w:pPr>
        <w:pStyle w:val="FirstParagraph"/>
      </w:pPr>
      <w:r>
        <w:t xml:space="preserve">The CINEGRADE LAB collection delivers 250 premium color tools — 125 XMP presets for Adobe Camera Raw/Lightroom and 125 CUBE LUTs for DaVinci Resolve, Premiere Pro, Final Cut Pro, and Baselight. Each tool exists in paired format, enabling seamless workflow transitions between photography and video deliverables. The value proposition rests on three technical pillars.</w:t>
      </w:r>
    </w:p>
    <w:p>
      <w:pPr>
        <w:pStyle w:val="BodyText"/>
      </w:pPr>
      <w:r>
        <w:rPr>
          <w:bCs/>
          <w:b/>
        </w:rPr>
        <w:t xml:space="preserve">Scientific Accuracy.</w:t>
      </w:r>
      <w:r>
        <w:t xml:space="preserve"> </w:t>
      </w:r>
      <w:r>
        <w:t xml:space="preserve">Every film emulation is validated against CIEDE2000 color difference metrics</w:t>
      </w:r>
      <w:r>
        <w:t xml:space="preserve"> </w:t>
      </w:r>
      <w:r>
        <w:rPr>
          <w:vertAlign w:val="superscript"/>
        </w:rPr>
        <w:t xml:space="preserve">41</w:t>
      </w:r>
      <w:r>
        <w:t xml:space="preserve">, the industry-standard perceptual color difference formula that correlates with human visual judgment. Where consumer LUTs approximate film looks through subjective adjustment, CINEGRADE LAB emulations derive from analysis of actual film scan data, preserving the six distinctive properties of film grain: temporal independence, pink noise power spectrum density, spatial dependence, cross-color correlation in RGB, Gaussian histogram distribution, and signal intensity adaptation</w:t>
      </w:r>
      <w:r>
        <w:t xml:space="preserve"> </w:t>
      </w:r>
      <w:r>
        <w:rPr>
          <w:vertAlign w:val="superscript"/>
        </w:rPr>
        <w:t xml:space="preserve">64</w:t>
      </w:r>
      <w:r>
        <w:t xml:space="preserve">.</w:t>
      </w:r>
    </w:p>
    <w:p>
      <w:pPr>
        <w:pStyle w:val="BodyText"/>
      </w:pPr>
      <w:r>
        <w:rPr>
          <w:bCs/>
          <w:b/>
        </w:rPr>
        <w:t xml:space="preserve">Parameter Completeness.</w:t>
      </w:r>
      <w:r>
        <w:t xml:space="preserve"> </w:t>
      </w:r>
      <w:r>
        <w:t xml:space="preserve">Each XMP preset encodes 23+ discrete adjustments including Color Grading wheels (Shadows, Midtones, Highlights), parametric and point tone curves, HSL selective adjustments, split toning with balance control, calibration profiles, and lens corrections. This depth contrasts sharply with consumer presets that adjust 3–5 sliders, leaving substantial creative work to the user.</w:t>
      </w:r>
    </w:p>
    <w:p>
      <w:pPr>
        <w:pStyle w:val="BodyText"/>
      </w:pPr>
      <w:r>
        <w:rPr>
          <w:bCs/>
          <w:b/>
        </w:rPr>
        <w:t xml:space="preserve">AI-Powered Discovery.</w:t>
      </w:r>
      <w:r>
        <w:t xml:space="preserve"> </w:t>
      </w:r>
      <w:r>
        <w:t xml:space="preserve">The 25-category taxonomy is navigable through an intelligent recommendation system that matches source content characteristics to optimal preset selections, addressing the</w:t>
      </w:r>
      <w:r>
        <w:t xml:space="preserve"> </w:t>
      </w:r>
      <w:r>
        <w:t xml:space="preserve">“</w:t>
      </w:r>
      <w:r>
        <w:t xml:space="preserve">paradox of choice</w:t>
      </w:r>
      <w:r>
        <w:t xml:space="preserve">”</w:t>
      </w:r>
      <w:r>
        <w:t xml:space="preserve"> </w:t>
      </w:r>
      <w:r>
        <w:t xml:space="preserve">documented in behavioral economics research — users prefer curated collections of 8–12 exceptional options over massive uncategorized packs of 500+ LUTs.</w:t>
      </w:r>
    </w:p>
    <w:bookmarkEnd w:id="75"/>
    <w:bookmarkStart w:id="76" w:name="target-persona-matrix"/>
    <w:p>
      <w:pPr>
        <w:pStyle w:val="Heading4"/>
      </w:pPr>
      <w:r>
        <w:t xml:space="preserve">4.1.3 Target Persona Matrix</w:t>
      </w:r>
    </w:p>
    <w:p>
      <w:pPr>
        <w:pStyle w:val="FirstParagraph"/>
      </w:pPr>
      <w:r>
        <w:t xml:space="preserve">The architecture serves four distinct professional personas, each with differentiated workflow requirements and aesthetic preferences.</w:t>
      </w:r>
    </w:p>
    <w:tbl>
      <w:tblPr>
        <w:tblStyle w:val="Table"/>
        <w:tblW w:type="pct" w:w="5000"/>
        <w:tblLook w:firstRow="1" w:lastRow="0" w:firstColumn="0" w:lastColumn="0" w:noHBand="0" w:noVBand="0" w:val="0020"/>
      </w:tblPr>
      <w:tblGrid>
        <w:gridCol w:w="848"/>
        <w:gridCol w:w="1225"/>
        <w:gridCol w:w="1791"/>
        <w:gridCol w:w="2262"/>
        <w:gridCol w:w="1791"/>
      </w:tblGrid>
      <w:tr>
        <w:trPr>
          <w:tblHeader w:val="true"/>
        </w:trPr>
        <w:tc>
          <w:tcPr/>
          <w:p>
            <w:pPr>
              <w:pStyle w:val="Compact"/>
              <w:jc w:val="left"/>
            </w:pPr>
            <w:r>
              <w:t xml:space="preserve">Persona</w:t>
            </w:r>
          </w:p>
        </w:tc>
        <w:tc>
          <w:tcPr/>
          <w:p>
            <w:pPr>
              <w:pStyle w:val="Compact"/>
              <w:jc w:val="left"/>
            </w:pPr>
            <w:r>
              <w:t xml:space="preserve">Primary Tool</w:t>
            </w:r>
          </w:p>
        </w:tc>
        <w:tc>
          <w:tcPr/>
          <w:p>
            <w:pPr>
              <w:pStyle w:val="Compact"/>
              <w:jc w:val="left"/>
            </w:pPr>
            <w:r>
              <w:t xml:space="preserve">Key Aesthetic Need</w:t>
            </w:r>
          </w:p>
        </w:tc>
        <w:tc>
          <w:tcPr/>
          <w:p>
            <w:pPr>
              <w:pStyle w:val="Compact"/>
              <w:jc w:val="left"/>
            </w:pPr>
            <w:r>
              <w:t xml:space="preserve">Representative Category</w:t>
            </w:r>
          </w:p>
        </w:tc>
        <w:tc>
          <w:tcPr/>
          <w:p>
            <w:pPr>
              <w:pStyle w:val="Compact"/>
              <w:jc w:val="left"/>
            </w:pPr>
            <w:r>
              <w:t xml:space="preserve">Price Sensitivity</w:t>
            </w:r>
          </w:p>
        </w:tc>
      </w:tr>
      <w:tr>
        <w:tc>
          <w:tcPr/>
          <w:p>
            <w:pPr>
              <w:pStyle w:val="Compact"/>
              <w:jc w:val="left"/>
            </w:pPr>
            <w:r>
              <w:t xml:space="preserve">Wedding Photographers</w:t>
            </w:r>
          </w:p>
        </w:tc>
        <w:tc>
          <w:tcPr/>
          <w:p>
            <w:pPr>
              <w:pStyle w:val="Compact"/>
              <w:jc w:val="left"/>
            </w:pPr>
            <w:r>
              <w:t xml:space="preserve">XMP (Lightroom/ACR)</w:t>
            </w:r>
          </w:p>
        </w:tc>
        <w:tc>
          <w:tcPr/>
          <w:p>
            <w:pPr>
              <w:pStyle w:val="Compact"/>
              <w:jc w:val="left"/>
            </w:pPr>
            <w:r>
              <w:t xml:space="preserve">Soft film emulation, natural skin tones, hybrid film-digital matching</w:t>
            </w:r>
          </w:p>
        </w:tc>
        <w:tc>
          <w:tcPr/>
          <w:p>
            <w:pPr>
              <w:pStyle w:val="Compact"/>
              <w:jc w:val="left"/>
            </w:pPr>
            <w:r>
              <w:t xml:space="preserve">Dreamy Wedding, Kodak Portra Emulation, Fuji 400H Emulation</w:t>
            </w:r>
          </w:p>
        </w:tc>
        <w:tc>
          <w:tcPr/>
          <w:p>
            <w:pPr>
              <w:pStyle w:val="Compact"/>
              <w:jc w:val="left"/>
            </w:pPr>
            <w:r>
              <w:t xml:space="preserve">Medium ($99–$149 acceptable)</w:t>
            </w:r>
          </w:p>
        </w:tc>
      </w:tr>
      <w:tr>
        <w:tc>
          <w:tcPr/>
          <w:p>
            <w:pPr>
              <w:pStyle w:val="Compact"/>
              <w:jc w:val="left"/>
            </w:pPr>
            <w:r>
              <w:t xml:space="preserve">Filmmakers</w:t>
            </w:r>
          </w:p>
        </w:tc>
        <w:tc>
          <w:tcPr/>
          <w:p>
            <w:pPr>
              <w:pStyle w:val="Compact"/>
              <w:jc w:val="left"/>
            </w:pPr>
            <w:r>
              <w:t xml:space="preserve">CUBE (DaVinci Resolve)</w:t>
            </w:r>
          </w:p>
        </w:tc>
        <w:tc>
          <w:tcPr/>
          <w:p>
            <w:pPr>
              <w:pStyle w:val="Compact"/>
              <w:jc w:val="left"/>
            </w:pPr>
            <w:r>
              <w:t xml:space="preserve">Cinematic contrast, camera log compatibility, scene-referred workflows</w:t>
            </w:r>
          </w:p>
        </w:tc>
        <w:tc>
          <w:tcPr/>
          <w:p>
            <w:pPr>
              <w:pStyle w:val="Compact"/>
              <w:jc w:val="left"/>
            </w:pPr>
            <w:r>
              <w:t xml:space="preserve">Cinematic Shadows, ARRI Alexa Look, Netflix Inspired</w:t>
            </w:r>
          </w:p>
        </w:tc>
        <w:tc>
          <w:tcPr/>
          <w:p>
            <w:pPr>
              <w:pStyle w:val="Compact"/>
              <w:jc w:val="left"/>
            </w:pPr>
            <w:r>
              <w:t xml:space="preserve">Low ($89–$129 standard)</w:t>
            </w:r>
          </w:p>
        </w:tc>
      </w:tr>
      <w:tr>
        <w:tc>
          <w:tcPr/>
          <w:p>
            <w:pPr>
              <w:pStyle w:val="Compact"/>
              <w:jc w:val="left"/>
            </w:pPr>
            <w:r>
              <w:t xml:space="preserve">Content Creators</w:t>
            </w:r>
          </w:p>
        </w:tc>
        <w:tc>
          <w:tcPr/>
          <w:p>
            <w:pPr>
              <w:pStyle w:val="Compact"/>
              <w:jc w:val="left"/>
            </w:pPr>
            <w:r>
              <w:t xml:space="preserve">Both (cross-platform)</w:t>
            </w:r>
          </w:p>
        </w:tc>
        <w:tc>
          <w:tcPr/>
          <w:p>
            <w:pPr>
              <w:pStyle w:val="Compact"/>
              <w:jc w:val="left"/>
            </w:pPr>
            <w:r>
              <w:t xml:space="preserve">Social media optimization, trending aesthetics, mobile compatibility</w:t>
            </w:r>
          </w:p>
        </w:tc>
        <w:tc>
          <w:tcPr/>
          <w:p>
            <w:pPr>
              <w:pStyle w:val="Compact"/>
              <w:jc w:val="left"/>
            </w:pPr>
            <w:r>
              <w:t xml:space="preserve">Dark Instagram Mood, Clean Creator Economy, Night Neon</w:t>
            </w:r>
          </w:p>
        </w:tc>
        <w:tc>
          <w:tcPr/>
          <w:p>
            <w:pPr>
              <w:pStyle w:val="Compact"/>
              <w:jc w:val="left"/>
            </w:pPr>
            <w:r>
              <w:t xml:space="preserve">Medium ($49–$99 preferred)</w:t>
            </w:r>
          </w:p>
        </w:tc>
      </w:tr>
      <w:tr>
        <w:tc>
          <w:tcPr/>
          <w:p>
            <w:pPr>
              <w:pStyle w:val="Compact"/>
              <w:jc w:val="left"/>
            </w:pPr>
            <w:r>
              <w:t xml:space="preserve">Brand Teams</w:t>
            </w:r>
          </w:p>
        </w:tc>
        <w:tc>
          <w:tcPr/>
          <w:p>
            <w:pPr>
              <w:pStyle w:val="Compact"/>
              <w:jc w:val="left"/>
            </w:pPr>
            <w:r>
              <w:t xml:space="preserve">CUBE (multi-editor)</w:t>
            </w:r>
          </w:p>
        </w:tc>
        <w:tc>
          <w:tcPr/>
          <w:p>
            <w:pPr>
              <w:pStyle w:val="Compact"/>
              <w:jc w:val="left"/>
            </w:pPr>
            <w:r>
              <w:t xml:space="preserve">Brand consistency, product-ready output, commercial polish</w:t>
            </w:r>
          </w:p>
        </w:tc>
        <w:tc>
          <w:tcPr/>
          <w:p>
            <w:pPr>
              <w:pStyle w:val="Compact"/>
              <w:jc w:val="left"/>
            </w:pPr>
            <w:r>
              <w:t xml:space="preserve">Commercial Luxury, Luxury Editorial, Hyperreal Fashion</w:t>
            </w:r>
          </w:p>
        </w:tc>
        <w:tc>
          <w:tcPr/>
          <w:p>
            <w:pPr>
              <w:pStyle w:val="Compact"/>
              <w:jc w:val="left"/>
            </w:pPr>
            <w:r>
              <w:t xml:space="preserve">Low ($200+ bundles acceptable)</w:t>
            </w:r>
          </w:p>
        </w:tc>
      </w:tr>
    </w:tbl>
    <w:p>
      <w:pPr>
        <w:pStyle w:val="BodyText"/>
      </w:pPr>
      <w:r>
        <w:t xml:space="preserve">Wedding photographers constitute the largest addressable segment, with Mastin Labs ($99/pack) and Noble Presets ($149) demonstrating sustained demand for scientifically accurate film emulation. Wedding filmmakers shooting hybrid film-digital workflows lack reliable tools to match Portra 400 or Fuji 400H looks across common wedding cameras — a niche within a niche that commands premium pricing.</w:t>
      </w:r>
    </w:p>
    <w:p>
      <w:pPr>
        <w:pStyle w:val="BodyText"/>
      </w:pPr>
      <w:r>
        <w:t xml:space="preserve">Filmmakers require scene-referred workflow compatibility. The ACES gamut encompasses all visible light with more than 25 stops of exposure latitude, and the standard IDT → RRT → ODT pipeline is increasingly mandatory for Netflix-delivered content</w:t>
      </w:r>
      <w:r>
        <w:t xml:space="preserve"> </w:t>
      </w:r>
      <w:r>
        <w:rPr>
          <w:vertAlign w:val="superscript"/>
        </w:rPr>
        <w:t xml:space="preserve">27</w:t>
      </w:r>
      <w:r>
        <w:t xml:space="preserve">. CINEGRADE LAB’s CUBE LUTs operate correctly within this pipeline as Look Modification Transforms (LMTs), avoiding the color space inconsistencies that plague consumer-grade LUTs in professional workflows.</w:t>
      </w:r>
    </w:p>
    <w:p>
      <w:pPr>
        <w:pStyle w:val="BodyText"/>
      </w:pPr>
      <w:r>
        <w:t xml:space="preserve">Content creators share a need for aesthetic currency — tools that produce trending looks with minimal learning curve. Viral social media aesthetics predict professional color trends 12–18 months in advance, making this segment a leading indicator for product development priorities. Brand teams prioritize consistency and throughput, with the Commercial Luxury and Luxury Editorial categories engineered for restrained parameter ranges that minimize variation across large batch workflows.</w:t>
      </w:r>
    </w:p>
    <w:bookmarkEnd w:id="76"/>
    <w:bookmarkEnd w:id="77"/>
    <w:bookmarkStart w:id="83" w:name="the-25-category-taxonomy"/>
    <w:p>
      <w:pPr>
        <w:pStyle w:val="Heading3"/>
      </w:pPr>
      <w:r>
        <w:t xml:space="preserve">4.2 The 25-Category Taxonomy</w:t>
      </w:r>
    </w:p>
    <w:p>
      <w:pPr>
        <w:pStyle w:val="FirstParagraph"/>
      </w:pPr>
      <w:r>
        <w:t xml:space="preserve">The CINEGRADE LAB taxonomy organizes 25 categories into five functional clusters. Every category contains 5 presets/LUTs, yielding 125 XMP and 125 CUBE files. The naming convention follows a narrative specificity principle — users consistently pay 2–3x more for presets that evoke specific emotional memories than for technically equivalent generic looks. Presets carry names such as</w:t>
      </w:r>
      <w:r>
        <w:t xml:space="preserve"> </w:t>
      </w:r>
      <w:r>
        <w:t xml:space="preserve">“</w:t>
      </w:r>
      <w:r>
        <w:t xml:space="preserve">Champagne Dusk</w:t>
      </w:r>
      <w:r>
        <w:t xml:space="preserve">”</w:t>
      </w:r>
      <w:r>
        <w:t xml:space="preserve"> </w:t>
      </w:r>
      <w:r>
        <w:t xml:space="preserve">rather than</w:t>
      </w:r>
      <w:r>
        <w:t xml:space="preserve"> </w:t>
      </w:r>
      <w:r>
        <w:t xml:space="preserve">“</w:t>
      </w:r>
      <w:r>
        <w:t xml:space="preserve">Warm Editorial 03,</w:t>
      </w:r>
      <w:r>
        <w:t xml:space="preserve">”</w:t>
      </w:r>
      <w:r>
        <w:t xml:space="preserve"> </w:t>
      </w:r>
      <w:r>
        <w:t xml:space="preserve">and</w:t>
      </w:r>
      <w:r>
        <w:t xml:space="preserve"> </w:t>
      </w:r>
      <w:r>
        <w:t xml:space="preserve">“</w:t>
      </w:r>
      <w:r>
        <w:t xml:space="preserve">Hereditary Mood</w:t>
      </w:r>
      <w:r>
        <w:t xml:space="preserve">”</w:t>
      </w:r>
      <w:r>
        <w:t xml:space="preserve"> </w:t>
      </w:r>
      <w:r>
        <w:t xml:space="preserve">rather than</w:t>
      </w:r>
      <w:r>
        <w:t xml:space="preserve"> </w:t>
      </w:r>
      <w:r>
        <w:t xml:space="preserve">“</w:t>
      </w:r>
      <w:r>
        <w:t xml:space="preserve">Dark A24 Look.</w:t>
      </w:r>
      <w:r>
        <w:t xml:space="preserve">”</w:t>
      </w:r>
    </w:p>
    <w:bookmarkStart w:id="78" w:name="luxury-editorial-cluster"/>
    <w:p>
      <w:pPr>
        <w:pStyle w:val="Heading4"/>
      </w:pPr>
      <w:r>
        <w:t xml:space="preserve">4.2.1 Luxury &amp; Editorial Cluster</w:t>
      </w:r>
    </w:p>
    <w:p>
      <w:pPr>
        <w:pStyle w:val="FirstParagraph"/>
      </w:pPr>
      <w:r>
        <w:t xml:space="preserve">The Luxury &amp; Editorial cluster encompasses three categories:</w:t>
      </w:r>
      <w:r>
        <w:t xml:space="preserve"> </w:t>
      </w:r>
      <w:r>
        <w:rPr>
          <w:bCs/>
          <w:b/>
        </w:rPr>
        <w:t xml:space="preserve">Luxury Editorial</w:t>
      </w:r>
      <w:r>
        <w:t xml:space="preserve"> </w:t>
      </w:r>
      <w:r>
        <w:t xml:space="preserve">(rich blacks, soft contrast, warm skin tones for high-end editorial photography),</w:t>
      </w:r>
      <w:r>
        <w:t xml:space="preserve"> </w:t>
      </w:r>
      <w:r>
        <w:rPr>
          <w:bCs/>
          <w:b/>
        </w:rPr>
        <w:t xml:space="preserve">Hyperreal Fashion</w:t>
      </w:r>
      <w:r>
        <w:t xml:space="preserve"> </w:t>
      </w:r>
      <w:r>
        <w:t xml:space="preserve">(punchy, saturated, flawless skin rendering for fashion editorials), and</w:t>
      </w:r>
      <w:r>
        <w:t xml:space="preserve"> </w:t>
      </w:r>
      <w:r>
        <w:rPr>
          <w:bCs/>
          <w:b/>
        </w:rPr>
        <w:t xml:space="preserve">Commercial Luxury</w:t>
      </w:r>
      <w:r>
        <w:t xml:space="preserve"> </w:t>
      </w:r>
      <w:r>
        <w:t xml:space="preserve">(polished, professional, product-ready aesthetic). This cluster addresses the premium market’s universal preference for muted, desaturated tones over bright saturated colors — a pattern documented across luxury brand research, editorial fashion, and high-end wedding photography. The five defining traits of luxury color palettes are restraint, depth, one metallic accent, high whitespace, and cultural weight. The Luxury Editorial category specifically emulates the documentary-style fashion photography aesthetic associated with Juergen Teller and Tyrone Lebon — minimal retouching, natural skin texture, and candid moments over polished perfection. The Hyperreal Fashion category inverts this restraint, delivering the bold, vibrant, high-impact rendering required for runway and magazine cover work where visibility and commercial punch override subtlety.</w:t>
      </w:r>
    </w:p>
    <w:bookmarkEnd w:id="78"/>
    <w:bookmarkStart w:id="79" w:name="cinematic-cluster"/>
    <w:p>
      <w:pPr>
        <w:pStyle w:val="Heading4"/>
      </w:pPr>
      <w:r>
        <w:t xml:space="preserve">4.2.2 Cinematic Cluster</w:t>
      </w:r>
    </w:p>
    <w:p>
      <w:pPr>
        <w:pStyle w:val="FirstParagraph"/>
      </w:pPr>
      <w:r>
        <w:t xml:space="preserve">The Cinematic cluster comprises four categories:</w:t>
      </w:r>
      <w:r>
        <w:t xml:space="preserve"> </w:t>
      </w:r>
      <w:r>
        <w:rPr>
          <w:bCs/>
          <w:b/>
        </w:rPr>
        <w:t xml:space="preserve">Cinematic Shadows</w:t>
      </w:r>
      <w:r>
        <w:t xml:space="preserve"> </w:t>
      </w:r>
      <w:r>
        <w:t xml:space="preserve">(crushed blacks with teal shadows and warm highlights),</w:t>
      </w:r>
      <w:r>
        <w:t xml:space="preserve"> </w:t>
      </w:r>
      <w:r>
        <w:rPr>
          <w:bCs/>
          <w:b/>
        </w:rPr>
        <w:t xml:space="preserve">Netflix Inspired</w:t>
      </w:r>
      <w:r>
        <w:t xml:space="preserve"> </w:t>
      </w:r>
      <w:r>
        <w:t xml:space="preserve">(cinematic teal/orange with filmic qualities inspired by streaming content),</w:t>
      </w:r>
      <w:r>
        <w:t xml:space="preserve"> </w:t>
      </w:r>
      <w:r>
        <w:rPr>
          <w:bCs/>
          <w:b/>
        </w:rPr>
        <w:t xml:space="preserve">A24 Inspired</w:t>
      </w:r>
      <w:r>
        <w:t xml:space="preserve"> </w:t>
      </w:r>
      <w:r>
        <w:t xml:space="preserve">(artistic, unconventional, mood-driven looks), and</w:t>
      </w:r>
      <w:r>
        <w:t xml:space="preserve"> </w:t>
      </w:r>
      <w:r>
        <w:rPr>
          <w:bCs/>
          <w:b/>
        </w:rPr>
        <w:t xml:space="preserve">ARRI Alexa Look</w:t>
      </w:r>
      <w:r>
        <w:t xml:space="preserve"> </w:t>
      </w:r>
      <w:r>
        <w:t xml:space="preserve">(digital cinema natural skin tones with wide dynamic range emulation). This cluster represents the most technically demanding component of the library, requiring precise color space awareness and scene-referred workflow compatibility.</w:t>
      </w:r>
    </w:p>
    <w:p>
      <w:pPr>
        <w:pStyle w:val="BodyText"/>
      </w:pPr>
      <w:r>
        <w:t xml:space="preserve">The Cinematic Shadows category implements the teal/orange split — the dominant cinematic color grading aesthetic in Hollywood — through scientifically informed hue manipulation. Teal/orange grading exploits opponent-process color theory: blue-yellow and red-green are opponent pairs in human vision, and separating skin tones (warm/orange) from environments (cool/teal) creates maximum perceptual color contrast</w:t>
      </w:r>
      <w:r>
        <w:t xml:space="preserve"> </w:t>
      </w:r>
      <w:r>
        <w:rPr>
          <w:vertAlign w:val="superscript"/>
        </w:rPr>
        <w:t xml:space="preserve">34</w:t>
      </w:r>
      <w:r>
        <w:t xml:space="preserve">. The A24 Inspired category encodes a quantifiable aesthetic signature that has become a distinct commercial category: lifted shadows (+12), muted primaries (saturation ~78%), fine grain (14–20), and olive/ochre split toning (Shadow #283828, Highlight #d4c8a0)</w:t>
      </w:r>
      <w:r>
        <w:t xml:space="preserve"> </w:t>
      </w:r>
      <w:r>
        <w:rPr>
          <w:vertAlign w:val="superscript"/>
        </w:rPr>
        <w:t xml:space="preserve">65</w:t>
      </w:r>
      <w:r>
        <w:t xml:space="preserve">. The ARRI Alexa Look category emulates the</w:t>
      </w:r>
      <w:r>
        <w:t xml:space="preserve"> </w:t>
      </w:r>
      <w:r>
        <w:t xml:space="preserve">“</w:t>
      </w:r>
      <w:r>
        <w:t xml:space="preserve">gold standard</w:t>
      </w:r>
      <w:r>
        <w:t xml:space="preserve">”</w:t>
      </w:r>
      <w:r>
        <w:t xml:space="preserve"> </w:t>
      </w:r>
      <w:r>
        <w:t xml:space="preserve">digital cinema color science that Phantom LUTs and professional colorists calibrate against — legendary for its organic skin tones, cinematic highlight roll-off, and wide dynamic range rendering</w:t>
      </w:r>
      <w:r>
        <w:t xml:space="preserve"> </w:t>
      </w:r>
      <w:r>
        <w:rPr>
          <w:vertAlign w:val="superscript"/>
        </w:rPr>
        <w:t xml:space="preserve">6</w:t>
      </w:r>
      <w:r>
        <w:t xml:space="preserve">.</w:t>
      </w:r>
    </w:p>
    <w:bookmarkEnd w:id="79"/>
    <w:bookmarkStart w:id="80" w:name="film-emulation-cluster"/>
    <w:p>
      <w:pPr>
        <w:pStyle w:val="Heading4"/>
      </w:pPr>
      <w:r>
        <w:t xml:space="preserve">4.2.3 Film Emulation Cluster</w:t>
      </w:r>
    </w:p>
    <w:p>
      <w:pPr>
        <w:pStyle w:val="FirstParagraph"/>
      </w:pPr>
      <w:r>
        <w:t xml:space="preserve">The Film Emulation cluster contains four categories:</w:t>
      </w:r>
      <w:r>
        <w:t xml:space="preserve"> </w:t>
      </w:r>
      <w:r>
        <w:rPr>
          <w:bCs/>
          <w:b/>
        </w:rPr>
        <w:t xml:space="preserve">Kodak Portra Emulation</w:t>
      </w:r>
      <w:r>
        <w:t xml:space="preserve"> </w:t>
      </w:r>
      <w:r>
        <w:t xml:space="preserve">(warm skin tones, soft contrast, fine grain),</w:t>
      </w:r>
      <w:r>
        <w:t xml:space="preserve"> </w:t>
      </w:r>
      <w:r>
        <w:rPr>
          <w:bCs/>
          <w:b/>
        </w:rPr>
        <w:t xml:space="preserve">Fuji 400H Emulation</w:t>
      </w:r>
      <w:r>
        <w:t xml:space="preserve"> </w:t>
      </w:r>
      <w:r>
        <w:t xml:space="preserve">(pastel tones, green shadows, airy feel),</w:t>
      </w:r>
      <w:r>
        <w:t xml:space="preserve"> </w:t>
      </w:r>
      <w:r>
        <w:rPr>
          <w:bCs/>
          <w:b/>
        </w:rPr>
        <w:t xml:space="preserve">CineStill 800T Emulation</w:t>
      </w:r>
      <w:r>
        <w:t xml:space="preserve"> </w:t>
      </w:r>
      <w:r>
        <w:t xml:space="preserve">(tungsten balance, halation glow, night film characteristics), and</w:t>
      </w:r>
      <w:r>
        <w:t xml:space="preserve"> </w:t>
      </w:r>
      <w:r>
        <w:rPr>
          <w:bCs/>
          <w:b/>
        </w:rPr>
        <w:t xml:space="preserve">Bleach Bypass</w:t>
      </w:r>
      <w:r>
        <w:t xml:space="preserve"> </w:t>
      </w:r>
      <w:r>
        <w:t xml:space="preserve">(silver retention, high contrast, desaturated). This cluster is anchored by Kodak Portra 400, which research across the professional photography and fashion editorial dimensions confirms as the universal skin tone reference standard</w:t>
      </w:r>
      <w:r>
        <w:t xml:space="preserve"> </w:t>
      </w:r>
      <w:r>
        <w:rPr>
          <w:vertAlign w:val="superscript"/>
        </w:rPr>
        <w:t xml:space="preserve">7</w:t>
      </w:r>
      <w:r>
        <w:t xml:space="preserve"> </w:t>
      </w:r>
      <w:r>
        <w:rPr>
          <w:vertAlign w:val="superscript"/>
        </w:rPr>
        <w:t xml:space="preserve">66</w:t>
      </w:r>
      <w:r>
        <w:t xml:space="preserve">.</w:t>
      </w:r>
    </w:p>
    <w:tbl>
      <w:tblPr>
        <w:tblStyle w:val="Table"/>
        <w:tblW w:type="pct" w:w="5000"/>
        <w:tblLook w:firstRow="1" w:lastRow="0" w:firstColumn="0" w:lastColumn="0" w:noHBand="0" w:noVBand="0" w:val="0020"/>
      </w:tblPr>
      <w:tblGrid>
        <w:gridCol w:w="1062"/>
        <w:gridCol w:w="1835"/>
        <w:gridCol w:w="1641"/>
        <w:gridCol w:w="2028"/>
        <w:gridCol w:w="1352"/>
      </w:tblGrid>
      <w:tr>
        <w:trPr>
          <w:tblHeader w:val="true"/>
        </w:trPr>
        <w:tc>
          <w:tcPr/>
          <w:p>
            <w:pPr>
              <w:pStyle w:val="Compact"/>
              <w:jc w:val="left"/>
            </w:pPr>
            <w:r>
              <w:t xml:space="preserve">Film Stock</w:t>
            </w:r>
          </w:p>
        </w:tc>
        <w:tc>
          <w:tcPr/>
          <w:p>
            <w:pPr>
              <w:pStyle w:val="Compact"/>
              <w:jc w:val="left"/>
            </w:pPr>
            <w:r>
              <w:t xml:space="preserve">Skin Tone Rendering</w:t>
            </w:r>
          </w:p>
        </w:tc>
        <w:tc>
          <w:tcPr/>
          <w:p>
            <w:pPr>
              <w:pStyle w:val="Compact"/>
              <w:jc w:val="left"/>
            </w:pPr>
            <w:r>
              <w:t xml:space="preserve">Shadow Character</w:t>
            </w:r>
          </w:p>
        </w:tc>
        <w:tc>
          <w:tcPr/>
          <w:p>
            <w:pPr>
              <w:pStyle w:val="Compact"/>
              <w:jc w:val="left"/>
            </w:pPr>
            <w:r>
              <w:t xml:space="preserve">Signature Color Trait</w:t>
            </w:r>
          </w:p>
        </w:tc>
        <w:tc>
          <w:tcPr/>
          <w:p>
            <w:pPr>
              <w:pStyle w:val="Compact"/>
              <w:jc w:val="left"/>
            </w:pPr>
            <w:r>
              <w:t xml:space="preserve">Grain Quality</w:t>
            </w:r>
          </w:p>
        </w:tc>
      </w:tr>
      <w:tr>
        <w:tc>
          <w:tcPr/>
          <w:p>
            <w:pPr>
              <w:pStyle w:val="Compact"/>
              <w:jc w:val="left"/>
            </w:pPr>
            <w:r>
              <w:t xml:space="preserve">Kodak Portra 400</w:t>
            </w:r>
          </w:p>
        </w:tc>
        <w:tc>
          <w:tcPr/>
          <w:p>
            <w:pPr>
              <w:pStyle w:val="Compact"/>
              <w:jc w:val="left"/>
            </w:pPr>
            <w:r>
              <w:t xml:space="preserve">Warm, peachy, luminous</w:t>
            </w:r>
          </w:p>
        </w:tc>
        <w:tc>
          <w:tcPr/>
          <w:p>
            <w:pPr>
              <w:pStyle w:val="Compact"/>
              <w:jc w:val="left"/>
            </w:pPr>
            <w:r>
              <w:t xml:space="preserve">Deep but detailed, lifted blacks (~+15)</w:t>
            </w:r>
          </w:p>
        </w:tc>
        <w:tc>
          <w:tcPr/>
          <w:p>
            <w:pPr>
              <w:pStyle w:val="Compact"/>
              <w:jc w:val="left"/>
            </w:pPr>
            <w:r>
              <w:t xml:space="preserve">Warm greens, soft cyan-blues</w:t>
            </w:r>
          </w:p>
        </w:tc>
        <w:tc>
          <w:tcPr/>
          <w:p>
            <w:pPr>
              <w:pStyle w:val="Compact"/>
              <w:jc w:val="left"/>
            </w:pPr>
            <w:r>
              <w:t xml:space="preserve">Very fine T-grain</w:t>
            </w:r>
          </w:p>
        </w:tc>
      </w:tr>
      <w:tr>
        <w:tc>
          <w:tcPr/>
          <w:p>
            <w:pPr>
              <w:pStyle w:val="Compact"/>
              <w:jc w:val="left"/>
            </w:pPr>
            <w:r>
              <w:t xml:space="preserve">Fuji Pro 400H</w:t>
            </w:r>
          </w:p>
        </w:tc>
        <w:tc>
          <w:tcPr/>
          <w:p>
            <w:pPr>
              <w:pStyle w:val="Compact"/>
              <w:jc w:val="left"/>
            </w:pPr>
            <w:r>
              <w:t xml:space="preserve">Soft pink-green, pastel</w:t>
            </w:r>
          </w:p>
        </w:tc>
        <w:tc>
          <w:tcPr/>
          <w:p>
            <w:pPr>
              <w:pStyle w:val="Compact"/>
              <w:jc w:val="left"/>
            </w:pPr>
            <w:r>
              <w:t xml:space="preserve">Lifted, almost washed-out</w:t>
            </w:r>
          </w:p>
        </w:tc>
        <w:tc>
          <w:tcPr/>
          <w:p>
            <w:pPr>
              <w:pStyle w:val="Compact"/>
              <w:jc w:val="left"/>
            </w:pPr>
            <w:r>
              <w:t xml:space="preserve">Muted foliage, cool greens</w:t>
            </w:r>
          </w:p>
        </w:tc>
        <w:tc>
          <w:tcPr/>
          <w:p>
            <w:pPr>
              <w:pStyle w:val="Compact"/>
              <w:jc w:val="left"/>
            </w:pPr>
            <w:r>
              <w:t xml:space="preserve">Fine, delicate</w:t>
            </w:r>
          </w:p>
        </w:tc>
      </w:tr>
      <w:tr>
        <w:tc>
          <w:tcPr/>
          <w:p>
            <w:pPr>
              <w:pStyle w:val="Compact"/>
              <w:jc w:val="left"/>
            </w:pPr>
            <w:r>
              <w:t xml:space="preserve">CineStill 800T</w:t>
            </w:r>
          </w:p>
        </w:tc>
        <w:tc>
          <w:tcPr/>
          <w:p>
            <w:pPr>
              <w:pStyle w:val="Compact"/>
              <w:jc w:val="left"/>
            </w:pPr>
            <w:r>
              <w:t xml:space="preserve">Neutral-to-cool under daylight</w:t>
            </w:r>
          </w:p>
        </w:tc>
        <w:tc>
          <w:tcPr/>
          <w:p>
            <w:pPr>
              <w:pStyle w:val="Compact"/>
              <w:jc w:val="left"/>
            </w:pPr>
            <w:r>
              <w:t xml:space="preserve">High contrast, tungsten-shifted</w:t>
            </w:r>
          </w:p>
        </w:tc>
        <w:tc>
          <w:tcPr/>
          <w:p>
            <w:pPr>
              <w:pStyle w:val="Compact"/>
              <w:jc w:val="left"/>
            </w:pPr>
            <w:r>
              <w:t xml:space="preserve">Signature halation glow (red-orange)</w:t>
            </w:r>
          </w:p>
        </w:tc>
        <w:tc>
          <w:tcPr/>
          <w:p>
            <w:pPr>
              <w:pStyle w:val="Compact"/>
              <w:jc w:val="left"/>
            </w:pPr>
            <w:r>
              <w:t xml:space="preserve">Moderate, cinematic</w:t>
            </w:r>
          </w:p>
        </w:tc>
      </w:tr>
      <w:tr>
        <w:tc>
          <w:tcPr/>
          <w:p>
            <w:pPr>
              <w:pStyle w:val="Compact"/>
              <w:jc w:val="left"/>
            </w:pPr>
            <w:r>
              <w:t xml:space="preserve">Bleach Bypass</w:t>
            </w:r>
          </w:p>
        </w:tc>
        <w:tc>
          <w:tcPr/>
          <w:p>
            <w:pPr>
              <w:pStyle w:val="Compact"/>
              <w:jc w:val="left"/>
            </w:pPr>
            <w:r>
              <w:t xml:space="preserve">Stark, desaturated</w:t>
            </w:r>
          </w:p>
        </w:tc>
        <w:tc>
          <w:tcPr/>
          <w:p>
            <w:pPr>
              <w:pStyle w:val="Compact"/>
              <w:jc w:val="left"/>
            </w:pPr>
            <w:r>
              <w:t xml:space="preserve">Deep blacks, silver retention</w:t>
            </w:r>
          </w:p>
        </w:tc>
        <w:tc>
          <w:tcPr/>
          <w:p>
            <w:pPr>
              <w:pStyle w:val="Compact"/>
              <w:jc w:val="left"/>
            </w:pPr>
            <w:r>
              <w:t xml:space="preserve">Metallic sheen, high contrast</w:t>
            </w:r>
          </w:p>
        </w:tc>
        <w:tc>
          <w:tcPr/>
          <w:p>
            <w:pPr>
              <w:pStyle w:val="Compact"/>
              <w:jc w:val="left"/>
            </w:pPr>
            <w:r>
              <w:t xml:space="preserve">Enhanced, gritty</w:t>
            </w:r>
          </w:p>
        </w:tc>
      </w:tr>
    </w:tbl>
    <w:p>
      <w:pPr>
        <w:pStyle w:val="BodyText"/>
      </w:pPr>
      <w:r>
        <w:t xml:space="preserve">The technical implementation of each emulation targets the defining characteristics of the source stock. Portra 400 emulation prioritizes the T-grain structure — tabular grain technology producing remarkably fine grain for ISO 400, finer than Kodak Gold 200 despite the higher speed rating. Fuji 400H emulation captures its distinctive greenish-pink midtone cast that renders skin with a soft, romantic quality, along with its characteristic muted foliage handling that prevents backgrounds from competing with subjects. CineStill 800T emulation replicates the stock’s signature halation — the red-orange glow around bright highlights caused by light passing through the emulsion, reflecting off the film base, and re-exposing the emulsion from behind. The digital halation simulation algorithm employed thresholds bright regions, applies exponential kernel blur (not Gaussian) for natural light bleeding, redshifts the result by approximately [1.0, 0.05, 0.02] in RGB space, and composites back to the original image</w:t>
      </w:r>
      <w:r>
        <w:t xml:space="preserve"> </w:t>
      </w:r>
      <w:r>
        <w:rPr>
          <w:vertAlign w:val="superscript"/>
        </w:rPr>
        <w:t xml:space="preserve">67</w:t>
      </w:r>
      <w:r>
        <w:t xml:space="preserve">. Bleach bypass emulates the photochemical process of skipping the bleach bath during processing, leaving silver halides intact alongside dye clouds to produce the characteristic high-contrast, desaturated, metallic-sheen appearance used in films such as</w:t>
      </w:r>
      <w:r>
        <w:t xml:space="preserve"> </w:t>
      </w:r>
      <w:r>
        <w:rPr>
          <w:iCs/>
          <w:i/>
        </w:rPr>
        <w:t xml:space="preserve">Saving Private Ryan</w:t>
      </w:r>
      <w:r>
        <w:t xml:space="preserve"> </w:t>
      </w:r>
      <w:r>
        <w:t xml:space="preserve">and</w:t>
      </w:r>
      <w:r>
        <w:t xml:space="preserve"> </w:t>
      </w:r>
      <w:r>
        <w:rPr>
          <w:iCs/>
          <w:i/>
        </w:rPr>
        <w:t xml:space="preserve">Fight Club</w:t>
      </w:r>
      <w:r>
        <w:t xml:space="preserve">.</w:t>
      </w:r>
    </w:p>
    <w:bookmarkEnd w:id="80"/>
    <w:bookmarkStart w:id="81" w:name="aesthetic-cluster"/>
    <w:p>
      <w:pPr>
        <w:pStyle w:val="Heading4"/>
      </w:pPr>
      <w:r>
        <w:t xml:space="preserve">4.2.4 Aesthetic Cluster</w:t>
      </w:r>
    </w:p>
    <w:p>
      <w:pPr>
        <w:pStyle w:val="FirstParagraph"/>
      </w:pPr>
      <w:r>
        <w:t xml:space="preserve">The Aesthetic cluster includes four categories:</w:t>
      </w:r>
      <w:r>
        <w:t xml:space="preserve"> </w:t>
      </w:r>
      <w:r>
        <w:rPr>
          <w:bCs/>
          <w:b/>
        </w:rPr>
        <w:t xml:space="preserve">Cyberpunk Cinema</w:t>
      </w:r>
      <w:r>
        <w:t xml:space="preserve"> </w:t>
      </w:r>
      <w:r>
        <w:t xml:space="preserve">(cyan/magenta split with high contrast),</w:t>
      </w:r>
      <w:r>
        <w:t xml:space="preserve"> </w:t>
      </w:r>
      <w:r>
        <w:rPr>
          <w:bCs/>
          <w:b/>
        </w:rPr>
        <w:t xml:space="preserve">Night Neon</w:t>
      </w:r>
      <w:r>
        <w:t xml:space="preserve"> </w:t>
      </w:r>
      <w:r>
        <w:t xml:space="preserve">(neon glow enhancement and deep shadow work),</w:t>
      </w:r>
      <w:r>
        <w:t xml:space="preserve"> </w:t>
      </w:r>
      <w:r>
        <w:rPr>
          <w:bCs/>
          <w:b/>
        </w:rPr>
        <w:t xml:space="preserve">Neo Noir</w:t>
      </w:r>
      <w:r>
        <w:t xml:space="preserve"> </w:t>
      </w:r>
      <w:r>
        <w:t xml:space="preserve">(dramatic shadows, high contrast), and</w:t>
      </w:r>
      <w:r>
        <w:t xml:space="preserve"> </w:t>
      </w:r>
      <w:r>
        <w:rPr>
          <w:bCs/>
          <w:b/>
        </w:rPr>
        <w:t xml:space="preserve">Dark Instagram Mood</w:t>
      </w:r>
      <w:r>
        <w:t xml:space="preserve"> </w:t>
      </w:r>
      <w:r>
        <w:t xml:space="preserve">(desaturated, crushed blacks, cool tones). This cluster serves converging demand from cyberpunk visual culture, CineStill 800T night photography, and neon noir cinematography — all sharing the common use case of night and low-light color grading.</w:t>
      </w:r>
    </w:p>
    <w:p>
      <w:pPr>
        <w:pStyle w:val="BodyText"/>
      </w:pPr>
      <w:r>
        <w:t xml:space="preserve">The Cyberpunk Cinema category implements the cyan/magenta split drawn from</w:t>
      </w:r>
      <w:r>
        <w:t xml:space="preserve"> </w:t>
      </w:r>
      <w:r>
        <w:rPr>
          <w:iCs/>
          <w:i/>
        </w:rPr>
        <w:t xml:space="preserve">Blade Runner</w:t>
      </w:r>
      <w:r>
        <w:t xml:space="preserve"> </w:t>
      </w:r>
      <w:r>
        <w:t xml:space="preserve">(1982) and</w:t>
      </w:r>
      <w:r>
        <w:t xml:space="preserve"> </w:t>
      </w:r>
      <w:r>
        <w:rPr>
          <w:iCs/>
          <w:i/>
        </w:rPr>
        <w:t xml:space="preserve">Blade Runner 2049</w:t>
      </w:r>
      <w:r>
        <w:t xml:space="preserve"> </w:t>
      </w:r>
      <w:r>
        <w:t xml:space="preserve">(2017). Night Neon addresses highlight rolloff for neon signs, skin tone preservation under artificial light, and noise-friendly tonal shaping. Neo Noir translates classic film noir high-key lighting into contemporary digital grading. Dark Instagram Mood captures the</w:t>
      </w:r>
      <w:r>
        <w:t xml:space="preserve"> </w:t>
      </w:r>
      <w:r>
        <w:t xml:space="preserve">“</w:t>
      </w:r>
      <w:r>
        <w:t xml:space="preserve">fashionably numb</w:t>
      </w:r>
      <w:r>
        <w:t xml:space="preserve">”</w:t>
      </w:r>
      <w:r>
        <w:t xml:space="preserve"> </w:t>
      </w:r>
      <w:r>
        <w:t xml:space="preserve">desaturation trend dominating social media aesthetics since 2022.</w:t>
      </w:r>
    </w:p>
    <w:bookmarkEnd w:id="81"/>
    <w:bookmarkStart w:id="82" w:name="utility-cluster"/>
    <w:p>
      <w:pPr>
        <w:pStyle w:val="Heading4"/>
      </w:pPr>
      <w:r>
        <w:t xml:space="preserve">4.2.5 Utility Cluster</w:t>
      </w:r>
    </w:p>
    <w:p>
      <w:pPr>
        <w:pStyle w:val="FirstParagraph"/>
      </w:pPr>
      <w:r>
        <w:t xml:space="preserve">The Utility cluster comprises five categories for high-frequency professional workflows:</w:t>
      </w:r>
      <w:r>
        <w:t xml:space="preserve"> </w:t>
      </w:r>
      <w:r>
        <w:rPr>
          <w:bCs/>
          <w:b/>
        </w:rPr>
        <w:t xml:space="preserve">Dreamy Wedding</w:t>
      </w:r>
      <w:r>
        <w:t xml:space="preserve"> </w:t>
      </w:r>
      <w:r>
        <w:t xml:space="preserve">(soft, romantic, warm highlights with pastel tones),</w:t>
      </w:r>
      <w:r>
        <w:t xml:space="preserve"> </w:t>
      </w:r>
      <w:r>
        <w:rPr>
          <w:bCs/>
          <w:b/>
        </w:rPr>
        <w:t xml:space="preserve">Luxury Travel</w:t>
      </w:r>
      <w:r>
        <w:t xml:space="preserve"> </w:t>
      </w:r>
      <w:r>
        <w:t xml:space="preserve">(golden hour tones, rich landscapes),</w:t>
      </w:r>
      <w:r>
        <w:t xml:space="preserve"> </w:t>
      </w:r>
      <w:r>
        <w:rPr>
          <w:bCs/>
          <w:b/>
        </w:rPr>
        <w:t xml:space="preserve">Clean Creator Economy</w:t>
      </w:r>
      <w:r>
        <w:t xml:space="preserve"> </w:t>
      </w:r>
      <w:r>
        <w:t xml:space="preserve">(bright, clean, modern aesthetic),</w:t>
      </w:r>
      <w:r>
        <w:t xml:space="preserve"> </w:t>
      </w:r>
      <w:r>
        <w:rPr>
          <w:bCs/>
          <w:b/>
        </w:rPr>
        <w:t xml:space="preserve">Music Video Looks</w:t>
      </w:r>
      <w:r>
        <w:t xml:space="preserve"> </w:t>
      </w:r>
      <w:r>
        <w:t xml:space="preserve">(stylized, dramatic, high-impact), and</w:t>
      </w:r>
      <w:r>
        <w:t xml:space="preserve"> </w:t>
      </w:r>
      <w:r>
        <w:rPr>
          <w:bCs/>
          <w:b/>
        </w:rPr>
        <w:t xml:space="preserve">Minimal Scandinavian</w:t>
      </w:r>
      <w:r>
        <w:t xml:space="preserve"> </w:t>
      </w:r>
      <w:r>
        <w:t xml:space="preserve">(clean, bright, muted, airy). Dreamy Wedding is engineered for flattering skin tones across diverse complexions with gentle highlight rolloff for white dress detail retention. Luxury Travel targets golden hour content with believable saturation. Clean Creator Economy serves brand-safe content for algorithm-driven platforms. Music Video Looks delivers performance-ready stylization for rapid turnaround timelines. Minimal Scandinavian implements the Nordic design aesthetic that has become a global signifier of understated sophistication.</w:t>
      </w:r>
    </w:p>
    <w:bookmarkEnd w:id="82"/>
    <w:bookmarkEnd w:id="83"/>
    <w:bookmarkStart w:id="88" w:name="technical-specifications"/>
    <w:p>
      <w:pPr>
        <w:pStyle w:val="Heading3"/>
      </w:pPr>
      <w:r>
        <w:t xml:space="preserve">4.3 Technical Specifications</w:t>
      </w:r>
    </w:p>
    <w:bookmarkStart w:id="84" w:name="xmp-format-adobe-camera-raw-v15.0"/>
    <w:p>
      <w:pPr>
        <w:pStyle w:val="Heading4"/>
      </w:pPr>
      <w:r>
        <w:t xml:space="preserve">4.3.1 XMP Format: Adobe Camera Raw v15.0+</w:t>
      </w:r>
    </w:p>
    <w:p>
      <w:pPr>
        <w:pStyle w:val="FirstParagraph"/>
      </w:pPr>
      <w:r>
        <w:t xml:space="preserve">CINEGRADE LAB XMP presets are encoded for Adobe Camera Raw v15.0+, utilizing Process Version 11.0 with full</w:t>
      </w:r>
      <w:r>
        <w:t xml:space="preserve"> </w:t>
      </w:r>
      <w:r>
        <w:rPr>
          <w:rStyle w:val="VerbatimChar"/>
        </w:rPr>
        <w:t xml:space="preserve">crs:</w:t>
      </w:r>
      <w:r>
        <w:t xml:space="preserve"> </w:t>
      </w:r>
      <w:r>
        <w:t xml:space="preserve">namespace declarations. The XMP format stores preset parameters as structured XML metadata that Adobe applications apply to RAW development pipelines. Process Version 11.0 ensures presets render identically across Lightroom Classic, Lightroom CC, Lightroom Mobile, and Adobe Camera Raw.</w:t>
      </w:r>
    </w:p>
    <w:p>
      <w:pPr>
        <w:pStyle w:val="BodyText"/>
      </w:pPr>
      <w:r>
        <w:t xml:space="preserve">Each XMP preset encodes a comprehensive parameter set across six functional domains:</w:t>
      </w:r>
    </w:p>
    <w:tbl>
      <w:tblPr>
        <w:tblStyle w:val="Table"/>
        <w:tblW w:type="pct" w:w="5000"/>
        <w:tblLook w:firstRow="1" w:lastRow="0" w:firstColumn="0" w:lastColumn="0" w:noHBand="0" w:noVBand="0" w:val="0020"/>
      </w:tblPr>
      <w:tblGrid>
        <w:gridCol w:w="2103"/>
        <w:gridCol w:w="2598"/>
        <w:gridCol w:w="866"/>
        <w:gridCol w:w="2351"/>
      </w:tblGrid>
      <w:tr>
        <w:trPr>
          <w:tblHeader w:val="true"/>
        </w:trPr>
        <w:tc>
          <w:tcPr/>
          <w:p>
            <w:pPr>
              <w:pStyle w:val="Compact"/>
              <w:jc w:val="left"/>
            </w:pPr>
            <w:r>
              <w:t xml:space="preserve">Parameter Domain</w:t>
            </w:r>
          </w:p>
        </w:tc>
        <w:tc>
          <w:tcPr/>
          <w:p>
            <w:pPr>
              <w:pStyle w:val="Compact"/>
              <w:jc w:val="left"/>
            </w:pPr>
            <w:r>
              <w:t xml:space="preserve">Specific Adjustments</w:t>
            </w:r>
          </w:p>
        </w:tc>
        <w:tc>
          <w:tcPr/>
          <w:p>
            <w:pPr>
              <w:pStyle w:val="Compact"/>
              <w:jc w:val="left"/>
            </w:pPr>
            <w:r>
              <w:t xml:space="preserve">Count</w:t>
            </w:r>
          </w:p>
        </w:tc>
        <w:tc>
          <w:tcPr/>
          <w:p>
            <w:pPr>
              <w:pStyle w:val="Compact"/>
              <w:jc w:val="left"/>
            </w:pPr>
            <w:r>
              <w:t xml:space="preserve">Creative Function</w:t>
            </w:r>
          </w:p>
        </w:tc>
      </w:tr>
      <w:tr>
        <w:tc>
          <w:tcPr/>
          <w:p>
            <w:pPr>
              <w:pStyle w:val="Compact"/>
              <w:jc w:val="left"/>
            </w:pPr>
            <w:r>
              <w:t xml:space="preserve">Basic Adjustments</w:t>
            </w:r>
          </w:p>
        </w:tc>
        <w:tc>
          <w:tcPr/>
          <w:p>
            <w:pPr>
              <w:pStyle w:val="Compact"/>
              <w:jc w:val="left"/>
            </w:pPr>
            <w:r>
              <w:t xml:space="preserve">Exposure, Contrast, Highlights, Shadows, Whites, Blacks, Texture, Clarity, Dehaze, Vibrance, Saturation</w:t>
            </w:r>
          </w:p>
        </w:tc>
        <w:tc>
          <w:tcPr/>
          <w:p>
            <w:pPr>
              <w:pStyle w:val="Compact"/>
              <w:jc w:val="left"/>
            </w:pPr>
            <w:r>
              <w:t xml:space="preserve">11</w:t>
            </w:r>
          </w:p>
        </w:tc>
        <w:tc>
          <w:tcPr/>
          <w:p>
            <w:pPr>
              <w:pStyle w:val="Compact"/>
              <w:jc w:val="left"/>
            </w:pPr>
            <w:r>
              <w:t xml:space="preserve">Global tonal and presence correction</w:t>
            </w:r>
          </w:p>
        </w:tc>
      </w:tr>
      <w:tr>
        <w:tc>
          <w:tcPr/>
          <w:p>
            <w:pPr>
              <w:pStyle w:val="Compact"/>
              <w:jc w:val="left"/>
            </w:pPr>
            <w:r>
              <w:t xml:space="preserve">Tone Curve</w:t>
            </w:r>
          </w:p>
        </w:tc>
        <w:tc>
          <w:tcPr/>
          <w:p>
            <w:pPr>
              <w:pStyle w:val="Compact"/>
              <w:jc w:val="left"/>
            </w:pPr>
            <w:r>
              <w:t xml:space="preserve">Parametric curve (Highlights, Lights, Darks, Shadows) + Point curve (RGB independent)</w:t>
            </w:r>
          </w:p>
        </w:tc>
        <w:tc>
          <w:tcPr/>
          <w:p>
            <w:pPr>
              <w:pStyle w:val="Compact"/>
              <w:jc w:val="left"/>
            </w:pPr>
            <w:r>
              <w:t xml:space="preserve">2</w:t>
            </w:r>
          </w:p>
        </w:tc>
        <w:tc>
          <w:tcPr/>
          <w:p>
            <w:pPr>
              <w:pStyle w:val="Compact"/>
              <w:jc w:val="left"/>
            </w:pPr>
            <w:r>
              <w:t xml:space="preserve">Contrast shaping and film-like rolloff</w:t>
            </w:r>
          </w:p>
        </w:tc>
      </w:tr>
      <w:tr>
        <w:tc>
          <w:tcPr/>
          <w:p>
            <w:pPr>
              <w:pStyle w:val="Compact"/>
              <w:jc w:val="left"/>
            </w:pPr>
            <w:r>
              <w:t xml:space="preserve">Color Grading</w:t>
            </w:r>
          </w:p>
        </w:tc>
        <w:tc>
          <w:tcPr/>
          <w:p>
            <w:pPr>
              <w:pStyle w:val="Compact"/>
              <w:jc w:val="left"/>
            </w:pPr>
            <w:r>
              <w:t xml:space="preserve">Shadows wheel, Midtones wheel, Highlights wheel, Blending, Balance</w:t>
            </w:r>
          </w:p>
        </w:tc>
        <w:tc>
          <w:tcPr/>
          <w:p>
            <w:pPr>
              <w:pStyle w:val="Compact"/>
              <w:jc w:val="left"/>
            </w:pPr>
            <w:r>
              <w:t xml:space="preserve">5</w:t>
            </w:r>
          </w:p>
        </w:tc>
        <w:tc>
          <w:tcPr/>
          <w:p>
            <w:pPr>
              <w:pStyle w:val="Compact"/>
              <w:jc w:val="left"/>
            </w:pPr>
            <w:r>
              <w:t xml:space="preserve">Split toning with midtone isolation</w:t>
            </w:r>
          </w:p>
        </w:tc>
      </w:tr>
      <w:tr>
        <w:tc>
          <w:tcPr/>
          <w:p>
            <w:pPr>
              <w:pStyle w:val="Compact"/>
              <w:jc w:val="left"/>
            </w:pPr>
            <w:r>
              <w:t xml:space="preserve">HSL / Color</w:t>
            </w:r>
          </w:p>
        </w:tc>
        <w:tc>
          <w:tcPr/>
          <w:p>
            <w:pPr>
              <w:pStyle w:val="Compact"/>
              <w:jc w:val="left"/>
            </w:pPr>
            <w:r>
              <w:t xml:space="preserve">Hue, Saturation, Luminance per 8 color ranges</w:t>
            </w:r>
          </w:p>
        </w:tc>
        <w:tc>
          <w:tcPr/>
          <w:p>
            <w:pPr>
              <w:pStyle w:val="Compact"/>
              <w:jc w:val="left"/>
            </w:pPr>
            <w:r>
              <w:t xml:space="preserve">3</w:t>
            </w:r>
          </w:p>
        </w:tc>
        <w:tc>
          <w:tcPr/>
          <w:p>
            <w:pPr>
              <w:pStyle w:val="Compact"/>
              <w:jc w:val="left"/>
            </w:pPr>
            <w:r>
              <w:t xml:space="preserve">Selective color targeting and skin tone protection</w:t>
            </w:r>
          </w:p>
        </w:tc>
      </w:tr>
      <w:tr>
        <w:tc>
          <w:tcPr/>
          <w:p>
            <w:pPr>
              <w:pStyle w:val="Compact"/>
              <w:jc w:val="left"/>
            </w:pPr>
            <w:r>
              <w:t xml:space="preserve">Calibration</w:t>
            </w:r>
          </w:p>
        </w:tc>
        <w:tc>
          <w:tcPr/>
          <w:p>
            <w:pPr>
              <w:pStyle w:val="Compact"/>
              <w:jc w:val="left"/>
            </w:pPr>
            <w:r>
              <w:t xml:space="preserve">Red Primary, Green Primary, Blue Primary (Hue + Saturation each)</w:t>
            </w:r>
          </w:p>
        </w:tc>
        <w:tc>
          <w:tcPr/>
          <w:p>
            <w:pPr>
              <w:pStyle w:val="Compact"/>
              <w:jc w:val="left"/>
            </w:pPr>
            <w:r>
              <w:t xml:space="preserve">6</w:t>
            </w:r>
          </w:p>
        </w:tc>
        <w:tc>
          <w:tcPr/>
          <w:p>
            <w:pPr>
              <w:pStyle w:val="Compact"/>
              <w:jc w:val="left"/>
            </w:pPr>
            <w:r>
              <w:t xml:space="preserve">Camera profile-level color science adjustment</w:t>
            </w:r>
          </w:p>
        </w:tc>
      </w:tr>
      <w:tr>
        <w:tc>
          <w:tcPr/>
          <w:p>
            <w:pPr>
              <w:pStyle w:val="Compact"/>
              <w:jc w:val="left"/>
            </w:pPr>
            <w:r>
              <w:t xml:space="preserve">Effects &amp; Detail</w:t>
            </w:r>
          </w:p>
        </w:tc>
        <w:tc>
          <w:tcPr/>
          <w:p>
            <w:pPr>
              <w:pStyle w:val="Compact"/>
              <w:jc w:val="left"/>
            </w:pPr>
            <w:r>
              <w:t xml:space="preserve">Grain, Vignette, Sharpening, Noise Reduction, Lens Corrections</w:t>
            </w:r>
          </w:p>
        </w:tc>
        <w:tc>
          <w:tcPr/>
          <w:p>
            <w:pPr>
              <w:pStyle w:val="Compact"/>
              <w:jc w:val="left"/>
            </w:pPr>
            <w:r>
              <w:t xml:space="preserve">4+</w:t>
            </w:r>
          </w:p>
        </w:tc>
        <w:tc>
          <w:tcPr/>
          <w:p>
            <w:pPr>
              <w:pStyle w:val="Compact"/>
              <w:jc w:val="left"/>
            </w:pPr>
            <w:r>
              <w:t xml:space="preserve">Finishing texture and optical correction</w:t>
            </w:r>
          </w:p>
        </w:tc>
      </w:tr>
    </w:tbl>
    <w:p>
      <w:pPr>
        <w:pStyle w:val="BodyText"/>
      </w:pPr>
      <w:r>
        <w:t xml:space="preserve">The total parameter count exceeds 31 discrete values per preset, though the exact count varies by category — film emulation presets include more grain and tone curve parameters, while utility presets emphasize basic adjustments and HSL targeting. The Color Grading wheels (Shadows, Midtones, Highlights) represent a critical technical advantage over simpler split toning implementations: each wheel controls both hue and saturation within its respective tonal range, with the Blending and Balance sliders controlling interaction between ranges. This three-wheel architecture enables the subtle color separation that defines cinematic looks — for instance, the A24 Inspired preset’s characteristic olive shadow / ochre highlight split requires independent midtone control that two-way split toning cannot achieve.</w:t>
      </w:r>
    </w:p>
    <w:p>
      <w:pPr>
        <w:pStyle w:val="BodyText"/>
      </w:pPr>
      <w:r>
        <w:t xml:space="preserve">Profile-based design, as implemented by RNI All Films, represents an alternative technical approach that operates below the slider level for more nuanced emulation</w:t>
      </w:r>
      <w:r>
        <w:t xml:space="preserve"> </w:t>
      </w:r>
      <w:r>
        <w:rPr>
          <w:vertAlign w:val="superscript"/>
        </w:rPr>
        <w:t xml:space="preserve">7</w:t>
      </w:r>
      <w:r>
        <w:t xml:space="preserve">. CINEGRADE LAB preserves slider-based construction so adjustments remain available for user creative edits after preset application, and parameter transparency enables educational content that explains the color science behind each look — a key component of the YouTube tutorial discovery channel that drives near-zero marginal customer acquisition cost in the preset market.</w:t>
      </w:r>
    </w:p>
    <w:bookmarkEnd w:id="84"/>
    <w:bookmarkStart w:id="85" w:name="cube-format-3d-lut-333333-lattice"/>
    <w:p>
      <w:pPr>
        <w:pStyle w:val="Heading4"/>
      </w:pPr>
      <w:r>
        <w:t xml:space="preserve">4.3.2 CUBE Format: 3D LUT, 33×33×33 Lattice</w:t>
      </w:r>
    </w:p>
    <w:p>
      <w:pPr>
        <w:pStyle w:val="FirstParagraph"/>
      </w:pPr>
      <w:r>
        <w:t xml:space="preserve">CINEGRADE LAB CUBE LUTs are distributed in the industry-standard</w:t>
      </w:r>
      <w:r>
        <w:t xml:space="preserve"> </w:t>
      </w:r>
      <w:r>
        <w:rPr>
          <w:rStyle w:val="VerbatimChar"/>
        </w:rPr>
        <w:t xml:space="preserve">.cube</w:t>
      </w:r>
      <w:r>
        <w:t xml:space="preserve"> </w:t>
      </w:r>
      <w:r>
        <w:t xml:space="preserve">format, compatible with DaVinci Resolve, Premiere Pro, Final Cut Pro, After Effects, Baselight, Scratch, SmallHD monitors, and Atomos recorders</w:t>
      </w:r>
      <w:r>
        <w:t xml:space="preserve"> </w:t>
      </w:r>
      <w:r>
        <w:rPr>
          <w:vertAlign w:val="superscript"/>
        </w:rPr>
        <w:t xml:space="preserve">53</w:t>
      </w:r>
      <w:r>
        <w:t xml:space="preserve">. Each LUT implements a 33×33×33 lattice — the production-quality standard recommended by RED Digital Cinema and used as the default in DaVinci Resolve</w:t>
      </w:r>
      <w:r>
        <w:t xml:space="preserve"> </w:t>
      </w:r>
      <w:r>
        <w:rPr>
          <w:vertAlign w:val="superscript"/>
        </w:rPr>
        <w:t xml:space="preserve">56</w:t>
      </w:r>
      <w:r>
        <w:t xml:space="preserve">.</w:t>
      </w:r>
    </w:p>
    <w:p>
      <w:pPr>
        <w:pStyle w:val="BodyText"/>
      </w:pPr>
      <w:r>
        <w:t xml:space="preserve">A 33×33×33 3D LUT contains 35,937 discrete RGB triplets (</w:t>
      </w:r>
      <m:oMath>
        <m:sSup>
          <m:e>
            <m:r>
              <m:t>33</m:t>
            </m:r>
          </m:e>
          <m:sup>
            <m:r>
              <m:t>3</m:t>
            </m:r>
          </m:sup>
        </m:sSup>
        <m:r>
          <m:rPr>
            <m:sty m:val="p"/>
          </m:rPr>
          <m:t>=</m:t>
        </m:r>
        <m:r>
          <m:t>35</m:t>
        </m:r>
        <m:r>
          <m:rPr>
            <m:sty m:val="p"/>
          </m:rPr>
          <m:t>,</m:t>
        </m:r>
        <m:r>
          <m:t>937</m:t>
        </m:r>
      </m:oMath>
      <w:r>
        <w:t xml:space="preserve">), each defining an output color value for a specific coordinate in the input color cube. The lattice samples the RGB color space uniformly: each R, G, and B channel is divided into 32 intervals, with lattice points at each intersection. For any input color that does not fall exactly on a lattice point, the output is computed through interpolation. Tetrahedral interpolation — the algorithm used by DaVinci Resolve, OpenColorIO, and CINEM8 — is employed as the reference standard</w:t>
      </w:r>
      <w:r>
        <w:t xml:space="preserve"> </w:t>
      </w:r>
      <w:r>
        <w:rPr>
          <w:vertAlign w:val="superscript"/>
        </w:rPr>
        <w:t xml:space="preserve">57</w:t>
      </w:r>
      <w:r>
        <w:t xml:space="preserve">. Tetrahedral interpolation divides the color cube containing the input color into tetrahedra and interpolates using only the four vertices of the containing tetrahedron, limiting the influence of distant lattice points and reducing artifacts in areas with high-dynamic color variations. Industry and academic reports recommend tetrahedral interpolation over trilinear for 3D LUTs due to better numerical behavior at equivalent resolution</w:t>
      </w:r>
      <w:r>
        <w:t xml:space="preserve"> </w:t>
      </w:r>
      <w:r>
        <w:rPr>
          <w:vertAlign w:val="superscript"/>
        </w:rPr>
        <w:t xml:space="preserve">38</w:t>
      </w:r>
      <w:r>
        <w:t xml:space="preserve">.</w:t>
      </w:r>
    </w:p>
    <w:p>
      <w:pPr>
        <w:pStyle w:val="BodyText"/>
      </w:pPr>
      <w:r>
        <w:t xml:space="preserve">The CUBE format stores color values as floating-point numbers between 0 and 1, with a file header specifying lattice size (</w:t>
      </w:r>
      <w:r>
        <w:rPr>
          <w:rStyle w:val="VerbatimChar"/>
        </w:rPr>
        <w:t xml:space="preserve">LUT_3D_SIZE 33</w:t>
      </w:r>
      <w:r>
        <w:t xml:space="preserve">) and domain boundaries (</w:t>
      </w:r>
      <w:r>
        <w:rPr>
          <w:rStyle w:val="VerbatimChar"/>
        </w:rPr>
        <w:t xml:space="preserve">DOMAIN_MIN</w:t>
      </w:r>
      <w:r>
        <w:t xml:space="preserve"> </w:t>
      </w:r>
      <w:r>
        <w:t xml:space="preserve">and</w:t>
      </w:r>
      <w:r>
        <w:t xml:space="preserve"> </w:t>
      </w:r>
      <w:r>
        <w:rPr>
          <w:rStyle w:val="VerbatimChar"/>
        </w:rPr>
        <w:t xml:space="preserve">DOMAIN_MAX</w:t>
      </w:r>
      <w:r>
        <w:t xml:space="preserve">, typically 0.0 to 1.0). This self-describing structure enables universal compatibility without format conversion.</w:t>
      </w:r>
    </w:p>
    <w:p>
      <w:pPr>
        <w:pStyle w:val="BodyText"/>
      </w:pPr>
      <w:r>
        <w:t xml:space="preserve">While 65×65×65 lattices (274,625 triplets) are available for HDR workflows, the 33×33×33 standard represents the optimal balance of precision, file size, and computational performance for the prosumer target segment. For HDR workflows targeting Rec.2020 PQ or Dolby Vision, the library provides 65×65×65 variants as premium tier upgrades.</w:t>
      </w:r>
    </w:p>
    <w:bookmarkEnd w:id="85"/>
    <w:bookmarkStart w:id="86" w:name="Xfd7d5d2f0a4fef8ff0a73f8689d6206f74f8feb"/>
    <w:p>
      <w:pPr>
        <w:pStyle w:val="Heading4"/>
      </w:pPr>
      <w:r>
        <w:t xml:space="preserve">4.3.3 Parameter Completeness: 23+ Adjustments Per Preset</w:t>
      </w:r>
    </w:p>
    <w:p>
      <w:pPr>
        <w:pStyle w:val="FirstParagraph"/>
      </w:pPr>
      <w:r>
        <w:t xml:space="preserve">The parameter completeness of CINEGRADE LAB presets significantly exceeds industry norms. Consumer-grade presets typically adjust 3–7 sliders, leaving substantial creative work to the user. Premium competitors such as Mastin Labs and RNI employ profile-based approaches that operate below the slider level. CINEGRADE LAB occupies a middle position: comprehensive slider-based parameter sets that encode complete creative looks while preserving editability.</w:t>
      </w:r>
    </w:p>
    <w:p>
      <w:pPr>
        <w:pStyle w:val="BodyText"/>
      </w:pPr>
      <w:r>
        <w:t xml:space="preserve">The 23+ parameter minimum per preset ensures each tool delivers a finished aesthetic without requiring extensive post-application adjustment — addressing the</w:t>
      </w:r>
      <w:r>
        <w:t xml:space="preserve"> </w:t>
      </w:r>
      <w:r>
        <w:t xml:space="preserve">“</w:t>
      </w:r>
      <w:r>
        <w:t xml:space="preserve">Tweak Trap</w:t>
      </w:r>
      <w:r>
        <w:t xml:space="preserve">”</w:t>
      </w:r>
      <w:r>
        <w:t xml:space="preserve"> </w:t>
      </w:r>
      <w:r>
        <w:t xml:space="preserve">identified as the core pain point of static presets. Market data indicates that 68% of professional photographers have adopted AI tools because static presets require extensive manual adjustment on each application</w:t>
      </w:r>
      <w:r>
        <w:t xml:space="preserve"> </w:t>
      </w:r>
      <w:r>
        <w:rPr>
          <w:vertAlign w:val="superscript"/>
        </w:rPr>
        <w:t xml:space="preserve">5</w:t>
      </w:r>
      <w:r>
        <w:t xml:space="preserve">. CINEGRADE LAB mitigates this friction through parameter depth: a preset that simultaneously adjusts exposure compensation, tone curve shape, three color grading wheels, HSL targeting, and calibration primaries produces results requiring minimal additional tweaking across diverse source images.</w:t>
      </w:r>
    </w:p>
    <w:bookmarkEnd w:id="86"/>
    <w:bookmarkStart w:id="87" w:name="category-specific-color-transforms"/>
    <w:p>
      <w:pPr>
        <w:pStyle w:val="Heading4"/>
      </w:pPr>
      <w:r>
        <w:t xml:space="preserve">4.3.4 Category-Specific Color Transforms</w:t>
      </w:r>
    </w:p>
    <w:p>
      <w:pPr>
        <w:pStyle w:val="FirstParagraph"/>
      </w:pPr>
      <w:r>
        <w:t xml:space="preserve">Each category cluster implements distinct mathematical color transforms optimized for its creative domain. These transforms are not merely stylistic preferences but structurally different approaches to color manipulation.</w:t>
      </w:r>
    </w:p>
    <w:p>
      <w:pPr>
        <w:pStyle w:val="BodyText"/>
      </w:pPr>
      <w:r>
        <w:rPr>
          <w:bCs/>
          <w:b/>
        </w:rPr>
        <w:t xml:space="preserve">Teal/Orange Split (Cinematic Shadows, Netflix Inspired, Teal &amp; Orange Modern).</w:t>
      </w:r>
      <w:r>
        <w:t xml:space="preserve"> </w:t>
      </w:r>
      <w:r>
        <w:t xml:space="preserve">This transform pushes shadows toward cool cyan/teal while steering skin tones and highlights toward warm orange/amber. The implementation operates through HSL selective adjustment: cyan hue is shifted toward teal, blue shadows are enhanced through a reverse S-curve, and orange saturation is boosted while competing greens and magentas are pulled back</w:t>
      </w:r>
      <w:r>
        <w:t xml:space="preserve"> </w:t>
      </w:r>
      <w:r>
        <w:rPr>
          <w:vertAlign w:val="superscript"/>
        </w:rPr>
        <w:t xml:space="preserve">34</w:t>
      </w:r>
      <w:r>
        <w:t xml:space="preserve">. Color Grading wheels reinforce the separation — Shadows adds blue-green, Highlights adds warm amber, Balance at 40–60 favors shadow toning. The result exploits opponent-process color vision: blue-yellow and red-green receptor pairs create maximum perceptual separation when skin tones are pushed opposite environmental tones</w:t>
      </w:r>
      <w:r>
        <w:t xml:space="preserve"> </w:t>
      </w:r>
      <w:r>
        <w:rPr>
          <w:vertAlign w:val="superscript"/>
        </w:rPr>
        <w:t xml:space="preserve">68</w:t>
      </w:r>
      <w:r>
        <w:t xml:space="preserve">.</w:t>
      </w:r>
    </w:p>
    <w:p>
      <w:pPr>
        <w:pStyle w:val="BodyText"/>
      </w:pPr>
      <w:r>
        <w:rPr>
          <w:bCs/>
          <w:b/>
        </w:rPr>
        <w:t xml:space="preserve">Film Tone Curves (Kodak Portra Emulation, Fuji 400H Emulation, Analog Film).</w:t>
      </w:r>
      <w:r>
        <w:t xml:space="preserve"> </w:t>
      </w:r>
      <w:r>
        <w:t xml:space="preserve">Film tone curves feature three distinctive elements: lifted blacks (far-left anchor raised 5–10% to remap pure black to dark gray), creamy highlight rolloff (top-right anchor pulled down to soften specular highlights), and an S-curve in midtones that increases contrast without crushing shadows</w:t>
      </w:r>
      <w:r>
        <w:t xml:space="preserve"> </w:t>
      </w:r>
      <w:r>
        <w:rPr>
          <w:vertAlign w:val="superscript"/>
        </w:rPr>
        <w:t xml:space="preserve">32</w:t>
      </w:r>
      <w:r>
        <w:t xml:space="preserve">. Portra 400 targets a matte value of 8–12 and shadow lift of +10 to +20, producing the</w:t>
      </w:r>
      <w:r>
        <w:t xml:space="preserve"> </w:t>
      </w:r>
      <w:r>
        <w:t xml:space="preserve">“</w:t>
      </w:r>
      <w:r>
        <w:t xml:space="preserve">milky shadow</w:t>
      </w:r>
      <w:r>
        <w:t xml:space="preserve">”</w:t>
      </w:r>
      <w:r>
        <w:t xml:space="preserve"> </w:t>
      </w:r>
      <w:r>
        <w:t xml:space="preserve">quality. Fuji 400H employs a gentler S-curve with a subtle green-magenta tint axis shift producing its characteristic pastel quality</w:t>
      </w:r>
      <w:r>
        <w:t xml:space="preserve"> </w:t>
      </w:r>
      <w:r>
        <w:rPr>
          <w:vertAlign w:val="superscript"/>
        </w:rPr>
        <w:t xml:space="preserve">7</w:t>
      </w:r>
      <w:r>
        <w:t xml:space="preserve">.</w:t>
      </w:r>
    </w:p>
    <w:p>
      <w:pPr>
        <w:pStyle w:val="BodyText"/>
      </w:pPr>
      <w:r>
        <w:rPr>
          <w:bCs/>
          <w:b/>
        </w:rPr>
        <w:t xml:space="preserve">Cyberpunk Neon Boost (Cyberpunk Cinema, Night Neon).</w:t>
      </w:r>
      <w:r>
        <w:t xml:space="preserve"> </w:t>
      </w:r>
      <w:r>
        <w:t xml:space="preserve">This transform implements a cyan/magenta split fundamentally different from teal/orange. Where teal/orange separates warm skin from cool environments, cyberpunk cyan/magenta creates chromatic tension within the image itself. The transform pushes cyan hues toward electric blue, boosts magenta saturation in mid-brightness regions, and applies aggressive shadow crushing while preserving neon-range luminance values (typically 60–85% IRE). The HSL layer specifically targets the cyan hue range for maximum shift while protecting skin tone frequencies from contamination. Noise-friendly tonal shaping is achieved through reduced clarity values and careful dehaze application to avoid exaggerating digital noise in shadow regions.</w:t>
      </w:r>
    </w:p>
    <w:p>
      <w:pPr>
        <w:pStyle w:val="BodyText"/>
      </w:pPr>
      <w:r>
        <w:rPr>
          <w:bCs/>
          <w:b/>
        </w:rPr>
        <w:t xml:space="preserve">A24 Olive/Ochre Split (A24 Inspired).</w:t>
      </w:r>
      <w:r>
        <w:t xml:space="preserve"> </w:t>
      </w:r>
      <w:r>
        <w:t xml:space="preserve">This transform implements the quantifiable aesthetic signature that defines A24’s visual identity: lifted shadows (+12), muted saturation (~78%), matte blacks (10), and fine grain (14–20). The signature split tone applies olive green (#283828) to shadows and warm ochre (#d4c8a0) to highlights</w:t>
      </w:r>
      <w:r>
        <w:t xml:space="preserve"> </w:t>
      </w:r>
      <w:r>
        <w:rPr>
          <w:vertAlign w:val="superscript"/>
        </w:rPr>
        <w:t xml:space="preserve">65</w:t>
      </w:r>
      <w:r>
        <w:t xml:space="preserve">. The mathematical implementation differs from standard split toning by using the Color Grading Midtones wheel to add a subtle warm-neutral center, preventing the image from feeling either too cool or too warm. The result prioritizes naturalism and imperfection — saturation is reduced uniformly rather than selectively, creating the</w:t>
      </w:r>
      <w:r>
        <w:t xml:space="preserve"> </w:t>
      </w:r>
      <w:r>
        <w:t xml:space="preserve">“</w:t>
      </w:r>
      <w:r>
        <w:t xml:space="preserve">limited palette</w:t>
      </w:r>
      <w:r>
        <w:t xml:space="preserve">”</w:t>
      </w:r>
      <w:r>
        <w:t xml:space="preserve"> </w:t>
      </w:r>
      <w:r>
        <w:t xml:space="preserve">aesthetic where scenes work within 2–3 color families rather than exploiting full-spectrum contrast.</w:t>
      </w:r>
    </w:p>
    <w:p>
      <w:pPr>
        <w:pStyle w:val="BodyText"/>
      </w:pPr>
      <w:r>
        <w:rPr>
          <w:bCs/>
          <w:b/>
        </w:rPr>
        <w:t xml:space="preserve">Halation Simulation (CineStill 800T Emulation).</w:t>
      </w:r>
      <w:r>
        <w:t xml:space="preserve"> </w:t>
      </w:r>
      <w:r>
        <w:t xml:space="preserve">True halation simulation requires wavelength-dependent light scatter modeling rather than the crude Gaussian blur overlays employed by most consumer plugins. The CINEGRADE LAB implementation follows the physically informed algorithm: threshold the image to isolate bright regions above 60–70% luminance, apply exponential kernel blur (sigma ~20 pixels at 1080p equivalent) for natural light bleeding, redshift the blurred layer by multiplying RGB channels [1.0, 0.05, 0.02] to replicate the characteristic red-orange halation glow, and composite back to the original with weighted blending</w:t>
      </w:r>
      <w:r>
        <w:t xml:space="preserve"> </w:t>
      </w:r>
      <w:r>
        <w:rPr>
          <w:vertAlign w:val="superscript"/>
        </w:rPr>
        <w:t xml:space="preserve">67</w:t>
      </w:r>
      <w:r>
        <w:t xml:space="preserve">. This approach was validated in cinema production by Steve Yedlin’s proprietary halation algorithms for</w:t>
      </w:r>
      <w:r>
        <w:t xml:space="preserve"> </w:t>
      </w:r>
      <w:r>
        <w:rPr>
          <w:iCs/>
          <w:i/>
        </w:rPr>
        <w:t xml:space="preserve">Knives Out</w:t>
      </w:r>
      <w:r>
        <w:t xml:space="preserve"> </w:t>
      </w:r>
      <w:r>
        <w:t xml:space="preserve">(2019), which specifically added</w:t>
      </w:r>
      <w:r>
        <w:t xml:space="preserve"> </w:t>
      </w:r>
      <w:r>
        <w:t xml:space="preserve">“</w:t>
      </w:r>
      <w:r>
        <w:t xml:space="preserve">unease and tactility</w:t>
      </w:r>
      <w:r>
        <w:t xml:space="preserve">”</w:t>
      </w:r>
      <w:r>
        <w:t xml:space="preserve"> </w:t>
      </w:r>
      <w:r>
        <w:t xml:space="preserve">through accurate digital halation</w:t>
      </w:r>
      <w:r>
        <w:t xml:space="preserve"> </w:t>
      </w:r>
      <w:r>
        <w:rPr>
          <w:vertAlign w:val="superscript"/>
        </w:rPr>
        <w:t xml:space="preserve">6</w:t>
      </w:r>
      <w:r>
        <w:t xml:space="preserve">.</w:t>
      </w:r>
    </w:p>
    <w:p>
      <w:pPr>
        <w:pStyle w:val="BodyText"/>
      </w:pPr>
      <w:r>
        <w:t xml:space="preserve">The technical architecture is designed for extensibility. As the LUT market evolves toward the projected $758.5 million by 2033</w:t>
      </w:r>
      <w:r>
        <w:t xml:space="preserve"> </w:t>
      </w:r>
      <w:r>
        <w:rPr>
          <w:vertAlign w:val="superscript"/>
        </w:rPr>
        <w:t xml:space="preserve">5</w:t>
      </w:r>
      <w:r>
        <w:t xml:space="preserve">, the modular category structure enables rapid addition of new aesthetic domains. Dual-format distribution (XMP + CUBE) ensures new categories automatically serve both photography and video workflows, while parameterized construction enables AI-assisted customization tools that treat each preset as a starting point for intelligent adaptation.</w:t>
      </w:r>
      <w:r>
        <w:t xml:space="preserve"> </w:t>
      </w:r>
      <w:r>
        <w:t xml:space="preserve">-e</w:t>
      </w:r>
    </w:p>
    <w:p>
      <w:r>
        <w:pict>
          <v:rect style="width:0;height:1.5pt" o:hralign="center" o:hrstd="t" o:hr="t"/>
        </w:pict>
      </w:r>
    </w:p>
    <w:bookmarkEnd w:id="87"/>
    <w:bookmarkEnd w:id="88"/>
    <w:bookmarkEnd w:id="89"/>
    <w:bookmarkStart w:id="104" w:name="premium-preset-library-125-xmp"/>
    <w:p>
      <w:pPr>
        <w:pStyle w:val="Heading2"/>
      </w:pPr>
      <w:r>
        <w:t xml:space="preserve">5. Premium Preset Library: 125 XMP</w:t>
      </w:r>
    </w:p>
    <w:bookmarkStart w:id="93" w:name="preset-design-methodology"/>
    <w:p>
      <w:pPr>
        <w:pStyle w:val="Heading3"/>
      </w:pPr>
      <w:r>
        <w:t xml:space="preserve">5.1 Preset Design Methodology</w:t>
      </w:r>
    </w:p>
    <w:bookmarkStart w:id="90" w:name="X2c96312a9d390942b87c260771abf396280f2bb"/>
    <w:p>
      <w:pPr>
        <w:pStyle w:val="Heading4"/>
      </w:pPr>
      <w:r>
        <w:t xml:space="preserve">5.1.1 Profile-based design vs slider-based: technical moat and cross-camera consistency</w:t>
      </w:r>
    </w:p>
    <w:p>
      <w:pPr>
        <w:pStyle w:val="FirstParagraph"/>
      </w:pPr>
      <w:r>
        <w:t xml:space="preserve">The CINEGRADE LAB preset collection employs a hybrid architecture integrating profile-based color transformation with precision slider calibration. Profile-based presets operate at the RAW interpretation level before any slider enters the pipeline, leveraging hidden data within RAW files to achieve film-like highlight compression that prevents clipping regardless of push intensity</w:t>
      </w:r>
      <w:r>
        <w:t xml:space="preserve"> </w:t>
      </w:r>
      <w:r>
        <w:rPr>
          <w:vertAlign w:val="superscript"/>
        </w:rPr>
        <w:t xml:space="preserve">10</w:t>
      </w:r>
      <w:r>
        <w:t xml:space="preserve"> </w:t>
      </w:r>
      <w:r>
        <w:rPr>
          <w:vertAlign w:val="superscript"/>
        </w:rPr>
        <w:t xml:space="preserve">69</w:t>
      </w:r>
      <w:r>
        <w:t xml:space="preserve">. This approach, pioneered by RNI All Films 5 and The Archetype Process, assigns a color profile — essentially a lookup table — adjustable in strength while leaving all Lightroom sliders available for creative edits</w:t>
      </w:r>
      <w:r>
        <w:t xml:space="preserve"> </w:t>
      </w:r>
      <w:r>
        <w:rPr>
          <w:vertAlign w:val="superscript"/>
        </w:rPr>
        <w:t xml:space="preserve">70</w:t>
      </w:r>
      <w:r>
        <w:t xml:space="preserve">. Camera-specific profiling ensures consistent rendering across Canon, Nikon, Sony, and Fuji bodies by calibrating to each sensor’s unique RAW characteristics</w:t>
      </w:r>
      <w:r>
        <w:t xml:space="preserve"> </w:t>
      </w:r>
      <w:r>
        <w:rPr>
          <w:vertAlign w:val="superscript"/>
        </w:rPr>
        <w:t xml:space="preserve">71</w:t>
      </w:r>
      <w:r>
        <w:t xml:space="preserve">.</w:t>
      </w:r>
    </w:p>
    <w:p>
      <w:pPr>
        <w:pStyle w:val="BodyText"/>
      </w:pPr>
      <w:r>
        <w:t xml:space="preserve">CINEGRADE LAB extends this principle through two-stage transformation: the profile first normalizes RAW data into a predictable working space; calibrated slider adjustments — 15 to 35 individual parameters per preset — then sculpt the aesthetic identity against that normalized base. The combination yields a technical barrier entry-level creators cannot replicate without calibration hardware and colorimetric measurement equipment. DVLOP’s ISO-adaptive technology represents the state of the art: grain and tonal settings automatically adjust based on the image’s native ISO, eliminating the</w:t>
      </w:r>
      <w:r>
        <w:t xml:space="preserve"> </w:t>
      </w:r>
      <w:r>
        <w:t xml:space="preserve">“</w:t>
      </w:r>
      <w:r>
        <w:t xml:space="preserve">Tweak Trap</w:t>
      </w:r>
      <w:r>
        <w:t xml:space="preserve">”</w:t>
      </w:r>
      <w:r>
        <w:t xml:space="preserve"> </w:t>
      </w:r>
      <w:r>
        <w:t xml:space="preserve">of static presets</w:t>
      </w:r>
      <w:r>
        <w:t xml:space="preserve"> </w:t>
      </w:r>
      <w:r>
        <w:rPr>
          <w:vertAlign w:val="superscript"/>
        </w:rPr>
        <w:t xml:space="preserve">49</w:t>
      </w:r>
      <w:r>
        <w:t xml:space="preserve"> </w:t>
      </w:r>
      <w:r>
        <w:rPr>
          <w:vertAlign w:val="superscript"/>
        </w:rPr>
        <w:t xml:space="preserve">72</w:t>
      </w:r>
      <w:r>
        <w:t xml:space="preserve">. CINEGRADE LAB embeds equivalent camera-aware metadata within each XMP file for conditional parameter loading.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Profile-based approach</w:t>
            </w:r>
          </w:p>
        </w:tc>
        <w:tc>
          <w:tcPr/>
          <w:p>
            <w:pPr>
              <w:pStyle w:val="Compact"/>
              <w:jc w:val="left"/>
            </w:pPr>
            <w:r>
              <w:t xml:space="preserve">Slider-only approach</w:t>
            </w:r>
          </w:p>
        </w:tc>
        <w:tc>
          <w:tcPr/>
          <w:p>
            <w:pPr>
              <w:pStyle w:val="Compact"/>
              <w:jc w:val="left"/>
            </w:pPr>
            <w:r>
              <w:t xml:space="preserve">CINEGRADE LAB hybrid</w:t>
            </w:r>
          </w:p>
        </w:tc>
      </w:tr>
      <w:tr>
        <w:tc>
          <w:tcPr/>
          <w:p>
            <w:pPr>
              <w:pStyle w:val="Compact"/>
              <w:jc w:val="left"/>
            </w:pPr>
            <w:r>
              <w:rPr>
                <w:bCs/>
                <w:b/>
              </w:rPr>
              <w:t xml:space="preserve">Processing stage</w:t>
            </w:r>
          </w:p>
        </w:tc>
        <w:tc>
          <w:tcPr/>
          <w:p>
            <w:pPr>
              <w:pStyle w:val="Compact"/>
              <w:jc w:val="left"/>
            </w:pPr>
            <w:r>
              <w:t xml:space="preserve">RAW interpretation level</w:t>
            </w:r>
            <w:r>
              <w:t xml:space="preserve"> </w:t>
            </w:r>
            <w:r>
              <w:rPr>
                <w:vertAlign w:val="superscript"/>
              </w:rPr>
              <w:t xml:space="preserve">70</w:t>
            </w:r>
          </w:p>
        </w:tc>
        <w:tc>
          <w:tcPr/>
          <w:p>
            <w:pPr>
              <w:pStyle w:val="Compact"/>
              <w:jc w:val="left"/>
            </w:pPr>
            <w:r>
              <w:t xml:space="preserve">Post-debayer adjustment</w:t>
            </w:r>
          </w:p>
        </w:tc>
        <w:tc>
          <w:tcPr/>
          <w:p>
            <w:pPr>
              <w:pStyle w:val="Compact"/>
              <w:jc w:val="left"/>
            </w:pPr>
            <w:r>
              <w:t xml:space="preserve">Two-stage: profile + slider</w:t>
            </w:r>
          </w:p>
        </w:tc>
      </w:tr>
      <w:tr>
        <w:tc>
          <w:tcPr/>
          <w:p>
            <w:pPr>
              <w:pStyle w:val="Compact"/>
              <w:jc w:val="left"/>
            </w:pPr>
            <w:r>
              <w:rPr>
                <w:bCs/>
                <w:b/>
              </w:rPr>
              <w:t xml:space="preserve">Highlight behavior</w:t>
            </w:r>
          </w:p>
        </w:tc>
        <w:tc>
          <w:tcPr/>
          <w:p>
            <w:pPr>
              <w:pStyle w:val="Compact"/>
              <w:jc w:val="left"/>
            </w:pPr>
            <w:r>
              <w:t xml:space="preserve">Film-like compression, no clipping</w:t>
            </w:r>
            <w:r>
              <w:t xml:space="preserve"> </w:t>
            </w:r>
            <w:r>
              <w:rPr>
                <w:vertAlign w:val="superscript"/>
              </w:rPr>
              <w:t xml:space="preserve">69</w:t>
            </w:r>
          </w:p>
        </w:tc>
        <w:tc>
          <w:tcPr/>
          <w:p>
            <w:pPr>
              <w:pStyle w:val="Compact"/>
              <w:jc w:val="left"/>
            </w:pPr>
            <w:r>
              <w:t xml:space="preserve">Static curve, clip-prone</w:t>
            </w:r>
          </w:p>
        </w:tc>
        <w:tc>
          <w:tcPr/>
          <w:p>
            <w:pPr>
              <w:pStyle w:val="Compact"/>
              <w:jc w:val="left"/>
            </w:pPr>
            <w:r>
              <w:t xml:space="preserve">Profile-managed rolloff</w:t>
            </w:r>
          </w:p>
        </w:tc>
      </w:tr>
      <w:tr>
        <w:tc>
          <w:tcPr/>
          <w:p>
            <w:pPr>
              <w:pStyle w:val="Compact"/>
              <w:jc w:val="left"/>
            </w:pPr>
            <w:r>
              <w:rPr>
                <w:bCs/>
                <w:b/>
              </w:rPr>
              <w:t xml:space="preserve">Cross-camera consistency</w:t>
            </w:r>
          </w:p>
        </w:tc>
        <w:tc>
          <w:tcPr/>
          <w:p>
            <w:pPr>
              <w:pStyle w:val="Compact"/>
              <w:jc w:val="left"/>
            </w:pPr>
            <w:r>
              <w:t xml:space="preserve">Camera-profiled, calibrated</w:t>
            </w:r>
            <w:r>
              <w:t xml:space="preserve"> </w:t>
            </w:r>
            <w:r>
              <w:rPr>
                <w:vertAlign w:val="superscript"/>
              </w:rPr>
              <w:t xml:space="preserve">71</w:t>
            </w:r>
          </w:p>
        </w:tc>
        <w:tc>
          <w:tcPr/>
          <w:p>
            <w:pPr>
              <w:pStyle w:val="Compact"/>
              <w:jc w:val="left"/>
            </w:pPr>
            <w:r>
              <w:t xml:space="preserve">Generic, variable results</w:t>
            </w:r>
          </w:p>
        </w:tc>
        <w:tc>
          <w:tcPr/>
          <w:p>
            <w:pPr>
              <w:pStyle w:val="Compact"/>
              <w:jc w:val="left"/>
            </w:pPr>
            <w:r>
              <w:t xml:space="preserve">Camera-conditional metadata</w:t>
            </w:r>
          </w:p>
        </w:tc>
      </w:tr>
      <w:tr>
        <w:tc>
          <w:tcPr/>
          <w:p>
            <w:pPr>
              <w:pStyle w:val="Compact"/>
              <w:jc w:val="left"/>
            </w:pPr>
            <w:r>
              <w:rPr>
                <w:bCs/>
                <w:b/>
              </w:rPr>
              <w:t xml:space="preserve">ISO adaptation</w:t>
            </w:r>
          </w:p>
        </w:tc>
        <w:tc>
          <w:tcPr/>
          <w:p>
            <w:pPr>
              <w:pStyle w:val="Compact"/>
              <w:jc w:val="left"/>
            </w:pPr>
            <w:r>
              <w:t xml:space="preserve">ISO-adaptive grain/tonal</w:t>
            </w:r>
            <w:r>
              <w:t xml:space="preserve"> </w:t>
            </w:r>
            <w:r>
              <w:rPr>
                <w:vertAlign w:val="superscript"/>
              </w:rPr>
              <w:t xml:space="preserve">72</w:t>
            </w:r>
          </w:p>
        </w:tc>
        <w:tc>
          <w:tcPr/>
          <w:p>
            <w:pPr>
              <w:pStyle w:val="Compact"/>
              <w:jc w:val="left"/>
            </w:pPr>
            <w:r>
              <w:t xml:space="preserve">Static regardless of ISO</w:t>
            </w:r>
          </w:p>
        </w:tc>
        <w:tc>
          <w:tcPr/>
          <w:p>
            <w:pPr>
              <w:pStyle w:val="Compact"/>
              <w:jc w:val="left"/>
            </w:pPr>
            <w:r>
              <w:t xml:space="preserve">Embedded ISO sensitivity tables</w:t>
            </w:r>
          </w:p>
        </w:tc>
      </w:tr>
      <w:tr>
        <w:tc>
          <w:tcPr/>
          <w:p>
            <w:pPr>
              <w:pStyle w:val="Compact"/>
              <w:jc w:val="left"/>
            </w:pPr>
            <w:r>
              <w:rPr>
                <w:bCs/>
                <w:b/>
              </w:rPr>
              <w:t xml:space="preserve">Slider availability</w:t>
            </w:r>
          </w:p>
        </w:tc>
        <w:tc>
          <w:tcPr/>
          <w:p>
            <w:pPr>
              <w:pStyle w:val="Compact"/>
              <w:jc w:val="left"/>
            </w:pPr>
            <w:r>
              <w:t xml:space="preserve">All sliders free for editing</w:t>
            </w:r>
            <w:r>
              <w:t xml:space="preserve"> </w:t>
            </w:r>
            <w:r>
              <w:rPr>
                <w:vertAlign w:val="superscript"/>
              </w:rPr>
              <w:t xml:space="preserve">10</w:t>
            </w:r>
          </w:p>
        </w:tc>
        <w:tc>
          <w:tcPr/>
          <w:p>
            <w:pPr>
              <w:pStyle w:val="Compact"/>
              <w:jc w:val="left"/>
            </w:pPr>
            <w:r>
              <w:t xml:space="preserve">Locked by preset values</w:t>
            </w:r>
          </w:p>
        </w:tc>
        <w:tc>
          <w:tcPr/>
          <w:p>
            <w:pPr>
              <w:pStyle w:val="Compact"/>
              <w:jc w:val="left"/>
            </w:pPr>
            <w:r>
              <w:t xml:space="preserve">Profile locked, sliders adjustable</w:t>
            </w:r>
          </w:p>
        </w:tc>
      </w:tr>
      <w:tr>
        <w:tc>
          <w:tcPr/>
          <w:p>
            <w:pPr>
              <w:pStyle w:val="Compact"/>
              <w:jc w:val="left"/>
            </w:pPr>
            <w:r>
              <w:rPr>
                <w:bCs/>
                <w:b/>
              </w:rPr>
              <w:t xml:space="preserve">Piracy resistance</w:t>
            </w:r>
          </w:p>
        </w:tc>
        <w:tc>
          <w:tcPr/>
          <w:p>
            <w:pPr>
              <w:pStyle w:val="Compact"/>
              <w:jc w:val="left"/>
            </w:pPr>
            <w:r>
              <w:t xml:space="preserve">Harder to reverse-engineer</w:t>
            </w:r>
          </w:p>
        </w:tc>
        <w:tc>
          <w:tcPr/>
          <w:p>
            <w:pPr>
              <w:pStyle w:val="Compact"/>
              <w:jc w:val="left"/>
            </w:pPr>
            <w:r>
              <w:t xml:space="preserve">Trivial to extract</w:t>
            </w:r>
          </w:p>
        </w:tc>
        <w:tc>
          <w:tcPr/>
          <w:p>
            <w:pPr>
              <w:pStyle w:val="Compact"/>
              <w:jc w:val="left"/>
            </w:pPr>
            <w:r>
              <w:t xml:space="preserve">Profile + encrypted metadata</w:t>
            </w:r>
          </w:p>
        </w:tc>
      </w:tr>
      <w:tr>
        <w:tc>
          <w:tcPr/>
          <w:p>
            <w:pPr>
              <w:pStyle w:val="Compact"/>
              <w:jc w:val="left"/>
            </w:pPr>
            <w:r>
              <w:rPr>
                <w:bCs/>
                <w:b/>
              </w:rPr>
              <w:t xml:space="preserve">Technical barrier</w:t>
            </w:r>
          </w:p>
        </w:tc>
        <w:tc>
          <w:tcPr/>
          <w:p>
            <w:pPr>
              <w:pStyle w:val="Compact"/>
              <w:jc w:val="left"/>
            </w:pPr>
            <w:r>
              <w:t xml:space="preserve">Requires calibration hardware</w:t>
            </w:r>
          </w:p>
        </w:tc>
        <w:tc>
          <w:tcPr/>
          <w:p>
            <w:pPr>
              <w:pStyle w:val="Compact"/>
              <w:jc w:val="left"/>
            </w:pPr>
            <w:r>
              <w:t xml:space="preserve">Software only</w:t>
            </w:r>
          </w:p>
        </w:tc>
        <w:tc>
          <w:tcPr/>
          <w:p>
            <w:pPr>
              <w:pStyle w:val="Compact"/>
              <w:jc w:val="left"/>
            </w:pPr>
            <w:r>
              <w:t xml:space="preserve">Calibration + colorimetric validation</w:t>
            </w:r>
          </w:p>
        </w:tc>
      </w:tr>
    </w:tbl>
    <w:p>
      <w:pPr>
        <w:pStyle w:val="BodyText"/>
      </w:pPr>
      <w:r>
        <w:t xml:space="preserve">The hybrid approach positions the collection above the consumer tier (USD 7–50) while maintaining the accessibility that professional plugins above USD 300 sacrifice. The premium preset market spans USD 59–200 per pack, with RNI All Films 5 Pro at USD 192 and DVLOP creator packs at USD 200 occupying the upper bound through profile-based differentiation</w:t>
      </w:r>
      <w:r>
        <w:t xml:space="preserve"> </w:t>
      </w:r>
      <w:r>
        <w:rPr>
          <w:vertAlign w:val="superscript"/>
        </w:rPr>
        <w:t xml:space="preserve">5</w:t>
      </w:r>
      <w:r>
        <w:t xml:space="preserve"> </w:t>
      </w:r>
      <w:r>
        <w:rPr>
          <w:vertAlign w:val="superscript"/>
        </w:rPr>
        <w:t xml:space="preserve">6</w:t>
      </w:r>
      <w:r>
        <w:t xml:space="preserve">.</w:t>
      </w:r>
    </w:p>
    <w:bookmarkEnd w:id="90"/>
    <w:bookmarkStart w:id="91" w:name="X88651b7f41afcdf898a1fd960b05a200b608b81"/>
    <w:p>
      <w:pPr>
        <w:pStyle w:val="Heading4"/>
      </w:pPr>
      <w:r>
        <w:t xml:space="preserve">5.1.2 Naming convention: cinematic emotional specificity</w:t>
      </w:r>
    </w:p>
    <w:p>
      <w:pPr>
        <w:pStyle w:val="FirstParagraph"/>
      </w:pPr>
      <w:r>
        <w:t xml:space="preserve">Each preset name evokes a specific emotional and visual context rather than a generic functional descriptor. Academic research on nostalgia psychology confirms users pay 2–3x more for presets triggering specific memories —</w:t>
      </w:r>
      <w:r>
        <w:t xml:space="preserve"> </w:t>
      </w:r>
      <w:r>
        <w:t xml:space="preserve">“</w:t>
      </w:r>
      <w:r>
        <w:t xml:space="preserve">summer 1995</w:t>
      </w:r>
      <w:r>
        <w:t xml:space="preserve">”</w:t>
      </w:r>
      <w:r>
        <w:t xml:space="preserve"> </w:t>
      </w:r>
      <w:r>
        <w:t xml:space="preserve">rather than</w:t>
      </w:r>
      <w:r>
        <w:t xml:space="preserve"> </w:t>
      </w:r>
      <w:r>
        <w:t xml:space="preserve">“</w:t>
      </w:r>
      <w:r>
        <w:t xml:space="preserve">warm vintage</w:t>
      </w:r>
      <w:r>
        <w:t xml:space="preserve">”</w:t>
      </w:r>
      <w:r>
        <w:t xml:space="preserve"> </w:t>
      </w:r>
      <w:r>
        <w:t xml:space="preserve">— because the purchase functions as an identity signal as much as a technical tool [^PMC12824257^]. Peter McKinnon’s</w:t>
      </w:r>
      <w:r>
        <w:t xml:space="preserve"> </w:t>
      </w:r>
      <w:r>
        <w:t xml:space="preserve">“</w:t>
      </w:r>
      <w:r>
        <w:t xml:space="preserve">Fade Out</w:t>
      </w:r>
      <w:r>
        <w:t xml:space="preserve">”</w:t>
      </w:r>
      <w:r>
        <w:t xml:space="preserve"> </w:t>
      </w:r>
      <w:r>
        <w:t xml:space="preserve">and</w:t>
      </w:r>
      <w:r>
        <w:t xml:space="preserve"> </w:t>
      </w:r>
      <w:r>
        <w:t xml:space="preserve">“</w:t>
      </w:r>
      <w:r>
        <w:t xml:space="preserve">Kodak Killer</w:t>
      </w:r>
      <w:r>
        <w:t xml:space="preserve">”</w:t>
      </w:r>
      <w:r>
        <w:t xml:space="preserve"> </w:t>
      </w:r>
      <w:r>
        <w:t xml:space="preserve">demonstrate that narrative specificity drives memorability and perceived value</w:t>
      </w:r>
      <w:r>
        <w:t xml:space="preserve"> </w:t>
      </w:r>
      <w:r>
        <w:rPr>
          <w:vertAlign w:val="superscript"/>
        </w:rPr>
        <w:t xml:space="preserve">21</w:t>
      </w:r>
      <w:r>
        <w:t xml:space="preserve">.</w:t>
      </w:r>
    </w:p>
    <w:p>
      <w:pPr>
        <w:pStyle w:val="BodyText"/>
      </w:pPr>
      <w:r>
        <w:t xml:space="preserve">The CINEGRADE LAB naming system operates on three tiers: an</w:t>
      </w:r>
      <w:r>
        <w:t xml:space="preserve"> </w:t>
      </w:r>
      <w:r>
        <w:rPr>
          <w:iCs/>
          <w:i/>
        </w:rPr>
        <w:t xml:space="preserve">evocative adjective</w:t>
      </w:r>
      <w:r>
        <w:t xml:space="preserve"> </w:t>
      </w:r>
      <w:r>
        <w:t xml:space="preserve">establishing atmosphere (</w:t>
      </w:r>
      <w:r>
        <w:t xml:space="preserve">“</w:t>
      </w:r>
      <w:r>
        <w:t xml:space="preserve">Nocturne,</w:t>
      </w:r>
      <w:r>
        <w:t xml:space="preserve">”</w:t>
      </w:r>
      <w:r>
        <w:t xml:space="preserve"> </w:t>
      </w:r>
      <w:r>
        <w:t xml:space="preserve">“</w:t>
      </w:r>
      <w:r>
        <w:t xml:space="preserve">Velvet,</w:t>
      </w:r>
      <w:r>
        <w:t xml:space="preserve">”</w:t>
      </w:r>
      <w:r>
        <w:t xml:space="preserve"> </w:t>
      </w:r>
      <w:r>
        <w:t xml:space="preserve">“</w:t>
      </w:r>
      <w:r>
        <w:t xml:space="preserve">Champagne</w:t>
      </w:r>
      <w:r>
        <w:t xml:space="preserve">”</w:t>
      </w:r>
      <w:r>
        <w:t xml:space="preserve">), a</w:t>
      </w:r>
      <w:r>
        <w:t xml:space="preserve"> </w:t>
      </w:r>
      <w:r>
        <w:rPr>
          <w:iCs/>
          <w:i/>
        </w:rPr>
        <w:t xml:space="preserve">descriptive noun</w:t>
      </w:r>
      <w:r>
        <w:t xml:space="preserve"> </w:t>
      </w:r>
      <w:r>
        <w:t xml:space="preserve">anchoring the look to a visual phenomenon (</w:t>
      </w:r>
      <w:r>
        <w:t xml:space="preserve">“</w:t>
      </w:r>
      <w:r>
        <w:t xml:space="preserve">Lux</w:t>
      </w:r>
      <w:r>
        <w:t xml:space="preserve">”</w:t>
      </w:r>
      <w:r>
        <w:t xml:space="preserve"> </w:t>
      </w:r>
      <w:r>
        <w:t xml:space="preserve">for luminance,</w:t>
      </w:r>
      <w:r>
        <w:t xml:space="preserve"> </w:t>
      </w:r>
      <w:r>
        <w:t xml:space="preserve">“</w:t>
      </w:r>
      <w:r>
        <w:t xml:space="preserve">Noir</w:t>
      </w:r>
      <w:r>
        <w:t xml:space="preserve">”</w:t>
      </w:r>
      <w:r>
        <w:t xml:space="preserve"> </w:t>
      </w:r>
      <w:r>
        <w:t xml:space="preserve">for shadow), and a</w:t>
      </w:r>
      <w:r>
        <w:t xml:space="preserve"> </w:t>
      </w:r>
      <w:r>
        <w:rPr>
          <w:iCs/>
          <w:i/>
        </w:rPr>
        <w:t xml:space="preserve">three-digit index</w:t>
      </w:r>
      <w:r>
        <w:t xml:space="preserve"> </w:t>
      </w:r>
      <w:r>
        <w:t xml:space="preserve">(000–004) preserving sortability with underscore delimiters for cross-platform filename compatibility. The result —</w:t>
      </w:r>
      <w:r>
        <w:t xml:space="preserve"> </w:t>
      </w:r>
      <w:r>
        <w:t xml:space="preserve">“</w:t>
      </w:r>
      <w:r>
        <w:t xml:space="preserve">Nocturne_Lux_000</w:t>
      </w:r>
      <w:r>
        <w:t xml:space="preserve">”</w:t>
      </w:r>
      <w:r>
        <w:t xml:space="preserve"> </w:t>
      </w:r>
      <w:r>
        <w:t xml:space="preserve">— communicates sophistication and cinematic intent before the preset is applied.</w:t>
      </w:r>
    </w:p>
    <w:bookmarkEnd w:id="91"/>
    <w:bookmarkStart w:id="92" w:name="X75ce98d633042bd789f45c16d07efcf6e0278d3"/>
    <w:p>
      <w:pPr>
        <w:pStyle w:val="Heading4"/>
      </w:pPr>
      <w:r>
        <w:t xml:space="preserve">5.1.3 Parameter mapping: Exposure, Contrast, HSL, SplitToning, Grain, ColorGrade</w:t>
      </w:r>
    </w:p>
    <w:p>
      <w:pPr>
        <w:pStyle w:val="FirstParagraph"/>
      </w:pPr>
      <w:r>
        <w:t xml:space="preserve">Each of the 125 presets maps adjustments across eight parameter domains. The Exposure module calibrates luminance through</w:t>
      </w:r>
      <w:r>
        <w:t xml:space="preserve"> </w:t>
      </w:r>
      <w:r>
        <w:rPr>
          <w:rStyle w:val="VerbatimChar"/>
        </w:rPr>
        <w:t xml:space="preserve">crs:Exposure2012</w:t>
      </w:r>
      <w:r>
        <w:t xml:space="preserve"> </w:t>
      </w:r>
      <w:r>
        <w:t xml:space="preserve">with adjustments from −0.50 to +0.70 EV depending on category intent. Contrast is shaped through both the</w:t>
      </w:r>
      <w:r>
        <w:t xml:space="preserve"> </w:t>
      </w:r>
      <w:r>
        <w:rPr>
          <w:rStyle w:val="VerbatimChar"/>
        </w:rPr>
        <w:t xml:space="preserve">crs:Contrast2012</w:t>
      </w:r>
      <w:r>
        <w:t xml:space="preserve"> </w:t>
      </w:r>
      <w:r>
        <w:t xml:space="preserve">slider and parametric tone curves controlling shadow lift (0 to +22) and highlight compression (−30 to +5). The HSL panel provides 24 independent adjustments — Hue, Saturation, and Luminance each across eight color families (Red, Orange, Yellow, Green, Aqua, Blue, Purple, Magenta) — enabling per-channel precision for film stock emulation. Split toning is implemented through the Color Grading panel’s three wheels (Shadows, Midtones, Highlights) with Hue, Saturation, and Luminance controls plus a Balance slider determining the crossover point between shadow and highlight toning</w:t>
      </w:r>
      <w:r>
        <w:t xml:space="preserve"> </w:t>
      </w:r>
      <w:r>
        <w:rPr>
          <w:vertAlign w:val="superscript"/>
        </w:rPr>
        <w:t xml:space="preserve">36</w:t>
      </w:r>
      <w:r>
        <w:t xml:space="preserve">. Grain synthesis uses three parameters (Amount, Size, Frequency) producing organic texture distinct from digital noise, with values calibrated to match specific film stocks’ T-grain characteristics.</w:t>
      </w:r>
    </w:p>
    <w:bookmarkEnd w:id="92"/>
    <w:bookmarkEnd w:id="93"/>
    <w:bookmarkStart w:id="99" w:name="category-deep-dives"/>
    <w:p>
      <w:pPr>
        <w:pStyle w:val="Heading3"/>
      </w:pPr>
      <w:r>
        <w:t xml:space="preserve">5.2 Category Deep Dives</w:t>
      </w:r>
    </w:p>
    <w:bookmarkStart w:id="94" w:name="Xedcec925ab66c3757e327d0ee607268c5fe08f3"/>
    <w:p>
      <w:pPr>
        <w:pStyle w:val="Heading4"/>
      </w:pPr>
      <w:r>
        <w:t xml:space="preserve">5.2.1 Luxury Editorial: rich blacks, soft contrast, warm skin tones</w:t>
      </w:r>
    </w:p>
    <w:p>
      <w:pPr>
        <w:pStyle w:val="FirstParagraph"/>
      </w:pPr>
      <w:r>
        <w:t xml:space="preserve">The Luxury Editorial category —</w:t>
      </w:r>
      <w:r>
        <w:t xml:space="preserve"> </w:t>
      </w:r>
      <w:r>
        <w:rPr>
          <w:iCs/>
          <w:i/>
        </w:rPr>
        <w:t xml:space="preserve">Nocturne Lux</w:t>
      </w:r>
      <w:r>
        <w:t xml:space="preserve">,</w:t>
      </w:r>
      <w:r>
        <w:t xml:space="preserve"> </w:t>
      </w:r>
      <w:r>
        <w:rPr>
          <w:iCs/>
          <w:i/>
        </w:rPr>
        <w:t xml:space="preserve">Velvet Noir</w:t>
      </w:r>
      <w:r>
        <w:t xml:space="preserve">,</w:t>
      </w:r>
      <w:r>
        <w:t xml:space="preserve"> </w:t>
      </w:r>
      <w:r>
        <w:rPr>
          <w:iCs/>
          <w:i/>
        </w:rPr>
        <w:t xml:space="preserve">Opulence</w:t>
      </w:r>
      <w:r>
        <w:t xml:space="preserve">,</w:t>
      </w:r>
      <w:r>
        <w:t xml:space="preserve"> </w:t>
      </w:r>
      <w:r>
        <w:rPr>
          <w:iCs/>
          <w:i/>
        </w:rPr>
        <w:t xml:space="preserve">Silk Embers</w:t>
      </w:r>
      <w:r>
        <w:t xml:space="preserve">, and</w:t>
      </w:r>
      <w:r>
        <w:t xml:space="preserve"> </w:t>
      </w:r>
      <w:r>
        <w:rPr>
          <w:iCs/>
          <w:i/>
        </w:rPr>
        <w:t xml:space="preserve">Champagne Dusk</w:t>
      </w:r>
      <w:r>
        <w:t xml:space="preserve"> </w:t>
      </w:r>
      <w:r>
        <w:t xml:space="preserve">— targets the convergence between luxury wedding photography and editorial fashion, where lifted shadows, desaturated colors, and warm skin tones dominate</w:t>
      </w:r>
      <w:r>
        <w:t xml:space="preserve"> </w:t>
      </w:r>
      <w:r>
        <w:rPr>
          <w:vertAlign w:val="superscript"/>
        </w:rPr>
        <w:t xml:space="preserve">16</w:t>
      </w:r>
      <w:r>
        <w:t xml:space="preserve">. Technical signatures include soft S-curves with black-point lifts of 10–15 points for</w:t>
      </w:r>
      <w:r>
        <w:t xml:space="preserve"> </w:t>
      </w:r>
      <w:r>
        <w:t xml:space="preserve">“</w:t>
      </w:r>
      <w:r>
        <w:t xml:space="preserve">milky</w:t>
      </w:r>
      <w:r>
        <w:t xml:space="preserve">”</w:t>
      </w:r>
      <w:r>
        <w:t xml:space="preserve"> </w:t>
      </w:r>
      <w:r>
        <w:t xml:space="preserve">shadow quality characteristic of medium-format film</w:t>
      </w:r>
      <w:r>
        <w:t xml:space="preserve"> </w:t>
      </w:r>
      <w:r>
        <w:rPr>
          <w:vertAlign w:val="superscript"/>
        </w:rPr>
        <w:t xml:space="preserve">55</w:t>
      </w:r>
      <w:r>
        <w:t xml:space="preserve">. Skin tone handling follows Kodak Portra 400’s neutral-to-warm science: reds that do not oversaturate toward orange, blues that remain clean and separate from greens [^KubusPhoto^]. Split toning applies warm amber to highlights (Hue 45–55°, Saturation 8–12) and cool teal to shadows (Hue 210–220°, Saturation 6–10), with the Balance slider weighted toward shadows to preserve editorial depth.</w:t>
      </w:r>
    </w:p>
    <w:bookmarkEnd w:id="94"/>
    <w:bookmarkStart w:id="95" w:name="X76c1b819de456b24ce5b8b02fac6f7e8f0f715c"/>
    <w:p>
      <w:pPr>
        <w:pStyle w:val="Heading4"/>
      </w:pPr>
      <w:r>
        <w:t xml:space="preserve">5.2.2 Film Emulation: Kodak Portra, Fuji 400H, and CineStill 800T variants</w:t>
      </w:r>
    </w:p>
    <w:p>
      <w:pPr>
        <w:pStyle w:val="FirstParagraph"/>
      </w:pPr>
      <w:r>
        <w:t xml:space="preserve">Film emulation commands USD 82–200 per pack in the premium market, with dedicated companies achieving pricing through scientific accuracy in replicating specific film stocks</w:t>
      </w:r>
      <w:r>
        <w:t xml:space="preserve"> </w:t>
      </w:r>
      <w:r>
        <w:rPr>
          <w:vertAlign w:val="superscript"/>
        </w:rPr>
        <w:t xml:space="preserve">55</w:t>
      </w:r>
      <w:r>
        <w:t xml:space="preserve">. The CINEGRADE LAB suite spans 15 presets across three subcategories.</w:t>
      </w:r>
    </w:p>
    <w:p>
      <w:pPr>
        <w:pStyle w:val="BodyText"/>
      </w:pPr>
      <w:r>
        <w:t xml:space="preserve">The Kodak Portra subcategory —</w:t>
      </w:r>
      <w:r>
        <w:t xml:space="preserve"> </w:t>
      </w:r>
      <w:r>
        <w:rPr>
          <w:iCs/>
          <w:i/>
        </w:rPr>
        <w:t xml:space="preserve">Portra 160</w:t>
      </w:r>
      <w:r>
        <w:t xml:space="preserve">,</w:t>
      </w:r>
      <w:r>
        <w:t xml:space="preserve"> </w:t>
      </w:r>
      <w:r>
        <w:rPr>
          <w:iCs/>
          <w:i/>
        </w:rPr>
        <w:t xml:space="preserve">Portra 400</w:t>
      </w:r>
      <w:r>
        <w:t xml:space="preserve">,</w:t>
      </w:r>
      <w:r>
        <w:t xml:space="preserve"> </w:t>
      </w:r>
      <w:r>
        <w:rPr>
          <w:iCs/>
          <w:i/>
        </w:rPr>
        <w:t xml:space="preserve">Portra 800</w:t>
      </w:r>
      <w:r>
        <w:t xml:space="preserve">,</w:t>
      </w:r>
      <w:r>
        <w:t xml:space="preserve"> </w:t>
      </w:r>
      <w:r>
        <w:rPr>
          <w:iCs/>
          <w:i/>
        </w:rPr>
        <w:t xml:space="preserve">Portra Warm</w:t>
      </w:r>
      <w:r>
        <w:t xml:space="preserve">, and</w:t>
      </w:r>
      <w:r>
        <w:t xml:space="preserve"> </w:t>
      </w:r>
      <w:r>
        <w:rPr>
          <w:iCs/>
          <w:i/>
        </w:rPr>
        <w:t xml:space="preserve">Portra Skin</w:t>
      </w:r>
      <w:r>
        <w:t xml:space="preserve"> </w:t>
      </w:r>
      <w:r>
        <w:t xml:space="preserve">— reproduces T-grain emulsion’s soft contrast and lifted blacks (+10 to +20). Portra 400 maintains restrained saturation where consumer films punch color; Portra 800 adds Vision2 motion-picture lineage for mixed lighting warmth [^KubusPhoto^] [^AdamInsights^]. The Fuji 400H subcategory —</w:t>
      </w:r>
      <w:r>
        <w:t xml:space="preserve"> </w:t>
      </w:r>
      <w:r>
        <w:rPr>
          <w:iCs/>
          <w:i/>
        </w:rPr>
        <w:t xml:space="preserve">Fuji Pastel</w:t>
      </w:r>
      <w:r>
        <w:t xml:space="preserve">,</w:t>
      </w:r>
      <w:r>
        <w:t xml:space="preserve"> </w:t>
      </w:r>
      <w:r>
        <w:rPr>
          <w:iCs/>
          <w:i/>
        </w:rPr>
        <w:t xml:space="preserve">400H Soft</w:t>
      </w:r>
      <w:r>
        <w:t xml:space="preserve">,</w:t>
      </w:r>
      <w:r>
        <w:t xml:space="preserve"> </w:t>
      </w:r>
      <w:r>
        <w:rPr>
          <w:iCs/>
          <w:i/>
        </w:rPr>
        <w:t xml:space="preserve">Pro Green</w:t>
      </w:r>
      <w:r>
        <w:t xml:space="preserve">,</w:t>
      </w:r>
      <w:r>
        <w:t xml:space="preserve"> </w:t>
      </w:r>
      <w:r>
        <w:rPr>
          <w:iCs/>
          <w:i/>
        </w:rPr>
        <w:t xml:space="preserve">Fuji Air</w:t>
      </w:r>
      <w:r>
        <w:t xml:space="preserve">, and</w:t>
      </w:r>
      <w:r>
        <w:t xml:space="preserve"> </w:t>
      </w:r>
      <w:r>
        <w:rPr>
          <w:iCs/>
          <w:i/>
        </w:rPr>
        <w:t xml:space="preserve">Sakura Tone</w:t>
      </w:r>
      <w:r>
        <w:t xml:space="preserve"> </w:t>
      </w:r>
      <w:r>
        <w:t xml:space="preserve">— targets the discontinued stock whose only remaining access is digital emulation. Three characteristics differentiate 400H: muted blue-green shadow rendering, a greenish-pink midtone cast that softens skin, and gentle foliage desaturation [^LegendaryPresets^]. The critical green-magenta tint axis runs +8 to +15 with slight overexposure (+0.3 to +0.5 EV) before application. The CineStill 800T subcategory —</w:t>
      </w:r>
      <w:r>
        <w:t xml:space="preserve"> </w:t>
      </w:r>
      <w:r>
        <w:rPr>
          <w:iCs/>
          <w:i/>
        </w:rPr>
        <w:t xml:space="preserve">800T Tungsten</w:t>
      </w:r>
      <w:r>
        <w:t xml:space="preserve">,</w:t>
      </w:r>
      <w:r>
        <w:t xml:space="preserve"> </w:t>
      </w:r>
      <w:r>
        <w:rPr>
          <w:iCs/>
          <w:i/>
        </w:rPr>
        <w:t xml:space="preserve">CineStill Night</w:t>
      </w:r>
      <w:r>
        <w:t xml:space="preserve">,</w:t>
      </w:r>
      <w:r>
        <w:t xml:space="preserve"> </w:t>
      </w:r>
      <w:r>
        <w:rPr>
          <w:iCs/>
          <w:i/>
        </w:rPr>
        <w:t xml:space="preserve">Halation Glow</w:t>
      </w:r>
      <w:r>
        <w:t xml:space="preserve">,</w:t>
      </w:r>
      <w:r>
        <w:t xml:space="preserve"> </w:t>
      </w:r>
      <w:r>
        <w:rPr>
          <w:iCs/>
          <w:i/>
        </w:rPr>
        <w:t xml:space="preserve">Tungsten Film</w:t>
      </w:r>
      <w:r>
        <w:t xml:space="preserve">, and</w:t>
      </w:r>
      <w:r>
        <w:t xml:space="preserve"> </w:t>
      </w:r>
      <w:r>
        <w:rPr>
          <w:iCs/>
          <w:i/>
        </w:rPr>
        <w:t xml:space="preserve">Night Still</w:t>
      </w:r>
      <w:r>
        <w:t xml:space="preserve"> </w:t>
      </w:r>
      <w:r>
        <w:t xml:space="preserve">— reproduces the remjet-less motion picture film where light reflects off the film base and re-exposes the emulsion from behind, creating the signature red-orange glow [^KubusPhoto^] [^Darkroom^]. Digital simulation employs the standard algorithm: threshold, exponential kernel blur, redshift by [1.0, 0.05, 0.02], and weighted blending</w:t>
      </w:r>
      <w:r>
        <w:t xml:space="preserve"> </w:t>
      </w:r>
      <w:r>
        <w:rPr>
          <w:vertAlign w:val="superscript"/>
        </w:rPr>
        <w:t xml:space="preserve">67</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Preset Name</w:t>
            </w:r>
          </w:p>
        </w:tc>
        <w:tc>
          <w:tcPr/>
          <w:p>
            <w:pPr>
              <w:pStyle w:val="Compact"/>
              <w:jc w:val="left"/>
            </w:pPr>
            <w:r>
              <w:t xml:space="preserve">Category</w:t>
            </w:r>
          </w:p>
        </w:tc>
        <w:tc>
          <w:tcPr/>
          <w:p>
            <w:pPr>
              <w:pStyle w:val="Compact"/>
              <w:jc w:val="left"/>
            </w:pPr>
            <w:r>
              <w:t xml:space="preserve">Stock Basis</w:t>
            </w:r>
          </w:p>
        </w:tc>
        <w:tc>
          <w:tcPr/>
          <w:p>
            <w:pPr>
              <w:pStyle w:val="Compact"/>
              <w:jc w:val="left"/>
            </w:pPr>
            <w:r>
              <w:t xml:space="preserve">Key Emulation Target</w:t>
            </w:r>
          </w:p>
        </w:tc>
        <w:tc>
          <w:tcPr/>
          <w:p>
            <w:pPr>
              <w:pStyle w:val="Compact"/>
              <w:jc w:val="left"/>
            </w:pPr>
            <w:r>
              <w:t xml:space="preserve">Shadow Lift</w:t>
            </w:r>
          </w:p>
        </w:tc>
        <w:tc>
          <w:tcPr/>
          <w:p>
            <w:pPr>
              <w:pStyle w:val="Compact"/>
              <w:jc w:val="left"/>
            </w:pPr>
            <w:r>
              <w:t xml:space="preserve">Grain Level</w:t>
            </w:r>
          </w:p>
        </w:tc>
      </w:tr>
      <w:tr>
        <w:tc>
          <w:tcPr/>
          <w:p>
            <w:pPr>
              <w:pStyle w:val="Compact"/>
              <w:jc w:val="left"/>
            </w:pPr>
            <w:r>
              <w:t xml:space="preserve">Portra 160</w:t>
            </w:r>
          </w:p>
        </w:tc>
        <w:tc>
          <w:tcPr/>
          <w:p>
            <w:pPr>
              <w:pStyle w:val="Compact"/>
              <w:jc w:val="left"/>
            </w:pPr>
            <w:r>
              <w:t xml:space="preserve">Kodak Portra</w:t>
            </w:r>
          </w:p>
        </w:tc>
        <w:tc>
          <w:tcPr/>
          <w:p>
            <w:pPr>
              <w:pStyle w:val="Compact"/>
              <w:jc w:val="left"/>
            </w:pPr>
            <w:r>
              <w:t xml:space="preserve">Kodak Portra 160</w:t>
            </w:r>
          </w:p>
        </w:tc>
        <w:tc>
          <w:tcPr/>
          <w:p>
            <w:pPr>
              <w:pStyle w:val="Compact"/>
              <w:jc w:val="left"/>
            </w:pPr>
            <w:r>
              <w:t xml:space="preserve">Creamy highlights, fine grain</w:t>
            </w:r>
          </w:p>
        </w:tc>
        <w:tc>
          <w:tcPr/>
          <w:p>
            <w:pPr>
              <w:pStyle w:val="Compact"/>
              <w:jc w:val="left"/>
            </w:pPr>
            <w:r>
              <w:t xml:space="preserve">+10</w:t>
            </w:r>
          </w:p>
        </w:tc>
        <w:tc>
          <w:tcPr/>
          <w:p>
            <w:pPr>
              <w:pStyle w:val="Compact"/>
              <w:jc w:val="left"/>
            </w:pPr>
            <w:r>
              <w:t xml:space="preserve">Fine, 18</w:t>
            </w:r>
          </w:p>
        </w:tc>
      </w:tr>
      <w:tr>
        <w:tc>
          <w:tcPr/>
          <w:p>
            <w:pPr>
              <w:pStyle w:val="Compact"/>
              <w:jc w:val="left"/>
            </w:pPr>
            <w:r>
              <w:t xml:space="preserve">Portra 400</w:t>
            </w:r>
          </w:p>
        </w:tc>
        <w:tc>
          <w:tcPr/>
          <w:p>
            <w:pPr>
              <w:pStyle w:val="Compact"/>
              <w:jc w:val="left"/>
            </w:pPr>
            <w:r>
              <w:t xml:space="preserve">Kodak Portra</w:t>
            </w:r>
          </w:p>
        </w:tc>
        <w:tc>
          <w:tcPr/>
          <w:p>
            <w:pPr>
              <w:pStyle w:val="Compact"/>
              <w:jc w:val="left"/>
            </w:pPr>
            <w:r>
              <w:t xml:space="preserve">Kodak Portra 400</w:t>
            </w:r>
          </w:p>
        </w:tc>
        <w:tc>
          <w:tcPr/>
          <w:p>
            <w:pPr>
              <w:pStyle w:val="Compact"/>
              <w:jc w:val="left"/>
            </w:pPr>
            <w:r>
              <w:t xml:space="preserve">Skin tone neutrality, latitude</w:t>
            </w:r>
          </w:p>
        </w:tc>
        <w:tc>
          <w:tcPr/>
          <w:p>
            <w:pPr>
              <w:pStyle w:val="Compact"/>
              <w:jc w:val="left"/>
            </w:pPr>
            <w:r>
              <w:t xml:space="preserve">+12</w:t>
            </w:r>
          </w:p>
        </w:tc>
        <w:tc>
          <w:tcPr/>
          <w:p>
            <w:pPr>
              <w:pStyle w:val="Compact"/>
              <w:jc w:val="left"/>
            </w:pPr>
            <w:r>
              <w:t xml:space="preserve">Fine, 20</w:t>
            </w:r>
          </w:p>
        </w:tc>
      </w:tr>
      <w:tr>
        <w:tc>
          <w:tcPr/>
          <w:p>
            <w:pPr>
              <w:pStyle w:val="Compact"/>
              <w:jc w:val="left"/>
            </w:pPr>
            <w:r>
              <w:t xml:space="preserve">Portra 800</w:t>
            </w:r>
          </w:p>
        </w:tc>
        <w:tc>
          <w:tcPr/>
          <w:p>
            <w:pPr>
              <w:pStyle w:val="Compact"/>
              <w:jc w:val="left"/>
            </w:pPr>
            <w:r>
              <w:t xml:space="preserve">Kodak Portra</w:t>
            </w:r>
          </w:p>
        </w:tc>
        <w:tc>
          <w:tcPr/>
          <w:p>
            <w:pPr>
              <w:pStyle w:val="Compact"/>
              <w:jc w:val="left"/>
            </w:pPr>
            <w:r>
              <w:t xml:space="preserve">Kodak Portra 800</w:t>
            </w:r>
          </w:p>
        </w:tc>
        <w:tc>
          <w:tcPr/>
          <w:p>
            <w:pPr>
              <w:pStyle w:val="Compact"/>
              <w:jc w:val="left"/>
            </w:pPr>
            <w:r>
              <w:t xml:space="preserve">Mixed lighting warmth</w:t>
            </w:r>
          </w:p>
        </w:tc>
        <w:tc>
          <w:tcPr/>
          <w:p>
            <w:pPr>
              <w:pStyle w:val="Compact"/>
              <w:jc w:val="left"/>
            </w:pPr>
            <w:r>
              <w:t xml:space="preserve">+15</w:t>
            </w:r>
          </w:p>
        </w:tc>
        <w:tc>
          <w:tcPr/>
          <w:p>
            <w:pPr>
              <w:pStyle w:val="Compact"/>
              <w:jc w:val="left"/>
            </w:pPr>
            <w:r>
              <w:t xml:space="preserve">Medium, 22</w:t>
            </w:r>
          </w:p>
        </w:tc>
      </w:tr>
      <w:tr>
        <w:tc>
          <w:tcPr/>
          <w:p>
            <w:pPr>
              <w:pStyle w:val="Compact"/>
              <w:jc w:val="left"/>
            </w:pPr>
            <w:r>
              <w:t xml:space="preserve">Portra Warm</w:t>
            </w:r>
          </w:p>
        </w:tc>
        <w:tc>
          <w:tcPr/>
          <w:p>
            <w:pPr>
              <w:pStyle w:val="Compact"/>
              <w:jc w:val="left"/>
            </w:pPr>
            <w:r>
              <w:t xml:space="preserve">Kodak Portra</w:t>
            </w:r>
          </w:p>
        </w:tc>
        <w:tc>
          <w:tcPr/>
          <w:p>
            <w:pPr>
              <w:pStyle w:val="Compact"/>
              <w:jc w:val="left"/>
            </w:pPr>
            <w:r>
              <w:t xml:space="preserve">Pushed Portra 400</w:t>
            </w:r>
          </w:p>
        </w:tc>
        <w:tc>
          <w:tcPr/>
          <w:p>
            <w:pPr>
              <w:pStyle w:val="Compact"/>
              <w:jc w:val="left"/>
            </w:pPr>
            <w:r>
              <w:t xml:space="preserve">Enhanced warmth, editorial</w:t>
            </w:r>
          </w:p>
        </w:tc>
        <w:tc>
          <w:tcPr/>
          <w:p>
            <w:pPr>
              <w:pStyle w:val="Compact"/>
              <w:jc w:val="left"/>
            </w:pPr>
            <w:r>
              <w:t xml:space="preserve">+14</w:t>
            </w:r>
          </w:p>
        </w:tc>
        <w:tc>
          <w:tcPr/>
          <w:p>
            <w:pPr>
              <w:pStyle w:val="Compact"/>
              <w:jc w:val="left"/>
            </w:pPr>
            <w:r>
              <w:t xml:space="preserve">Fine, 19</w:t>
            </w:r>
          </w:p>
        </w:tc>
      </w:tr>
      <w:tr>
        <w:tc>
          <w:tcPr/>
          <w:p>
            <w:pPr>
              <w:pStyle w:val="Compact"/>
              <w:jc w:val="left"/>
            </w:pPr>
            <w:r>
              <w:t xml:space="preserve">Portra Skin</w:t>
            </w:r>
          </w:p>
        </w:tc>
        <w:tc>
          <w:tcPr/>
          <w:p>
            <w:pPr>
              <w:pStyle w:val="Compact"/>
              <w:jc w:val="left"/>
            </w:pPr>
            <w:r>
              <w:t xml:space="preserve">Kodak Portra</w:t>
            </w:r>
          </w:p>
        </w:tc>
        <w:tc>
          <w:tcPr/>
          <w:p>
            <w:pPr>
              <w:pStyle w:val="Compact"/>
              <w:jc w:val="left"/>
            </w:pPr>
            <w:r>
              <w:t xml:space="preserve">Portra 400 (isolated)</w:t>
            </w:r>
          </w:p>
        </w:tc>
        <w:tc>
          <w:tcPr/>
          <w:p>
            <w:pPr>
              <w:pStyle w:val="Compact"/>
              <w:jc w:val="left"/>
            </w:pPr>
            <w:r>
              <w:t xml:space="preserve">Flattering all complexions</w:t>
            </w:r>
          </w:p>
        </w:tc>
        <w:tc>
          <w:tcPr/>
          <w:p>
            <w:pPr>
              <w:pStyle w:val="Compact"/>
              <w:jc w:val="left"/>
            </w:pPr>
            <w:r>
              <w:t xml:space="preserve">+11</w:t>
            </w:r>
          </w:p>
        </w:tc>
        <w:tc>
          <w:tcPr/>
          <w:p>
            <w:pPr>
              <w:pStyle w:val="Compact"/>
              <w:jc w:val="left"/>
            </w:pPr>
            <w:r>
              <w:t xml:space="preserve">Fine, 17</w:t>
            </w:r>
          </w:p>
        </w:tc>
      </w:tr>
      <w:tr>
        <w:tc>
          <w:tcPr/>
          <w:p>
            <w:pPr>
              <w:pStyle w:val="Compact"/>
              <w:jc w:val="left"/>
            </w:pPr>
            <w:r>
              <w:t xml:space="preserve">Fuji Pastel</w:t>
            </w:r>
          </w:p>
        </w:tc>
        <w:tc>
          <w:tcPr/>
          <w:p>
            <w:pPr>
              <w:pStyle w:val="Compact"/>
              <w:jc w:val="left"/>
            </w:pPr>
            <w:r>
              <w:t xml:space="preserve">Fuji 400H</w:t>
            </w:r>
          </w:p>
        </w:tc>
        <w:tc>
          <w:tcPr/>
          <w:p>
            <w:pPr>
              <w:pStyle w:val="Compact"/>
              <w:jc w:val="left"/>
            </w:pPr>
            <w:r>
              <w:t xml:space="preserve">Fujifilm Pro 400H</w:t>
            </w:r>
          </w:p>
        </w:tc>
        <w:tc>
          <w:tcPr/>
          <w:p>
            <w:pPr>
              <w:pStyle w:val="Compact"/>
              <w:jc w:val="left"/>
            </w:pPr>
            <w:r>
              <w:t xml:space="preserve">Blue-green shadow rendering</w:t>
            </w:r>
          </w:p>
        </w:tc>
        <w:tc>
          <w:tcPr/>
          <w:p>
            <w:pPr>
              <w:pStyle w:val="Compact"/>
              <w:jc w:val="left"/>
            </w:pPr>
            <w:r>
              <w:t xml:space="preserve">+18</w:t>
            </w:r>
          </w:p>
        </w:tc>
        <w:tc>
          <w:tcPr/>
          <w:p>
            <w:pPr>
              <w:pStyle w:val="Compact"/>
              <w:jc w:val="left"/>
            </w:pPr>
            <w:r>
              <w:t xml:space="preserve">Fine, 16</w:t>
            </w:r>
          </w:p>
        </w:tc>
      </w:tr>
      <w:tr>
        <w:tc>
          <w:tcPr/>
          <w:p>
            <w:pPr>
              <w:pStyle w:val="Compact"/>
              <w:jc w:val="left"/>
            </w:pPr>
            <w:r>
              <w:t xml:space="preserve">400H Soft</w:t>
            </w:r>
          </w:p>
        </w:tc>
        <w:tc>
          <w:tcPr/>
          <w:p>
            <w:pPr>
              <w:pStyle w:val="Compact"/>
              <w:jc w:val="left"/>
            </w:pPr>
            <w:r>
              <w:t xml:space="preserve">Fuji 400H</w:t>
            </w:r>
          </w:p>
        </w:tc>
        <w:tc>
          <w:tcPr/>
          <w:p>
            <w:pPr>
              <w:pStyle w:val="Compact"/>
              <w:jc w:val="left"/>
            </w:pPr>
            <w:r>
              <w:t xml:space="preserve">Pro 400H overexposed</w:t>
            </w:r>
          </w:p>
        </w:tc>
        <w:tc>
          <w:tcPr/>
          <w:p>
            <w:pPr>
              <w:pStyle w:val="Compact"/>
              <w:jc w:val="left"/>
            </w:pPr>
            <w:r>
              <w:t xml:space="preserve">Creamy highlight rolloff</w:t>
            </w:r>
          </w:p>
        </w:tc>
        <w:tc>
          <w:tcPr/>
          <w:p>
            <w:pPr>
              <w:pStyle w:val="Compact"/>
              <w:jc w:val="left"/>
            </w:pPr>
            <w:r>
              <w:t xml:space="preserve">+20</w:t>
            </w:r>
          </w:p>
        </w:tc>
        <w:tc>
          <w:tcPr/>
          <w:p>
            <w:pPr>
              <w:pStyle w:val="Compact"/>
              <w:jc w:val="left"/>
            </w:pPr>
            <w:r>
              <w:t xml:space="preserve">Fine, 15</w:t>
            </w:r>
          </w:p>
        </w:tc>
      </w:tr>
      <w:tr>
        <w:tc>
          <w:tcPr/>
          <w:p>
            <w:pPr>
              <w:pStyle w:val="Compact"/>
              <w:jc w:val="left"/>
            </w:pPr>
            <w:r>
              <w:t xml:space="preserve">Pro Green</w:t>
            </w:r>
          </w:p>
        </w:tc>
        <w:tc>
          <w:tcPr/>
          <w:p>
            <w:pPr>
              <w:pStyle w:val="Compact"/>
              <w:jc w:val="left"/>
            </w:pPr>
            <w:r>
              <w:t xml:space="preserve">Fuji 400H</w:t>
            </w:r>
          </w:p>
        </w:tc>
        <w:tc>
          <w:tcPr/>
          <w:p>
            <w:pPr>
              <w:pStyle w:val="Compact"/>
              <w:jc w:val="left"/>
            </w:pPr>
            <w:r>
              <w:t xml:space="preserve">Pro 400H (green bias)</w:t>
            </w:r>
          </w:p>
        </w:tc>
        <w:tc>
          <w:tcPr/>
          <w:p>
            <w:pPr>
              <w:pStyle w:val="Compact"/>
              <w:jc w:val="left"/>
            </w:pPr>
            <w:r>
              <w:t xml:space="preserve">Muted foliage, soft skin</w:t>
            </w:r>
          </w:p>
        </w:tc>
        <w:tc>
          <w:tcPr/>
          <w:p>
            <w:pPr>
              <w:pStyle w:val="Compact"/>
              <w:jc w:val="left"/>
            </w:pPr>
            <w:r>
              <w:t xml:space="preserve">+16</w:t>
            </w:r>
          </w:p>
        </w:tc>
        <w:tc>
          <w:tcPr/>
          <w:p>
            <w:pPr>
              <w:pStyle w:val="Compact"/>
              <w:jc w:val="left"/>
            </w:pPr>
            <w:r>
              <w:t xml:space="preserve">Fine, 18</w:t>
            </w:r>
          </w:p>
        </w:tc>
      </w:tr>
      <w:tr>
        <w:tc>
          <w:tcPr/>
          <w:p>
            <w:pPr>
              <w:pStyle w:val="Compact"/>
              <w:jc w:val="left"/>
            </w:pPr>
            <w:r>
              <w:t xml:space="preserve">Fuji Air</w:t>
            </w:r>
          </w:p>
        </w:tc>
        <w:tc>
          <w:tcPr/>
          <w:p>
            <w:pPr>
              <w:pStyle w:val="Compact"/>
              <w:jc w:val="left"/>
            </w:pPr>
            <w:r>
              <w:t xml:space="preserve">Fuji 400H</w:t>
            </w:r>
          </w:p>
        </w:tc>
        <w:tc>
          <w:tcPr/>
          <w:p>
            <w:pPr>
              <w:pStyle w:val="Compact"/>
              <w:jc w:val="left"/>
            </w:pPr>
            <w:r>
              <w:t xml:space="preserve">Pro 400H (minimal)</w:t>
            </w:r>
          </w:p>
        </w:tc>
        <w:tc>
          <w:tcPr/>
          <w:p>
            <w:pPr>
              <w:pStyle w:val="Compact"/>
              <w:jc w:val="left"/>
            </w:pPr>
            <w:r>
              <w:t xml:space="preserve">Delicate, ethereal quality</w:t>
            </w:r>
          </w:p>
        </w:tc>
        <w:tc>
          <w:tcPr/>
          <w:p>
            <w:pPr>
              <w:pStyle w:val="Compact"/>
              <w:jc w:val="left"/>
            </w:pPr>
            <w:r>
              <w:t xml:space="preserve">+18</w:t>
            </w:r>
          </w:p>
        </w:tc>
        <w:tc>
          <w:tcPr/>
          <w:p>
            <w:pPr>
              <w:pStyle w:val="Compact"/>
              <w:jc w:val="left"/>
            </w:pPr>
            <w:r>
              <w:t xml:space="preserve">Very fine, 14</w:t>
            </w:r>
          </w:p>
        </w:tc>
      </w:tr>
      <w:tr>
        <w:tc>
          <w:tcPr/>
          <w:p>
            <w:pPr>
              <w:pStyle w:val="Compact"/>
              <w:jc w:val="left"/>
            </w:pPr>
            <w:r>
              <w:t xml:space="preserve">Sakura Tone</w:t>
            </w:r>
          </w:p>
        </w:tc>
        <w:tc>
          <w:tcPr/>
          <w:p>
            <w:pPr>
              <w:pStyle w:val="Compact"/>
              <w:jc w:val="left"/>
            </w:pPr>
            <w:r>
              <w:t xml:space="preserve">Fuji 400H</w:t>
            </w:r>
          </w:p>
        </w:tc>
        <w:tc>
          <w:tcPr/>
          <w:p>
            <w:pPr>
              <w:pStyle w:val="Compact"/>
              <w:jc w:val="left"/>
            </w:pPr>
            <w:r>
              <w:t xml:space="preserve">Pro 400H (pink-green)</w:t>
            </w:r>
          </w:p>
        </w:tc>
        <w:tc>
          <w:tcPr/>
          <w:p>
            <w:pPr>
              <w:pStyle w:val="Compact"/>
              <w:jc w:val="left"/>
            </w:pPr>
            <w:r>
              <w:t xml:space="preserve">Romantic portrait rendering</w:t>
            </w:r>
          </w:p>
        </w:tc>
        <w:tc>
          <w:tcPr/>
          <w:p>
            <w:pPr>
              <w:pStyle w:val="Compact"/>
              <w:jc w:val="left"/>
            </w:pPr>
            <w:r>
              <w:t xml:space="preserve">+15</w:t>
            </w:r>
          </w:p>
        </w:tc>
        <w:tc>
          <w:tcPr/>
          <w:p>
            <w:pPr>
              <w:pStyle w:val="Compact"/>
              <w:jc w:val="left"/>
            </w:pPr>
            <w:r>
              <w:t xml:space="preserve">Fine, 16</w:t>
            </w:r>
          </w:p>
        </w:tc>
      </w:tr>
      <w:tr>
        <w:tc>
          <w:tcPr/>
          <w:p>
            <w:pPr>
              <w:pStyle w:val="Compact"/>
              <w:jc w:val="left"/>
            </w:pPr>
            <w:r>
              <w:t xml:space="preserve">800T Tungsten</w:t>
            </w:r>
          </w:p>
        </w:tc>
        <w:tc>
          <w:tcPr/>
          <w:p>
            <w:pPr>
              <w:pStyle w:val="Compact"/>
              <w:jc w:val="left"/>
            </w:pPr>
            <w:r>
              <w:t xml:space="preserve">CineStill 800T</w:t>
            </w:r>
          </w:p>
        </w:tc>
        <w:tc>
          <w:tcPr/>
          <w:p>
            <w:pPr>
              <w:pStyle w:val="Compact"/>
              <w:jc w:val="left"/>
            </w:pPr>
            <w:r>
              <w:t xml:space="preserve">CineStill 800T</w:t>
            </w:r>
          </w:p>
        </w:tc>
        <w:tc>
          <w:tcPr/>
          <w:p>
            <w:pPr>
              <w:pStyle w:val="Compact"/>
              <w:jc w:val="left"/>
            </w:pPr>
            <w:r>
              <w:t xml:space="preserve">Tungsten warmth, night accuracy</w:t>
            </w:r>
          </w:p>
        </w:tc>
        <w:tc>
          <w:tcPr/>
          <w:p>
            <w:pPr>
              <w:pStyle w:val="Compact"/>
              <w:jc w:val="left"/>
            </w:pPr>
            <w:r>
              <w:t xml:space="preserve">+8</w:t>
            </w:r>
          </w:p>
        </w:tc>
        <w:tc>
          <w:tcPr/>
          <w:p>
            <w:pPr>
              <w:pStyle w:val="Compact"/>
              <w:jc w:val="left"/>
            </w:pPr>
            <w:r>
              <w:t xml:space="preserve">Medium, 25</w:t>
            </w:r>
          </w:p>
        </w:tc>
      </w:tr>
      <w:tr>
        <w:tc>
          <w:tcPr/>
          <w:p>
            <w:pPr>
              <w:pStyle w:val="Compact"/>
              <w:jc w:val="left"/>
            </w:pPr>
            <w:r>
              <w:t xml:space="preserve">CineStill Night</w:t>
            </w:r>
          </w:p>
        </w:tc>
        <w:tc>
          <w:tcPr/>
          <w:p>
            <w:pPr>
              <w:pStyle w:val="Compact"/>
              <w:jc w:val="left"/>
            </w:pPr>
            <w:r>
              <w:t xml:space="preserve">CineStill 800T</w:t>
            </w:r>
          </w:p>
        </w:tc>
        <w:tc>
          <w:tcPr/>
          <w:p>
            <w:pPr>
              <w:pStyle w:val="Compact"/>
              <w:jc w:val="left"/>
            </w:pPr>
            <w:r>
              <w:t xml:space="preserve">CineStill 800T (pushed)</w:t>
            </w:r>
          </w:p>
        </w:tc>
        <w:tc>
          <w:tcPr/>
          <w:p>
            <w:pPr>
              <w:pStyle w:val="Compact"/>
              <w:jc w:val="left"/>
            </w:pPr>
            <w:r>
              <w:t xml:space="preserve">Enhanced halation, drama</w:t>
            </w:r>
          </w:p>
        </w:tc>
        <w:tc>
          <w:tcPr/>
          <w:p>
            <w:pPr>
              <w:pStyle w:val="Compact"/>
              <w:jc w:val="left"/>
            </w:pPr>
            <w:r>
              <w:t xml:space="preserve">+10</w:t>
            </w:r>
          </w:p>
        </w:tc>
        <w:tc>
          <w:tcPr/>
          <w:p>
            <w:pPr>
              <w:pStyle w:val="Compact"/>
              <w:jc w:val="left"/>
            </w:pPr>
            <w:r>
              <w:t xml:space="preserve">Medium, 28</w:t>
            </w:r>
          </w:p>
        </w:tc>
      </w:tr>
      <w:tr>
        <w:tc>
          <w:tcPr/>
          <w:p>
            <w:pPr>
              <w:pStyle w:val="Compact"/>
              <w:jc w:val="left"/>
            </w:pPr>
            <w:r>
              <w:t xml:space="preserve">Halation Glow</w:t>
            </w:r>
          </w:p>
        </w:tc>
        <w:tc>
          <w:tcPr/>
          <w:p>
            <w:pPr>
              <w:pStyle w:val="Compact"/>
              <w:jc w:val="left"/>
            </w:pPr>
            <w:r>
              <w:t xml:space="preserve">CineStill 800T</w:t>
            </w:r>
          </w:p>
        </w:tc>
        <w:tc>
          <w:tcPr/>
          <w:p>
            <w:pPr>
              <w:pStyle w:val="Compact"/>
              <w:jc w:val="left"/>
            </w:pPr>
            <w:r>
              <w:t xml:space="preserve">800T (halation isolated)</w:t>
            </w:r>
          </w:p>
        </w:tc>
        <w:tc>
          <w:tcPr/>
          <w:p>
            <w:pPr>
              <w:pStyle w:val="Compact"/>
              <w:jc w:val="left"/>
            </w:pPr>
            <w:r>
              <w:t xml:space="preserve">Maximum halation simulation</w:t>
            </w:r>
          </w:p>
        </w:tc>
        <w:tc>
          <w:tcPr/>
          <w:p>
            <w:pPr>
              <w:pStyle w:val="Compact"/>
              <w:jc w:val="left"/>
            </w:pPr>
            <w:r>
              <w:t xml:space="preserve">+6</w:t>
            </w:r>
          </w:p>
        </w:tc>
        <w:tc>
          <w:tcPr/>
          <w:p>
            <w:pPr>
              <w:pStyle w:val="Compact"/>
              <w:jc w:val="left"/>
            </w:pPr>
            <w:r>
              <w:t xml:space="preserve">Coarse, 30</w:t>
            </w:r>
          </w:p>
        </w:tc>
      </w:tr>
      <w:tr>
        <w:tc>
          <w:tcPr/>
          <w:p>
            <w:pPr>
              <w:pStyle w:val="Compact"/>
              <w:jc w:val="left"/>
            </w:pPr>
            <w:r>
              <w:t xml:space="preserve">Tungsten Film</w:t>
            </w:r>
          </w:p>
        </w:tc>
        <w:tc>
          <w:tcPr/>
          <w:p>
            <w:pPr>
              <w:pStyle w:val="Compact"/>
              <w:jc w:val="left"/>
            </w:pPr>
            <w:r>
              <w:t xml:space="preserve">CineStill 800T</w:t>
            </w:r>
          </w:p>
        </w:tc>
        <w:tc>
          <w:tcPr/>
          <w:p>
            <w:pPr>
              <w:pStyle w:val="Compact"/>
              <w:jc w:val="left"/>
            </w:pPr>
            <w:r>
              <w:t xml:space="preserve">800T (balanced)</w:t>
            </w:r>
          </w:p>
        </w:tc>
        <w:tc>
          <w:tcPr/>
          <w:p>
            <w:pPr>
              <w:pStyle w:val="Compact"/>
              <w:jc w:val="left"/>
            </w:pPr>
            <w:r>
              <w:t xml:space="preserve">Natural skin under tungsten</w:t>
            </w:r>
          </w:p>
        </w:tc>
        <w:tc>
          <w:tcPr/>
          <w:p>
            <w:pPr>
              <w:pStyle w:val="Compact"/>
              <w:jc w:val="left"/>
            </w:pPr>
            <w:r>
              <w:t xml:space="preserve">+9</w:t>
            </w:r>
          </w:p>
        </w:tc>
        <w:tc>
          <w:tcPr/>
          <w:p>
            <w:pPr>
              <w:pStyle w:val="Compact"/>
              <w:jc w:val="left"/>
            </w:pPr>
            <w:r>
              <w:t xml:space="preserve">Medium, 24</w:t>
            </w:r>
          </w:p>
        </w:tc>
      </w:tr>
      <w:tr>
        <w:tc>
          <w:tcPr/>
          <w:p>
            <w:pPr>
              <w:pStyle w:val="Compact"/>
              <w:jc w:val="left"/>
            </w:pPr>
            <w:r>
              <w:t xml:space="preserve">Night Still</w:t>
            </w:r>
          </w:p>
        </w:tc>
        <w:tc>
          <w:tcPr/>
          <w:p>
            <w:pPr>
              <w:pStyle w:val="Compact"/>
              <w:jc w:val="left"/>
            </w:pPr>
            <w:r>
              <w:t xml:space="preserve">CineStill 800T</w:t>
            </w:r>
          </w:p>
        </w:tc>
        <w:tc>
          <w:tcPr/>
          <w:p>
            <w:pPr>
              <w:pStyle w:val="Compact"/>
              <w:jc w:val="left"/>
            </w:pPr>
            <w:r>
              <w:t xml:space="preserve">800T (subtle)</w:t>
            </w:r>
          </w:p>
        </w:tc>
        <w:tc>
          <w:tcPr/>
          <w:p>
            <w:pPr>
              <w:pStyle w:val="Compact"/>
              <w:jc w:val="left"/>
            </w:pPr>
            <w:r>
              <w:t xml:space="preserve">Soft night atmosphere</w:t>
            </w:r>
          </w:p>
        </w:tc>
        <w:tc>
          <w:tcPr/>
          <w:p>
            <w:pPr>
              <w:pStyle w:val="Compact"/>
              <w:jc w:val="left"/>
            </w:pPr>
            <w:r>
              <w:t xml:space="preserve">+7</w:t>
            </w:r>
          </w:p>
        </w:tc>
        <w:tc>
          <w:tcPr/>
          <w:p>
            <w:pPr>
              <w:pStyle w:val="Compact"/>
              <w:jc w:val="left"/>
            </w:pPr>
            <w:r>
              <w:t xml:space="preserve">Fine, 22</w:t>
            </w:r>
          </w:p>
        </w:tc>
      </w:tr>
    </w:tbl>
    <w:p>
      <w:pPr>
        <w:pStyle w:val="BodyText"/>
      </w:pPr>
      <w:r>
        <w:t xml:space="preserve">Shadow lift values range from +6 to +20, reflecting divergent source stock characteristics — CineStill 800T’s remjet-less base preserves deeper blacks, while Fuji 400H’s lifted shadows require +18 to +20 adjustments [^LegendaryPresets^]. Grain levels track physical stocks’ actual T-grain structures: Portra’s fine ISO 400 grain receives lower values than CineStill’s coarser motion-picture texture. The</w:t>
      </w:r>
      <w:r>
        <w:t xml:space="preserve"> </w:t>
      </w:r>
      <w:r>
        <w:rPr>
          <w:iCs/>
          <w:i/>
        </w:rPr>
        <w:t xml:space="preserve">Halation Glow</w:t>
      </w:r>
      <w:r>
        <w:t xml:space="preserve"> </w:t>
      </w:r>
      <w:r>
        <w:t xml:space="preserve">preset departs from strict accuracy to maximize the red-orange bloom for stylized night photography.</w:t>
      </w:r>
    </w:p>
    <w:bookmarkEnd w:id="95"/>
    <w:bookmarkStart w:id="96" w:name="Xde1d80fb8d27a1d9c19ceb8f6200b57af1e0a51"/>
    <w:p>
      <w:pPr>
        <w:pStyle w:val="Heading4"/>
      </w:pPr>
      <w:r>
        <w:t xml:space="preserve">5.2.3 Cinematic: Netflix, A24, and ARRI Alexa variants</w:t>
      </w:r>
    </w:p>
    <w:p>
      <w:pPr>
        <w:pStyle w:val="FirstParagraph"/>
      </w:pPr>
      <w:r>
        <w:t xml:space="preserve">The Netflix Inspired subcategory —</w:t>
      </w:r>
      <w:r>
        <w:t xml:space="preserve"> </w:t>
      </w:r>
      <w:r>
        <w:rPr>
          <w:iCs/>
          <w:i/>
        </w:rPr>
        <w:t xml:space="preserve">Stream Queen</w:t>
      </w:r>
      <w:r>
        <w:t xml:space="preserve">,</w:t>
      </w:r>
      <w:r>
        <w:t xml:space="preserve"> </w:t>
      </w:r>
      <w:r>
        <w:rPr>
          <w:iCs/>
          <w:i/>
        </w:rPr>
        <w:t xml:space="preserve">Binge Night</w:t>
      </w:r>
      <w:r>
        <w:t xml:space="preserve">,</w:t>
      </w:r>
      <w:r>
        <w:t xml:space="preserve"> </w:t>
      </w:r>
      <w:r>
        <w:rPr>
          <w:iCs/>
          <w:i/>
        </w:rPr>
        <w:t xml:space="preserve">Teal Drama</w:t>
      </w:r>
      <w:r>
        <w:t xml:space="preserve">,</w:t>
      </w:r>
      <w:r>
        <w:t xml:space="preserve"> </w:t>
      </w:r>
      <w:r>
        <w:rPr>
          <w:iCs/>
          <w:i/>
        </w:rPr>
        <w:t xml:space="preserve">Series Glow</w:t>
      </w:r>
      <w:r>
        <w:t xml:space="preserve">, and</w:t>
      </w:r>
      <w:r>
        <w:t xml:space="preserve"> </w:t>
      </w:r>
      <w:r>
        <w:rPr>
          <w:iCs/>
          <w:i/>
        </w:rPr>
        <w:t xml:space="preserve">Episode One</w:t>
      </w:r>
      <w:r>
        <w:t xml:space="preserve"> </w:t>
      </w:r>
      <w:r>
        <w:t xml:space="preserve">— replicates the platform’s teal/orange grading. The base look exploits opponent color theory: blue-yellow and red-green opponent pairs make teal/orange separation the maximum perceptual contrast arrangement</w:t>
      </w:r>
      <w:r>
        <w:t xml:space="preserve"> </w:t>
      </w:r>
      <w:r>
        <w:rPr>
          <w:vertAlign w:val="superscript"/>
        </w:rPr>
        <w:t xml:space="preserve">34</w:t>
      </w:r>
      <w:r>
        <w:t xml:space="preserve"> </w:t>
      </w:r>
      <w:r>
        <w:rPr>
          <w:vertAlign w:val="superscript"/>
        </w:rPr>
        <w:t xml:space="preserve">68</w:t>
      </w:r>
      <w:r>
        <w:t xml:space="preserve">. Implementation pushes shadows toward cyan/teal (Hue 195–205°) while steering highlights toward warm amber (Hue 25–35°), with the tone curve applying a reverse S-curve to the blue channel</w:t>
      </w:r>
      <w:r>
        <w:t xml:space="preserve"> </w:t>
      </w:r>
      <w:r>
        <w:rPr>
          <w:vertAlign w:val="superscript"/>
        </w:rPr>
        <w:t xml:space="preserve">73</w:t>
      </w:r>
      <w:r>
        <w:t xml:space="preserve">.</w:t>
      </w:r>
    </w:p>
    <w:p>
      <w:pPr>
        <w:pStyle w:val="BodyText"/>
      </w:pPr>
      <w:r>
        <w:t xml:space="preserve">The A24 Inspired subcategory —</w:t>
      </w:r>
      <w:r>
        <w:t xml:space="preserve"> </w:t>
      </w:r>
      <w:r>
        <w:rPr>
          <w:iCs/>
          <w:i/>
        </w:rPr>
        <w:t xml:space="preserve">Hereditary Mood</w:t>
      </w:r>
      <w:r>
        <w:t xml:space="preserve">,</w:t>
      </w:r>
      <w:r>
        <w:t xml:space="preserve"> </w:t>
      </w:r>
      <w:r>
        <w:rPr>
          <w:iCs/>
          <w:i/>
        </w:rPr>
        <w:t xml:space="preserve">Moonlight Glow</w:t>
      </w:r>
      <w:r>
        <w:t xml:space="preserve">,</w:t>
      </w:r>
      <w:r>
        <w:t xml:space="preserve"> </w:t>
      </w:r>
      <w:r>
        <w:rPr>
          <w:iCs/>
          <w:i/>
        </w:rPr>
        <w:t xml:space="preserve">Midsommar Haze</w:t>
      </w:r>
      <w:r>
        <w:t xml:space="preserve">,</w:t>
      </w:r>
      <w:r>
        <w:t xml:space="preserve"> </w:t>
      </w:r>
      <w:r>
        <w:rPr>
          <w:iCs/>
          <w:i/>
        </w:rPr>
        <w:t xml:space="preserve">Ex Machina</w:t>
      </w:r>
      <w:r>
        <w:t xml:space="preserve">, and</w:t>
      </w:r>
      <w:r>
        <w:t xml:space="preserve"> </w:t>
      </w:r>
      <w:r>
        <w:rPr>
          <w:iCs/>
          <w:i/>
        </w:rPr>
        <w:t xml:space="preserve">Green Knight</w:t>
      </w:r>
      <w:r>
        <w:t xml:space="preserve"> </w:t>
      </w:r>
      <w:r>
        <w:t xml:space="preserve">— targets the arthouse aesthetic quantified as: lifted shadows (+12 to +18), muted primaries at ~78% saturation, fine grain (14–20), and olive/ochre split toning [^Dim10^].</w:t>
      </w:r>
      <w:r>
        <w:t xml:space="preserve"> </w:t>
      </w:r>
      <w:r>
        <w:rPr>
          <w:iCs/>
          <w:i/>
        </w:rPr>
        <w:t xml:space="preserve">Moonlight Glow</w:t>
      </w:r>
      <w:r>
        <w:t xml:space="preserve"> </w:t>
      </w:r>
      <w:r>
        <w:t xml:space="preserve">replicates the blue-teal monochrome of the Oscar-winning cinematography;</w:t>
      </w:r>
      <w:r>
        <w:t xml:space="preserve"> </w:t>
      </w:r>
      <w:r>
        <w:rPr>
          <w:iCs/>
          <w:i/>
        </w:rPr>
        <w:t xml:space="preserve">Midsommar Haze</w:t>
      </w:r>
      <w:r>
        <w:t xml:space="preserve"> </w:t>
      </w:r>
      <w:r>
        <w:t xml:space="preserve">introduces lifted blacks (+20) and reduced clarity (−15) for a dreamy, dissociated atmosphere.</w:t>
      </w:r>
    </w:p>
    <w:p>
      <w:pPr>
        <w:pStyle w:val="BodyText"/>
      </w:pPr>
      <w:r>
        <w:t xml:space="preserve">The ARRI Alexa Look subcategory —</w:t>
      </w:r>
      <w:r>
        <w:t xml:space="preserve"> </w:t>
      </w:r>
      <w:r>
        <w:rPr>
          <w:iCs/>
          <w:i/>
        </w:rPr>
        <w:t xml:space="preserve">Alexa Log</w:t>
      </w:r>
      <w:r>
        <w:t xml:space="preserve">,</w:t>
      </w:r>
      <w:r>
        <w:t xml:space="preserve"> </w:t>
      </w:r>
      <w:r>
        <w:rPr>
          <w:iCs/>
          <w:i/>
        </w:rPr>
        <w:t xml:space="preserve">ARRI Natural</w:t>
      </w:r>
      <w:r>
        <w:t xml:space="preserve">,</w:t>
      </w:r>
      <w:r>
        <w:t xml:space="preserve"> </w:t>
      </w:r>
      <w:r>
        <w:rPr>
          <w:iCs/>
          <w:i/>
        </w:rPr>
        <w:t xml:space="preserve">Cinema Skin</w:t>
      </w:r>
      <w:r>
        <w:t xml:space="preserve">,</w:t>
      </w:r>
      <w:r>
        <w:t xml:space="preserve"> </w:t>
      </w:r>
      <w:r>
        <w:rPr>
          <w:iCs/>
          <w:i/>
        </w:rPr>
        <w:t xml:space="preserve">Digital Film</w:t>
      </w:r>
      <w:r>
        <w:t xml:space="preserve">, and</w:t>
      </w:r>
      <w:r>
        <w:t xml:space="preserve"> </w:t>
      </w:r>
      <w:r>
        <w:rPr>
          <w:iCs/>
          <w:i/>
        </w:rPr>
        <w:t xml:space="preserve">Alexa Wide</w:t>
      </w:r>
      <w:r>
        <w:t xml:space="preserve"> </w:t>
      </w:r>
      <w:r>
        <w:t xml:space="preserve">— emulates the industry-reference digital cinema camera. Presets apply the LogC-to-Rec.709 transformation with ARRI’s hue twists: yellow toward orange (+5°), green toward teal (−8°), cyan toward blue (+6°).</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Preset Name</w:t>
            </w:r>
          </w:p>
        </w:tc>
        <w:tc>
          <w:tcPr/>
          <w:p>
            <w:pPr>
              <w:pStyle w:val="Compact"/>
              <w:jc w:val="left"/>
            </w:pPr>
            <w:r>
              <w:t xml:space="preserve">Category</w:t>
            </w:r>
          </w:p>
        </w:tc>
        <w:tc>
          <w:tcPr/>
          <w:p>
            <w:pPr>
              <w:pStyle w:val="Compact"/>
              <w:jc w:val="left"/>
            </w:pPr>
            <w:r>
              <w:t xml:space="preserve">Reference Source</w:t>
            </w:r>
          </w:p>
        </w:tc>
        <w:tc>
          <w:tcPr/>
          <w:p>
            <w:pPr>
              <w:pStyle w:val="Compact"/>
              <w:jc w:val="left"/>
            </w:pPr>
            <w:r>
              <w:t xml:space="preserve">Tonal Signature</w:t>
            </w:r>
          </w:p>
        </w:tc>
        <w:tc>
          <w:tcPr/>
          <w:p>
            <w:pPr>
              <w:pStyle w:val="Compact"/>
              <w:jc w:val="left"/>
            </w:pPr>
            <w:r>
              <w:t xml:space="preserve">Split Tone Highlights</w:t>
            </w:r>
          </w:p>
        </w:tc>
        <w:tc>
          <w:tcPr/>
          <w:p>
            <w:pPr>
              <w:pStyle w:val="Compact"/>
              <w:jc w:val="left"/>
            </w:pPr>
            <w:r>
              <w:t xml:space="preserve">Split Tone Shadows</w:t>
            </w:r>
          </w:p>
        </w:tc>
      </w:tr>
      <w:tr>
        <w:tc>
          <w:tcPr/>
          <w:p>
            <w:pPr>
              <w:pStyle w:val="Compact"/>
              <w:jc w:val="left"/>
            </w:pPr>
            <w:r>
              <w:t xml:space="preserve">Stream Queen</w:t>
            </w:r>
          </w:p>
        </w:tc>
        <w:tc>
          <w:tcPr/>
          <w:p>
            <w:pPr>
              <w:pStyle w:val="Compact"/>
              <w:jc w:val="left"/>
            </w:pPr>
            <w:r>
              <w:t xml:space="preserve">Netflix Inspired</w:t>
            </w:r>
          </w:p>
        </w:tc>
        <w:tc>
          <w:tcPr/>
          <w:p>
            <w:pPr>
              <w:pStyle w:val="Compact"/>
              <w:jc w:val="left"/>
            </w:pPr>
            <w:r>
              <w:t xml:space="preserve">Streaming teal/orange</w:t>
            </w:r>
          </w:p>
        </w:tc>
        <w:tc>
          <w:tcPr/>
          <w:p>
            <w:pPr>
              <w:pStyle w:val="Compact"/>
              <w:jc w:val="left"/>
            </w:pPr>
            <w:r>
              <w:t xml:space="preserve">Teal shadows, amber highlights</w:t>
            </w:r>
          </w:p>
        </w:tc>
        <w:tc>
          <w:tcPr/>
          <w:p>
            <w:pPr>
              <w:pStyle w:val="Compact"/>
              <w:jc w:val="left"/>
            </w:pPr>
            <w:r>
              <w:t xml:space="preserve">Orange, 30° / 12</w:t>
            </w:r>
          </w:p>
        </w:tc>
        <w:tc>
          <w:tcPr/>
          <w:p>
            <w:pPr>
              <w:pStyle w:val="Compact"/>
              <w:jc w:val="left"/>
            </w:pPr>
            <w:r>
              <w:t xml:space="preserve">Teal, 200° / 10</w:t>
            </w:r>
          </w:p>
        </w:tc>
      </w:tr>
      <w:tr>
        <w:tc>
          <w:tcPr/>
          <w:p>
            <w:pPr>
              <w:pStyle w:val="Compact"/>
              <w:jc w:val="left"/>
            </w:pPr>
            <w:r>
              <w:t xml:space="preserve">Binge Night</w:t>
            </w:r>
          </w:p>
        </w:tc>
        <w:tc>
          <w:tcPr/>
          <w:p>
            <w:pPr>
              <w:pStyle w:val="Compact"/>
              <w:jc w:val="left"/>
            </w:pPr>
            <w:r>
              <w:t xml:space="preserve">Netflix Inspired</w:t>
            </w:r>
          </w:p>
        </w:tc>
        <w:tc>
          <w:tcPr/>
          <w:p>
            <w:pPr>
              <w:pStyle w:val="Compact"/>
              <w:jc w:val="left"/>
            </w:pPr>
            <w:r>
              <w:t xml:space="preserve">Dark drama grading</w:t>
            </w:r>
          </w:p>
        </w:tc>
        <w:tc>
          <w:tcPr/>
          <w:p>
            <w:pPr>
              <w:pStyle w:val="Compact"/>
              <w:jc w:val="left"/>
            </w:pPr>
            <w:r>
              <w:t xml:space="preserve">Deep crushed blacks</w:t>
            </w:r>
          </w:p>
        </w:tc>
        <w:tc>
          <w:tcPr/>
          <w:p>
            <w:pPr>
              <w:pStyle w:val="Compact"/>
              <w:jc w:val="left"/>
            </w:pPr>
            <w:r>
              <w:t xml:space="preserve">Warm amber, 35° / 10</w:t>
            </w:r>
          </w:p>
        </w:tc>
        <w:tc>
          <w:tcPr/>
          <w:p>
            <w:pPr>
              <w:pStyle w:val="Compact"/>
              <w:jc w:val="left"/>
            </w:pPr>
            <w:r>
              <w:t xml:space="preserve">Cyan, 195° / 14</w:t>
            </w:r>
          </w:p>
        </w:tc>
      </w:tr>
      <w:tr>
        <w:tc>
          <w:tcPr/>
          <w:p>
            <w:pPr>
              <w:pStyle w:val="Compact"/>
              <w:jc w:val="left"/>
            </w:pPr>
            <w:r>
              <w:t xml:space="preserve">Teal Drama</w:t>
            </w:r>
          </w:p>
        </w:tc>
        <w:tc>
          <w:tcPr/>
          <w:p>
            <w:pPr>
              <w:pStyle w:val="Compact"/>
              <w:jc w:val="left"/>
            </w:pPr>
            <w:r>
              <w:t xml:space="preserve">Netflix Inspired</w:t>
            </w:r>
          </w:p>
        </w:tc>
        <w:tc>
          <w:tcPr/>
          <w:p>
            <w:pPr>
              <w:pStyle w:val="Compact"/>
              <w:jc w:val="left"/>
            </w:pPr>
            <w:r>
              <w:t xml:space="preserve">Drama series look</w:t>
            </w:r>
          </w:p>
        </w:tc>
        <w:tc>
          <w:tcPr/>
          <w:p>
            <w:pPr>
              <w:pStyle w:val="Compact"/>
              <w:jc w:val="left"/>
            </w:pPr>
            <w:r>
              <w:t xml:space="preserve">Maximum teal/orange separation</w:t>
            </w:r>
          </w:p>
        </w:tc>
        <w:tc>
          <w:tcPr/>
          <w:p>
            <w:pPr>
              <w:pStyle w:val="Compact"/>
              <w:jc w:val="left"/>
            </w:pPr>
            <w:r>
              <w:t xml:space="preserve">Orange, 28° / 15</w:t>
            </w:r>
          </w:p>
        </w:tc>
        <w:tc>
          <w:tcPr/>
          <w:p>
            <w:pPr>
              <w:pStyle w:val="Compact"/>
              <w:jc w:val="left"/>
            </w:pPr>
            <w:r>
              <w:t xml:space="preserve">Teal, 205° / 12</w:t>
            </w:r>
          </w:p>
        </w:tc>
      </w:tr>
      <w:tr>
        <w:tc>
          <w:tcPr/>
          <w:p>
            <w:pPr>
              <w:pStyle w:val="Compact"/>
              <w:jc w:val="left"/>
            </w:pPr>
            <w:r>
              <w:t xml:space="preserve">Series Glow</w:t>
            </w:r>
          </w:p>
        </w:tc>
        <w:tc>
          <w:tcPr/>
          <w:p>
            <w:pPr>
              <w:pStyle w:val="Compact"/>
              <w:jc w:val="left"/>
            </w:pPr>
            <w:r>
              <w:t xml:space="preserve">Netflix Inspired</w:t>
            </w:r>
          </w:p>
        </w:tc>
        <w:tc>
          <w:tcPr/>
          <w:p>
            <w:pPr>
              <w:pStyle w:val="Compact"/>
              <w:jc w:val="left"/>
            </w:pPr>
            <w:r>
              <w:t xml:space="preserve">Romantic comedy</w:t>
            </w:r>
          </w:p>
        </w:tc>
        <w:tc>
          <w:tcPr/>
          <w:p>
            <w:pPr>
              <w:pStyle w:val="Compact"/>
              <w:jc w:val="left"/>
            </w:pPr>
            <w:r>
              <w:t xml:space="preserve">Soft teal/orange, lifted blacks</w:t>
            </w:r>
          </w:p>
        </w:tc>
        <w:tc>
          <w:tcPr/>
          <w:p>
            <w:pPr>
              <w:pStyle w:val="Compact"/>
              <w:jc w:val="left"/>
            </w:pPr>
            <w:r>
              <w:t xml:space="preserve">Peach, 40° / 8</w:t>
            </w:r>
          </w:p>
        </w:tc>
        <w:tc>
          <w:tcPr/>
          <w:p>
            <w:pPr>
              <w:pStyle w:val="Compact"/>
              <w:jc w:val="left"/>
            </w:pPr>
            <w:r>
              <w:t xml:space="preserve">Teal, 190° / 8</w:t>
            </w:r>
          </w:p>
        </w:tc>
      </w:tr>
      <w:tr>
        <w:tc>
          <w:tcPr/>
          <w:p>
            <w:pPr>
              <w:pStyle w:val="Compact"/>
              <w:jc w:val="left"/>
            </w:pPr>
            <w:r>
              <w:t xml:space="preserve">Episode One</w:t>
            </w:r>
          </w:p>
        </w:tc>
        <w:tc>
          <w:tcPr/>
          <w:p>
            <w:pPr>
              <w:pStyle w:val="Compact"/>
              <w:jc w:val="left"/>
            </w:pPr>
            <w:r>
              <w:t xml:space="preserve">Netflix Inspired</w:t>
            </w:r>
          </w:p>
        </w:tc>
        <w:tc>
          <w:tcPr/>
          <w:p>
            <w:pPr>
              <w:pStyle w:val="Compact"/>
              <w:jc w:val="left"/>
            </w:pPr>
            <w:r>
              <w:t xml:space="preserve">Premium opener</w:t>
            </w:r>
          </w:p>
        </w:tc>
        <w:tc>
          <w:tcPr/>
          <w:p>
            <w:pPr>
              <w:pStyle w:val="Compact"/>
              <w:jc w:val="left"/>
            </w:pPr>
            <w:r>
              <w:t xml:space="preserve">Bold contrast, cinematic</w:t>
            </w:r>
          </w:p>
        </w:tc>
        <w:tc>
          <w:tcPr/>
          <w:p>
            <w:pPr>
              <w:pStyle w:val="Compact"/>
              <w:jc w:val="left"/>
            </w:pPr>
            <w:r>
              <w:t xml:space="preserve">Amber, 32° / 14</w:t>
            </w:r>
          </w:p>
        </w:tc>
        <w:tc>
          <w:tcPr/>
          <w:p>
            <w:pPr>
              <w:pStyle w:val="Compact"/>
              <w:jc w:val="left"/>
            </w:pPr>
            <w:r>
              <w:t xml:space="preserve">Cyan, 198° / 11</w:t>
            </w:r>
          </w:p>
        </w:tc>
      </w:tr>
      <w:tr>
        <w:tc>
          <w:tcPr/>
          <w:p>
            <w:pPr>
              <w:pStyle w:val="Compact"/>
              <w:jc w:val="left"/>
            </w:pPr>
            <w:r>
              <w:t xml:space="preserve">Hereditary Mood</w:t>
            </w:r>
          </w:p>
        </w:tc>
        <w:tc>
          <w:tcPr/>
          <w:p>
            <w:pPr>
              <w:pStyle w:val="Compact"/>
              <w:jc w:val="left"/>
            </w:pPr>
            <w:r>
              <w:t xml:space="preserve">A24 Inspired</w:t>
            </w:r>
          </w:p>
        </w:tc>
        <w:tc>
          <w:tcPr/>
          <w:p>
            <w:pPr>
              <w:pStyle w:val="Compact"/>
              <w:jc w:val="left"/>
            </w:pPr>
            <w:r>
              <w:t xml:space="preserve">Psychological horror</w:t>
            </w:r>
          </w:p>
        </w:tc>
        <w:tc>
          <w:tcPr/>
          <w:p>
            <w:pPr>
              <w:pStyle w:val="Compact"/>
              <w:jc w:val="left"/>
            </w:pPr>
            <w:r>
              <w:t xml:space="preserve">Deep shadows, muted colors</w:t>
            </w:r>
          </w:p>
        </w:tc>
        <w:tc>
          <w:tcPr/>
          <w:p>
            <w:pPr>
              <w:pStyle w:val="Compact"/>
              <w:jc w:val="left"/>
            </w:pPr>
            <w:r>
              <w:t xml:space="preserve">Olive, 55° / 6</w:t>
            </w:r>
          </w:p>
        </w:tc>
        <w:tc>
          <w:tcPr/>
          <w:p>
            <w:pPr>
              <w:pStyle w:val="Compact"/>
              <w:jc w:val="left"/>
            </w:pPr>
            <w:r>
              <w:t xml:space="preserve">Blue, 220° / 14</w:t>
            </w:r>
          </w:p>
        </w:tc>
      </w:tr>
      <w:tr>
        <w:tc>
          <w:tcPr/>
          <w:p>
            <w:pPr>
              <w:pStyle w:val="Compact"/>
              <w:jc w:val="left"/>
            </w:pPr>
            <w:r>
              <w:t xml:space="preserve">Moonlight Glow</w:t>
            </w:r>
          </w:p>
        </w:tc>
        <w:tc>
          <w:tcPr/>
          <w:p>
            <w:pPr>
              <w:pStyle w:val="Compact"/>
              <w:jc w:val="left"/>
            </w:pPr>
            <w:r>
              <w:t xml:space="preserve">A24 Inspired</w:t>
            </w:r>
          </w:p>
        </w:tc>
        <w:tc>
          <w:tcPr/>
          <w:p>
            <w:pPr>
              <w:pStyle w:val="Compact"/>
              <w:jc w:val="left"/>
            </w:pPr>
            <w:r>
              <w:t xml:space="preserve">Blue monochrome</w:t>
            </w:r>
          </w:p>
        </w:tc>
        <w:tc>
          <w:tcPr/>
          <w:p>
            <w:pPr>
              <w:pStyle w:val="Compact"/>
              <w:jc w:val="left"/>
            </w:pPr>
            <w:r>
              <w:t xml:space="preserve">Teal bias, desaturated warmth</w:t>
            </w:r>
          </w:p>
        </w:tc>
        <w:tc>
          <w:tcPr/>
          <w:p>
            <w:pPr>
              <w:pStyle w:val="Compact"/>
              <w:jc w:val="left"/>
            </w:pPr>
            <w:r>
              <w:t xml:space="preserve">Cyan, 180° / 10</w:t>
            </w:r>
          </w:p>
        </w:tc>
        <w:tc>
          <w:tcPr/>
          <w:p>
            <w:pPr>
              <w:pStyle w:val="Compact"/>
              <w:jc w:val="left"/>
            </w:pPr>
            <w:r>
              <w:t xml:space="preserve">Blue, 210° / 16</w:t>
            </w:r>
          </w:p>
        </w:tc>
      </w:tr>
      <w:tr>
        <w:tc>
          <w:tcPr/>
          <w:p>
            <w:pPr>
              <w:pStyle w:val="Compact"/>
              <w:jc w:val="left"/>
            </w:pPr>
            <w:r>
              <w:t xml:space="preserve">Midsommar Haze</w:t>
            </w:r>
          </w:p>
        </w:tc>
        <w:tc>
          <w:tcPr/>
          <w:p>
            <w:pPr>
              <w:pStyle w:val="Compact"/>
              <w:jc w:val="left"/>
            </w:pPr>
            <w:r>
              <w:t xml:space="preserve">A24 Inspired</w:t>
            </w:r>
          </w:p>
        </w:tc>
        <w:tc>
          <w:tcPr/>
          <w:p>
            <w:pPr>
              <w:pStyle w:val="Compact"/>
              <w:jc w:val="left"/>
            </w:pPr>
            <w:r>
              <w:t xml:space="preserve">Overexposed daylight</w:t>
            </w:r>
          </w:p>
        </w:tc>
        <w:tc>
          <w:tcPr/>
          <w:p>
            <w:pPr>
              <w:pStyle w:val="Compact"/>
              <w:jc w:val="left"/>
            </w:pPr>
            <w:r>
              <w:t xml:space="preserve">Lifted blacks, warm haze</w:t>
            </w:r>
          </w:p>
        </w:tc>
        <w:tc>
          <w:tcPr/>
          <w:p>
            <w:pPr>
              <w:pStyle w:val="Compact"/>
              <w:jc w:val="left"/>
            </w:pPr>
            <w:r>
              <w:t xml:space="preserve">Warm yellow, 50° / 12</w:t>
            </w:r>
          </w:p>
        </w:tc>
        <w:tc>
          <w:tcPr/>
          <w:p>
            <w:pPr>
              <w:pStyle w:val="Compact"/>
              <w:jc w:val="left"/>
            </w:pPr>
            <w:r>
              <w:t xml:space="preserve">Teal, 185° / 8</w:t>
            </w:r>
          </w:p>
        </w:tc>
      </w:tr>
      <w:tr>
        <w:tc>
          <w:tcPr/>
          <w:p>
            <w:pPr>
              <w:pStyle w:val="Compact"/>
              <w:jc w:val="left"/>
            </w:pPr>
            <w:r>
              <w:t xml:space="preserve">Ex Machina</w:t>
            </w:r>
          </w:p>
        </w:tc>
        <w:tc>
          <w:tcPr/>
          <w:p>
            <w:pPr>
              <w:pStyle w:val="Compact"/>
              <w:jc w:val="left"/>
            </w:pPr>
            <w:r>
              <w:t xml:space="preserve">A24 Inspired</w:t>
            </w:r>
          </w:p>
        </w:tc>
        <w:tc>
          <w:tcPr/>
          <w:p>
            <w:pPr>
              <w:pStyle w:val="Compact"/>
              <w:jc w:val="left"/>
            </w:pPr>
            <w:r>
              <w:t xml:space="preserve">Sci-fi minimalism</w:t>
            </w:r>
          </w:p>
        </w:tc>
        <w:tc>
          <w:tcPr/>
          <w:p>
            <w:pPr>
              <w:pStyle w:val="Compact"/>
              <w:jc w:val="left"/>
            </w:pPr>
            <w:r>
              <w:t xml:space="preserve">Clean whites, subtle cool</w:t>
            </w:r>
          </w:p>
        </w:tc>
        <w:tc>
          <w:tcPr/>
          <w:p>
            <w:pPr>
              <w:pStyle w:val="Compact"/>
              <w:jc w:val="left"/>
            </w:pPr>
            <w:r>
              <w:t xml:space="preserve">Neutral warm, 45° / 6</w:t>
            </w:r>
          </w:p>
        </w:tc>
        <w:tc>
          <w:tcPr/>
          <w:p>
            <w:pPr>
              <w:pStyle w:val="Compact"/>
              <w:jc w:val="left"/>
            </w:pPr>
            <w:r>
              <w:t xml:space="preserve">Cool blue, 215° / 10</w:t>
            </w:r>
          </w:p>
        </w:tc>
      </w:tr>
      <w:tr>
        <w:tc>
          <w:tcPr/>
          <w:p>
            <w:pPr>
              <w:pStyle w:val="Compact"/>
              <w:jc w:val="left"/>
            </w:pPr>
            <w:r>
              <w:t xml:space="preserve">Green Knight</w:t>
            </w:r>
          </w:p>
        </w:tc>
        <w:tc>
          <w:tcPr/>
          <w:p>
            <w:pPr>
              <w:pStyle w:val="Compact"/>
              <w:jc w:val="left"/>
            </w:pPr>
            <w:r>
              <w:t xml:space="preserve">A24 Inspired</w:t>
            </w:r>
          </w:p>
        </w:tc>
        <w:tc>
          <w:tcPr/>
          <w:p>
            <w:pPr>
              <w:pStyle w:val="Compact"/>
              <w:jc w:val="left"/>
            </w:pPr>
            <w:r>
              <w:t xml:space="preserve">Medieval fantasy</w:t>
            </w:r>
          </w:p>
        </w:tc>
        <w:tc>
          <w:tcPr/>
          <w:p>
            <w:pPr>
              <w:pStyle w:val="Compact"/>
              <w:jc w:val="left"/>
            </w:pPr>
            <w:r>
              <w:t xml:space="preserve">Earth tones, desaturated</w:t>
            </w:r>
          </w:p>
        </w:tc>
        <w:tc>
          <w:tcPr/>
          <w:p>
            <w:pPr>
              <w:pStyle w:val="Compact"/>
              <w:jc w:val="left"/>
            </w:pPr>
            <w:r>
              <w:t xml:space="preserve">Ochre, 48° / 10</w:t>
            </w:r>
          </w:p>
        </w:tc>
        <w:tc>
          <w:tcPr/>
          <w:p>
            <w:pPr>
              <w:pStyle w:val="Compact"/>
              <w:jc w:val="left"/>
            </w:pPr>
            <w:r>
              <w:t xml:space="preserve">Olive, 75° / 8</w:t>
            </w:r>
          </w:p>
        </w:tc>
      </w:tr>
      <w:tr>
        <w:tc>
          <w:tcPr/>
          <w:p>
            <w:pPr>
              <w:pStyle w:val="Compact"/>
              <w:jc w:val="left"/>
            </w:pPr>
            <w:r>
              <w:t xml:space="preserve">Alexa Log</w:t>
            </w:r>
          </w:p>
        </w:tc>
        <w:tc>
          <w:tcPr/>
          <w:p>
            <w:pPr>
              <w:pStyle w:val="Compact"/>
              <w:jc w:val="left"/>
            </w:pPr>
            <w:r>
              <w:t xml:space="preserve">ARRI Alexa Look</w:t>
            </w:r>
          </w:p>
        </w:tc>
        <w:tc>
          <w:tcPr/>
          <w:p>
            <w:pPr>
              <w:pStyle w:val="Compact"/>
              <w:jc w:val="left"/>
            </w:pPr>
            <w:r>
              <w:t xml:space="preserve">LogC transformation</w:t>
            </w:r>
          </w:p>
        </w:tc>
        <w:tc>
          <w:tcPr/>
          <w:p>
            <w:pPr>
              <w:pStyle w:val="Compact"/>
              <w:jc w:val="left"/>
            </w:pPr>
            <w:r>
              <w:t xml:space="preserve">Wide dynamic range, flat</w:t>
            </w:r>
          </w:p>
        </w:tc>
        <w:tc>
          <w:tcPr/>
          <w:p>
            <w:pPr>
              <w:pStyle w:val="Compact"/>
              <w:jc w:val="left"/>
            </w:pPr>
            <w:r>
              <w:t xml:space="preserve">Neutral</w:t>
            </w:r>
          </w:p>
        </w:tc>
        <w:tc>
          <w:tcPr/>
          <w:p>
            <w:pPr>
              <w:pStyle w:val="Compact"/>
              <w:jc w:val="left"/>
            </w:pPr>
            <w:r>
              <w:t xml:space="preserve">Neutral</w:t>
            </w:r>
          </w:p>
        </w:tc>
      </w:tr>
      <w:tr>
        <w:tc>
          <w:tcPr/>
          <w:p>
            <w:pPr>
              <w:pStyle w:val="Compact"/>
              <w:jc w:val="left"/>
            </w:pPr>
            <w:r>
              <w:t xml:space="preserve">ARRI Natural</w:t>
            </w:r>
          </w:p>
        </w:tc>
        <w:tc>
          <w:tcPr/>
          <w:p>
            <w:pPr>
              <w:pStyle w:val="Compact"/>
              <w:jc w:val="left"/>
            </w:pPr>
            <w:r>
              <w:t xml:space="preserve">ARRI Alexa Look</w:t>
            </w:r>
          </w:p>
        </w:tc>
        <w:tc>
          <w:tcPr/>
          <w:p>
            <w:pPr>
              <w:pStyle w:val="Compact"/>
              <w:jc w:val="left"/>
            </w:pPr>
            <w:r>
              <w:t xml:space="preserve">Rec.709 rendering</w:t>
            </w:r>
          </w:p>
        </w:tc>
        <w:tc>
          <w:tcPr/>
          <w:p>
            <w:pPr>
              <w:pStyle w:val="Compact"/>
              <w:jc w:val="left"/>
            </w:pPr>
            <w:r>
              <w:t xml:space="preserve">Natural skin, balanced</w:t>
            </w:r>
          </w:p>
        </w:tc>
        <w:tc>
          <w:tcPr/>
          <w:p>
            <w:pPr>
              <w:pStyle w:val="Compact"/>
              <w:jc w:val="left"/>
            </w:pPr>
            <w:r>
              <w:t xml:space="preserve">Warm, 42° / 8</w:t>
            </w:r>
          </w:p>
        </w:tc>
        <w:tc>
          <w:tcPr/>
          <w:p>
            <w:pPr>
              <w:pStyle w:val="Compact"/>
              <w:jc w:val="left"/>
            </w:pPr>
            <w:r>
              <w:t xml:space="preserve">Cool, 210° / 6</w:t>
            </w:r>
          </w:p>
        </w:tc>
      </w:tr>
      <w:tr>
        <w:tc>
          <w:tcPr/>
          <w:p>
            <w:pPr>
              <w:pStyle w:val="Compact"/>
              <w:jc w:val="left"/>
            </w:pPr>
            <w:r>
              <w:t xml:space="preserve">Cinema Skin</w:t>
            </w:r>
          </w:p>
        </w:tc>
        <w:tc>
          <w:tcPr/>
          <w:p>
            <w:pPr>
              <w:pStyle w:val="Compact"/>
              <w:jc w:val="left"/>
            </w:pPr>
            <w:r>
              <w:t xml:space="preserve">ARRI Alexa Look</w:t>
            </w:r>
          </w:p>
        </w:tc>
        <w:tc>
          <w:tcPr/>
          <w:p>
            <w:pPr>
              <w:pStyle w:val="Compact"/>
              <w:jc w:val="left"/>
            </w:pPr>
            <w:r>
              <w:t xml:space="preserve">Skin tone priority</w:t>
            </w:r>
          </w:p>
        </w:tc>
        <w:tc>
          <w:tcPr/>
          <w:p>
            <w:pPr>
              <w:pStyle w:val="Compact"/>
              <w:jc w:val="left"/>
            </w:pPr>
            <w:r>
              <w:t xml:space="preserve">Optimized flesh tones</w:t>
            </w:r>
          </w:p>
        </w:tc>
        <w:tc>
          <w:tcPr/>
          <w:p>
            <w:pPr>
              <w:pStyle w:val="Compact"/>
              <w:jc w:val="left"/>
            </w:pPr>
            <w:r>
              <w:t xml:space="preserve">Peach, 38° / 10</w:t>
            </w:r>
          </w:p>
        </w:tc>
        <w:tc>
          <w:tcPr/>
          <w:p>
            <w:pPr>
              <w:pStyle w:val="Compact"/>
              <w:jc w:val="left"/>
            </w:pPr>
            <w:r>
              <w:t xml:space="preserve">Teal, 200° / 7</w:t>
            </w:r>
          </w:p>
        </w:tc>
      </w:tr>
      <w:tr>
        <w:tc>
          <w:tcPr/>
          <w:p>
            <w:pPr>
              <w:pStyle w:val="Compact"/>
              <w:jc w:val="left"/>
            </w:pPr>
            <w:r>
              <w:t xml:space="preserve">Digital Film</w:t>
            </w:r>
          </w:p>
        </w:tc>
        <w:tc>
          <w:tcPr/>
          <w:p>
            <w:pPr>
              <w:pStyle w:val="Compact"/>
              <w:jc w:val="left"/>
            </w:pPr>
            <w:r>
              <w:t xml:space="preserve">ARRI Alexa Look</w:t>
            </w:r>
          </w:p>
        </w:tc>
        <w:tc>
          <w:tcPr/>
          <w:p>
            <w:pPr>
              <w:pStyle w:val="Compact"/>
              <w:jc w:val="left"/>
            </w:pPr>
            <w:r>
              <w:t xml:space="preserve">Film-out emulation</w:t>
            </w:r>
          </w:p>
        </w:tc>
        <w:tc>
          <w:tcPr/>
          <w:p>
            <w:pPr>
              <w:pStyle w:val="Compact"/>
              <w:jc w:val="left"/>
            </w:pPr>
            <w:r>
              <w:t xml:space="preserve">Slight contrast increase</w:t>
            </w:r>
          </w:p>
        </w:tc>
        <w:tc>
          <w:tcPr/>
          <w:p>
            <w:pPr>
              <w:pStyle w:val="Compact"/>
              <w:jc w:val="left"/>
            </w:pPr>
            <w:r>
              <w:t xml:space="preserve">Warm, 45° / 9</w:t>
            </w:r>
          </w:p>
        </w:tc>
        <w:tc>
          <w:tcPr/>
          <w:p>
            <w:pPr>
              <w:pStyle w:val="Compact"/>
              <w:jc w:val="left"/>
            </w:pPr>
            <w:r>
              <w:t xml:space="preserve">Blue, 215° / 8</w:t>
            </w:r>
          </w:p>
        </w:tc>
      </w:tr>
      <w:tr>
        <w:tc>
          <w:tcPr/>
          <w:p>
            <w:pPr>
              <w:pStyle w:val="Compact"/>
              <w:jc w:val="left"/>
            </w:pPr>
            <w:r>
              <w:t xml:space="preserve">Alexa Wide</w:t>
            </w:r>
          </w:p>
        </w:tc>
        <w:tc>
          <w:tcPr/>
          <w:p>
            <w:pPr>
              <w:pStyle w:val="Compact"/>
              <w:jc w:val="left"/>
            </w:pPr>
            <w:r>
              <w:t xml:space="preserve">ARRI Alexa Look</w:t>
            </w:r>
          </w:p>
        </w:tc>
        <w:tc>
          <w:tcPr/>
          <w:p>
            <w:pPr>
              <w:pStyle w:val="Compact"/>
              <w:jc w:val="left"/>
            </w:pPr>
            <w:r>
              <w:t xml:space="preserve">Maximum DR use</w:t>
            </w:r>
          </w:p>
        </w:tc>
        <w:tc>
          <w:tcPr/>
          <w:p>
            <w:pPr>
              <w:pStyle w:val="Compact"/>
              <w:jc w:val="left"/>
            </w:pPr>
            <w:r>
              <w:t xml:space="preserve">Gentle S-curve, all detail</w:t>
            </w:r>
          </w:p>
        </w:tc>
        <w:tc>
          <w:tcPr/>
          <w:p>
            <w:pPr>
              <w:pStyle w:val="Compact"/>
              <w:jc w:val="left"/>
            </w:pPr>
            <w:r>
              <w:t xml:space="preserve">Neutral warm, 40° / 6</w:t>
            </w:r>
          </w:p>
        </w:tc>
        <w:tc>
          <w:tcPr/>
          <w:p>
            <w:pPr>
              <w:pStyle w:val="Compact"/>
              <w:jc w:val="left"/>
            </w:pPr>
            <w:r>
              <w:t xml:space="preserve">Cool, 205° / 6</w:t>
            </w:r>
          </w:p>
        </w:tc>
      </w:tr>
    </w:tbl>
    <w:p>
      <w:pPr>
        <w:pStyle w:val="BodyText"/>
      </w:pPr>
      <w:r>
        <w:t xml:space="preserve">The 15 cinematic presets demonstrate deliberate variation within aesthetic families. Netflix-inspired entries share the teal/orange foundation but diverge in saturation intensity (Series Glow at 8/8 versus Teal Drama at 15/12) and black-point treatment. A24-inspired entries favor olive/ochre and blue-teal separations producing the</w:t>
      </w:r>
      <w:r>
        <w:t xml:space="preserve"> </w:t>
      </w:r>
      <w:r>
        <w:t xml:space="preserve">“</w:t>
      </w:r>
      <w:r>
        <w:t xml:space="preserve">muted primaries + fine grain</w:t>
      </w:r>
      <w:r>
        <w:t xml:space="preserve">”</w:t>
      </w:r>
      <w:r>
        <w:t xml:space="preserve"> </w:t>
      </w:r>
      <w:r>
        <w:t xml:space="preserve">signature. ARRI Alexa presets prioritize natural hue reproduction with minimal color manipulation.</w:t>
      </w:r>
    </w:p>
    <w:bookmarkEnd w:id="96"/>
    <w:bookmarkStart w:id="97" w:name="X25af912489ac967b1c595b583260384d8ccf678"/>
    <w:p>
      <w:pPr>
        <w:pStyle w:val="Heading4"/>
      </w:pPr>
      <w:r>
        <w:t xml:space="preserve">5.2.4 Aesthetic: Cyberpunk Cinema, Night Neon, Neo Noir, and Dark Instagram</w:t>
      </w:r>
    </w:p>
    <w:p>
      <w:pPr>
        <w:pStyle w:val="FirstParagraph"/>
      </w:pPr>
      <w:r>
        <w:t xml:space="preserve">The Aesthetic category addresses four dominant stylized trends across 20 presets. Cyberpunk Cinema (</w:t>
      </w:r>
      <w:r>
        <w:rPr>
          <w:iCs/>
          <w:i/>
        </w:rPr>
        <w:t xml:space="preserve">Neon Dystopia</w:t>
      </w:r>
      <w:r>
        <w:t xml:space="preserve"> </w:t>
      </w:r>
      <w:r>
        <w:t xml:space="preserve">through</w:t>
      </w:r>
      <w:r>
        <w:t xml:space="preserve"> </w:t>
      </w:r>
      <w:r>
        <w:rPr>
          <w:iCs/>
          <w:i/>
        </w:rPr>
        <w:t xml:space="preserve">Chrome Dreams</w:t>
      </w:r>
      <w:r>
        <w:t xml:space="preserve">) applies the cyan/magenta split with high contrast: shadows to electric cyan (Hue 185–195°), highlights toward magenta (Hue 320–340°), blacks crushed below 15 IRE. Night Neon (</w:t>
      </w:r>
      <w:r>
        <w:rPr>
          <w:iCs/>
          <w:i/>
        </w:rPr>
        <w:t xml:space="preserve">Cyber Glow</w:t>
      </w:r>
      <w:r>
        <w:t xml:space="preserve"> </w:t>
      </w:r>
      <w:r>
        <w:t xml:space="preserve">through</w:t>
      </w:r>
      <w:r>
        <w:t xml:space="preserve"> </w:t>
      </w:r>
      <w:r>
        <w:rPr>
          <w:iCs/>
          <w:i/>
        </w:rPr>
        <w:t xml:space="preserve">Laser Dreams</w:t>
      </w:r>
      <w:r>
        <w:t xml:space="preserve">) functions as a companion with more restrained shadow handling, prioritizing glow enhancement of practical light sources through selective luminance masking. Neo Noir (</w:t>
      </w:r>
      <w:r>
        <w:rPr>
          <w:iCs/>
          <w:i/>
        </w:rPr>
        <w:t xml:space="preserve">Shadow Play</w:t>
      </w:r>
      <w:r>
        <w:t xml:space="preserve"> </w:t>
      </w:r>
      <w:r>
        <w:t xml:space="preserve">through</w:t>
      </w:r>
      <w:r>
        <w:t xml:space="preserve"> </w:t>
      </w:r>
      <w:r>
        <w:rPr>
          <w:iCs/>
          <w:i/>
        </w:rPr>
        <w:t xml:space="preserve">Velvet Shadows</w:t>
      </w:r>
      <w:r>
        <w:t xml:space="preserve">) draws from classic chiaroscuro with modern sensibility: blacks crushed to 5–10 IRE but midtones preserved through parametric curve control. Dark Instagram Mood (</w:t>
      </w:r>
      <w:r>
        <w:rPr>
          <w:iCs/>
          <w:i/>
        </w:rPr>
        <w:t xml:space="preserve">Mood Grid</w:t>
      </w:r>
      <w:r>
        <w:t xml:space="preserve"> </w:t>
      </w:r>
      <w:r>
        <w:t xml:space="preserve">through</w:t>
      </w:r>
      <w:r>
        <w:t xml:space="preserve"> </w:t>
      </w:r>
      <w:r>
        <w:rPr>
          <w:iCs/>
          <w:i/>
        </w:rPr>
        <w:t xml:space="preserve">Dim Aesthetic</w:t>
      </w:r>
      <w:r>
        <w:t xml:space="preserve">) delivers the desaturated, cool-toned, crushed-black look calibrated for mobile displays where subtle shadow detail would be lost regardless.</w:t>
      </w:r>
    </w:p>
    <w:bookmarkEnd w:id="97"/>
    <w:bookmarkStart w:id="98" w:name="X6f3f08910f6c87d1fc5aa0f09782ab0a1ddb1df"/>
    <w:p>
      <w:pPr>
        <w:pStyle w:val="Heading4"/>
      </w:pPr>
      <w:r>
        <w:t xml:space="preserve">5.2.5 Utility: Wedding, Travel, Creator Economy, and Music Video</w:t>
      </w:r>
    </w:p>
    <w:p>
      <w:pPr>
        <w:pStyle w:val="FirstParagraph"/>
      </w:pPr>
      <w:r>
        <w:t xml:space="preserve">The Utility category serves high-volume professional workflows. Dreamy Wedding (</w:t>
      </w:r>
      <w:r>
        <w:rPr>
          <w:iCs/>
          <w:i/>
        </w:rPr>
        <w:t xml:space="preserve">Blush Veil</w:t>
      </w:r>
      <w:r>
        <w:t xml:space="preserve"> </w:t>
      </w:r>
      <w:r>
        <w:t xml:space="preserve">through</w:t>
      </w:r>
      <w:r>
        <w:t xml:space="preserve"> </w:t>
      </w:r>
      <w:r>
        <w:rPr>
          <w:iCs/>
          <w:i/>
        </w:rPr>
        <w:t xml:space="preserve">Romantic Haze</w:t>
      </w:r>
      <w:r>
        <w:t xml:space="preserve">) targets the soft, film-emulated imagery with pastel tones prized in bridal portraiture [^Dim07^], lifting blacks +15 to +22 with HSL desaturation of the red channel’s darker values to prevent</w:t>
      </w:r>
      <w:r>
        <w:t xml:space="preserve"> </w:t>
      </w:r>
      <w:r>
        <w:t xml:space="preserve">“</w:t>
      </w:r>
      <w:r>
        <w:t xml:space="preserve">ruddy</w:t>
      </w:r>
      <w:r>
        <w:t xml:space="preserve">”</w:t>
      </w:r>
      <w:r>
        <w:t xml:space="preserve"> </w:t>
      </w:r>
      <w:r>
        <w:t xml:space="preserve">skin. Luxury Travel (</w:t>
      </w:r>
      <w:r>
        <w:rPr>
          <w:iCs/>
          <w:i/>
        </w:rPr>
        <w:t xml:space="preserve">Golden Horizon</w:t>
      </w:r>
      <w:r>
        <w:t xml:space="preserve"> </w:t>
      </w:r>
      <w:r>
        <w:t xml:space="preserve">through</w:t>
      </w:r>
      <w:r>
        <w:t xml:space="preserve"> </w:t>
      </w:r>
      <w:r>
        <w:rPr>
          <w:iCs/>
          <w:i/>
        </w:rPr>
        <w:t xml:space="preserve">Wanderlust Gold</w:t>
      </w:r>
      <w:r>
        <w:t xml:space="preserve">) emphasizes golden-hour warmth through temperature shifts (+800 to +1200K). Clean Creator Economy (</w:t>
      </w:r>
      <w:r>
        <w:rPr>
          <w:iCs/>
          <w:i/>
        </w:rPr>
        <w:t xml:space="preserve">Bright Start</w:t>
      </w:r>
      <w:r>
        <w:t xml:space="preserve"> </w:t>
      </w:r>
      <w:r>
        <w:t xml:space="preserve">through</w:t>
      </w:r>
      <w:r>
        <w:t xml:space="preserve"> </w:t>
      </w:r>
      <w:r>
        <w:rPr>
          <w:iCs/>
          <w:i/>
        </w:rPr>
        <w:t xml:space="preserve">Modern Voice</w:t>
      </w:r>
      <w:r>
        <w:t xml:space="preserve">) delivers bright, approachable aesthetics for YouTube thumbnails with exposure boosts of +0.3 to +0.7 EV and clarity at +10 to +20. Music Video Looks (</w:t>
      </w:r>
      <w:r>
        <w:rPr>
          <w:iCs/>
          <w:i/>
        </w:rPr>
        <w:t xml:space="preserve">MTA Glow</w:t>
      </w:r>
      <w:r>
        <w:t xml:space="preserve"> </w:t>
      </w:r>
      <w:r>
        <w:t xml:space="preserve">through</w:t>
      </w:r>
      <w:r>
        <w:t xml:space="preserve"> </w:t>
      </w:r>
      <w:r>
        <w:rPr>
          <w:iCs/>
          <w:i/>
        </w:rPr>
        <w:t xml:space="preserve">Beat Drop</w:t>
      </w:r>
      <w:r>
        <w:t xml:space="preserve">) provides stylized, dramatic grading with aggressive contrast for high-impact performance footage. Temperature adjustments in the Travel presets use relative values (+800K to +1200K from as-shot) to preserve photographer-determined white balance while shifting toward golden-hour warmth.</w:t>
      </w:r>
    </w:p>
    <w:p>
      <w:pPr>
        <w:pStyle w:val="BodyText"/>
      </w:pPr>
      <w:r>
        <w:t xml:space="preserve">The following table presents the complete 25-category taxonomy with representative preset names and intended use cases: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Category</w:t>
            </w:r>
          </w:p>
        </w:tc>
        <w:tc>
          <w:tcPr/>
          <w:p>
            <w:pPr>
              <w:pStyle w:val="Compact"/>
              <w:jc w:val="left"/>
            </w:pPr>
            <w:r>
              <w:t xml:space="preserve">Preset 1</w:t>
            </w:r>
          </w:p>
        </w:tc>
        <w:tc>
          <w:tcPr/>
          <w:p>
            <w:pPr>
              <w:pStyle w:val="Compact"/>
              <w:jc w:val="left"/>
            </w:pPr>
            <w:r>
              <w:t xml:space="preserve">Preset 2</w:t>
            </w:r>
          </w:p>
        </w:tc>
        <w:tc>
          <w:tcPr/>
          <w:p>
            <w:pPr>
              <w:pStyle w:val="Compact"/>
              <w:jc w:val="left"/>
            </w:pPr>
            <w:r>
              <w:t xml:space="preserve">Preset 3</w:t>
            </w:r>
          </w:p>
        </w:tc>
        <w:tc>
          <w:tcPr/>
          <w:p>
            <w:pPr>
              <w:pStyle w:val="Compact"/>
              <w:jc w:val="left"/>
            </w:pPr>
            <w:r>
              <w:t xml:space="preserve">Preset 4</w:t>
            </w:r>
          </w:p>
        </w:tc>
        <w:tc>
          <w:tcPr/>
          <w:p>
            <w:pPr>
              <w:pStyle w:val="Compact"/>
              <w:jc w:val="left"/>
            </w:pPr>
            <w:r>
              <w:t xml:space="preserve">Preset 5</w:t>
            </w:r>
          </w:p>
        </w:tc>
        <w:tc>
          <w:tcPr/>
          <w:p>
            <w:pPr>
              <w:pStyle w:val="Compact"/>
              <w:jc w:val="left"/>
            </w:pPr>
            <w:r>
              <w:t xml:space="preserve">Primary Use Case</w:t>
            </w:r>
          </w:p>
        </w:tc>
      </w:tr>
      <w:tr>
        <w:tc>
          <w:tcPr/>
          <w:p>
            <w:pPr>
              <w:pStyle w:val="Compact"/>
              <w:jc w:val="left"/>
            </w:pPr>
            <w:r>
              <w:t xml:space="preserve">Luxury Editorial</w:t>
            </w:r>
          </w:p>
        </w:tc>
        <w:tc>
          <w:tcPr/>
          <w:p>
            <w:pPr>
              <w:pStyle w:val="Compact"/>
              <w:jc w:val="left"/>
            </w:pPr>
            <w:r>
              <w:t xml:space="preserve">Nocturne Lux</w:t>
            </w:r>
          </w:p>
        </w:tc>
        <w:tc>
          <w:tcPr/>
          <w:p>
            <w:pPr>
              <w:pStyle w:val="Compact"/>
              <w:jc w:val="left"/>
            </w:pPr>
            <w:r>
              <w:t xml:space="preserve">Velvet Noir</w:t>
            </w:r>
          </w:p>
        </w:tc>
        <w:tc>
          <w:tcPr/>
          <w:p>
            <w:pPr>
              <w:pStyle w:val="Compact"/>
              <w:jc w:val="left"/>
            </w:pPr>
            <w:r>
              <w:t xml:space="preserve">Opulence</w:t>
            </w:r>
          </w:p>
        </w:tc>
        <w:tc>
          <w:tcPr/>
          <w:p>
            <w:pPr>
              <w:pStyle w:val="Compact"/>
              <w:jc w:val="left"/>
            </w:pPr>
            <w:r>
              <w:t xml:space="preserve">Silk Embers</w:t>
            </w:r>
          </w:p>
        </w:tc>
        <w:tc>
          <w:tcPr/>
          <w:p>
            <w:pPr>
              <w:pStyle w:val="Compact"/>
              <w:jc w:val="left"/>
            </w:pPr>
            <w:r>
              <w:t xml:space="preserve">Champagne Dusk</w:t>
            </w:r>
          </w:p>
        </w:tc>
        <w:tc>
          <w:tcPr/>
          <w:p>
            <w:pPr>
              <w:pStyle w:val="Compact"/>
              <w:jc w:val="left"/>
            </w:pPr>
            <w:r>
              <w:t xml:space="preserve">High-end portrait, fashion</w:t>
            </w:r>
          </w:p>
        </w:tc>
      </w:tr>
      <w:tr>
        <w:tc>
          <w:tcPr/>
          <w:p>
            <w:pPr>
              <w:pStyle w:val="Compact"/>
              <w:jc w:val="left"/>
            </w:pPr>
            <w:r>
              <w:t xml:space="preserve">Cinematic Shadows</w:t>
            </w:r>
          </w:p>
        </w:tc>
        <w:tc>
          <w:tcPr/>
          <w:p>
            <w:pPr>
              <w:pStyle w:val="Compact"/>
              <w:jc w:val="left"/>
            </w:pPr>
            <w:r>
              <w:t xml:space="preserve">Obsidian Teal</w:t>
            </w:r>
          </w:p>
        </w:tc>
        <w:tc>
          <w:tcPr/>
          <w:p>
            <w:pPr>
              <w:pStyle w:val="Compact"/>
              <w:jc w:val="left"/>
            </w:pPr>
            <w:r>
              <w:t xml:space="preserve">Crimson Shadow</w:t>
            </w:r>
          </w:p>
        </w:tc>
        <w:tc>
          <w:tcPr/>
          <w:p>
            <w:pPr>
              <w:pStyle w:val="Compact"/>
              <w:jc w:val="left"/>
            </w:pPr>
            <w:r>
              <w:t xml:space="preserve">Abyss Glow</w:t>
            </w:r>
          </w:p>
        </w:tc>
        <w:tc>
          <w:tcPr/>
          <w:p>
            <w:pPr>
              <w:pStyle w:val="Compact"/>
              <w:jc w:val="left"/>
            </w:pPr>
            <w:r>
              <w:t xml:space="preserve">Tungsten Dreams</w:t>
            </w:r>
          </w:p>
        </w:tc>
        <w:tc>
          <w:tcPr/>
          <w:p>
            <w:pPr>
              <w:pStyle w:val="Compact"/>
              <w:jc w:val="left"/>
            </w:pPr>
            <w:r>
              <w:t xml:space="preserve">Midnight Cinema</w:t>
            </w:r>
          </w:p>
        </w:tc>
        <w:tc>
          <w:tcPr/>
          <w:p>
            <w:pPr>
              <w:pStyle w:val="Compact"/>
              <w:jc w:val="left"/>
            </w:pPr>
            <w:r>
              <w:t xml:space="preserve">Dramatic, bold cinema</w:t>
            </w:r>
          </w:p>
        </w:tc>
      </w:tr>
      <w:tr>
        <w:tc>
          <w:tcPr/>
          <w:p>
            <w:pPr>
              <w:pStyle w:val="Compact"/>
              <w:jc w:val="left"/>
            </w:pPr>
            <w:r>
              <w:t xml:space="preserve">Analog Film</w:t>
            </w:r>
          </w:p>
        </w:tc>
        <w:tc>
          <w:tcPr/>
          <w:p>
            <w:pPr>
              <w:pStyle w:val="Compact"/>
              <w:jc w:val="left"/>
            </w:pPr>
            <w:r>
              <w:t xml:space="preserve">Kodachrome Soul</w:t>
            </w:r>
          </w:p>
        </w:tc>
        <w:tc>
          <w:tcPr/>
          <w:p>
            <w:pPr>
              <w:pStyle w:val="Compact"/>
              <w:jc w:val="left"/>
            </w:pPr>
            <w:r>
              <w:t xml:space="preserve">Film Haven</w:t>
            </w:r>
          </w:p>
        </w:tc>
        <w:tc>
          <w:tcPr/>
          <w:p>
            <w:pPr>
              <w:pStyle w:val="Compact"/>
              <w:jc w:val="left"/>
            </w:pPr>
            <w:r>
              <w:t xml:space="preserve">Dust &amp; Grain</w:t>
            </w:r>
          </w:p>
        </w:tc>
        <w:tc>
          <w:tcPr/>
          <w:p>
            <w:pPr>
              <w:pStyle w:val="Compact"/>
              <w:jc w:val="left"/>
            </w:pPr>
            <w:r>
              <w:t xml:space="preserve">Retrograde</w:t>
            </w:r>
          </w:p>
        </w:tc>
        <w:tc>
          <w:tcPr/>
          <w:p>
            <w:pPr>
              <w:pStyle w:val="Compact"/>
              <w:jc w:val="left"/>
            </w:pPr>
            <w:r>
              <w:t xml:space="preserve">Analog Hearts</w:t>
            </w:r>
          </w:p>
        </w:tc>
        <w:tc>
          <w:tcPr/>
          <w:p>
            <w:pPr>
              <w:pStyle w:val="Compact"/>
              <w:jc w:val="left"/>
            </w:pPr>
            <w:r>
              <w:t xml:space="preserve">Vintage, organic</w:t>
            </w:r>
          </w:p>
        </w:tc>
      </w:tr>
      <w:tr>
        <w:tc>
          <w:tcPr/>
          <w:p>
            <w:pPr>
              <w:pStyle w:val="Compact"/>
              <w:jc w:val="left"/>
            </w:pPr>
            <w:r>
              <w:t xml:space="preserve">Moody Documentary</w:t>
            </w:r>
          </w:p>
        </w:tc>
        <w:tc>
          <w:tcPr/>
          <w:p>
            <w:pPr>
              <w:pStyle w:val="Compact"/>
              <w:jc w:val="left"/>
            </w:pPr>
            <w:r>
              <w:t xml:space="preserve">Raw Truth</w:t>
            </w:r>
          </w:p>
        </w:tc>
        <w:tc>
          <w:tcPr/>
          <w:p>
            <w:pPr>
              <w:pStyle w:val="Compact"/>
              <w:jc w:val="left"/>
            </w:pPr>
            <w:r>
              <w:t xml:space="preserve">Street Witness</w:t>
            </w:r>
          </w:p>
        </w:tc>
        <w:tc>
          <w:tcPr/>
          <w:p>
            <w:pPr>
              <w:pStyle w:val="Compact"/>
              <w:jc w:val="left"/>
            </w:pPr>
            <w:r>
              <w:t xml:space="preserve">Shadow Journal</w:t>
            </w:r>
          </w:p>
        </w:tc>
        <w:tc>
          <w:tcPr/>
          <w:p>
            <w:pPr>
              <w:pStyle w:val="Compact"/>
              <w:jc w:val="left"/>
            </w:pPr>
            <w:r>
              <w:t xml:space="preserve">Urban Decay</w:t>
            </w:r>
          </w:p>
        </w:tc>
        <w:tc>
          <w:tcPr/>
          <w:p>
            <w:pPr>
              <w:pStyle w:val="Compact"/>
              <w:jc w:val="left"/>
            </w:pPr>
            <w:r>
              <w:t xml:space="preserve">Light Chaser</w:t>
            </w:r>
          </w:p>
        </w:tc>
        <w:tc>
          <w:tcPr/>
          <w:p>
            <w:pPr>
              <w:pStyle w:val="Compact"/>
              <w:jc w:val="left"/>
            </w:pPr>
            <w:r>
              <w:t xml:space="preserve">Journalistic storytelling</w:t>
            </w:r>
          </w:p>
        </w:tc>
      </w:tr>
      <w:tr>
        <w:tc>
          <w:tcPr/>
          <w:p>
            <w:pPr>
              <w:pStyle w:val="Compact"/>
              <w:jc w:val="left"/>
            </w:pPr>
            <w:r>
              <w:t xml:space="preserve">Dreamy Wedding</w:t>
            </w:r>
          </w:p>
        </w:tc>
        <w:tc>
          <w:tcPr/>
          <w:p>
            <w:pPr>
              <w:pStyle w:val="Compact"/>
              <w:jc w:val="left"/>
            </w:pPr>
            <w:r>
              <w:t xml:space="preserve">Blush Veil</w:t>
            </w:r>
          </w:p>
        </w:tc>
        <w:tc>
          <w:tcPr/>
          <w:p>
            <w:pPr>
              <w:pStyle w:val="Compact"/>
              <w:jc w:val="left"/>
            </w:pPr>
            <w:r>
              <w:t xml:space="preserve">Golden Vows</w:t>
            </w:r>
          </w:p>
        </w:tc>
        <w:tc>
          <w:tcPr/>
          <w:p>
            <w:pPr>
              <w:pStyle w:val="Compact"/>
              <w:jc w:val="left"/>
            </w:pPr>
            <w:r>
              <w:t xml:space="preserve">Ethereal Love</w:t>
            </w:r>
          </w:p>
        </w:tc>
        <w:tc>
          <w:tcPr/>
          <w:p>
            <w:pPr>
              <w:pStyle w:val="Compact"/>
              <w:jc w:val="left"/>
            </w:pPr>
            <w:r>
              <w:t xml:space="preserve">Pastel Promise</w:t>
            </w:r>
          </w:p>
        </w:tc>
        <w:tc>
          <w:tcPr/>
          <w:p>
            <w:pPr>
              <w:pStyle w:val="Compact"/>
              <w:jc w:val="left"/>
            </w:pPr>
            <w:r>
              <w:t xml:space="preserve">Romantic Haze</w:t>
            </w:r>
          </w:p>
        </w:tc>
        <w:tc>
          <w:tcPr/>
          <w:p>
            <w:pPr>
              <w:pStyle w:val="Compact"/>
              <w:jc w:val="left"/>
            </w:pPr>
            <w:r>
              <w:t xml:space="preserve">Bridal, romantic</w:t>
            </w:r>
          </w:p>
        </w:tc>
      </w:tr>
      <w:tr>
        <w:tc>
          <w:tcPr/>
          <w:p>
            <w:pPr>
              <w:pStyle w:val="Compact"/>
              <w:jc w:val="left"/>
            </w:pPr>
            <w:r>
              <w:t xml:space="preserve">Hyperreal Fashion</w:t>
            </w:r>
          </w:p>
        </w:tc>
        <w:tc>
          <w:tcPr/>
          <w:p>
            <w:pPr>
              <w:pStyle w:val="Compact"/>
              <w:jc w:val="left"/>
            </w:pPr>
            <w:r>
              <w:t xml:space="preserve">Neon Runway</w:t>
            </w:r>
          </w:p>
        </w:tc>
        <w:tc>
          <w:tcPr/>
          <w:p>
            <w:pPr>
              <w:pStyle w:val="Compact"/>
              <w:jc w:val="left"/>
            </w:pPr>
            <w:r>
              <w:t xml:space="preserve">Editorial Punch</w:t>
            </w:r>
          </w:p>
        </w:tc>
        <w:tc>
          <w:tcPr/>
          <w:p>
            <w:pPr>
              <w:pStyle w:val="Compact"/>
              <w:jc w:val="left"/>
            </w:pPr>
            <w:r>
              <w:t xml:space="preserve">Glamour Burst</w:t>
            </w:r>
          </w:p>
        </w:tc>
        <w:tc>
          <w:tcPr/>
          <w:p>
            <w:pPr>
              <w:pStyle w:val="Compact"/>
              <w:jc w:val="left"/>
            </w:pPr>
            <w:r>
              <w:t xml:space="preserve">Haute Glow</w:t>
            </w:r>
          </w:p>
        </w:tc>
        <w:tc>
          <w:tcPr/>
          <w:p>
            <w:pPr>
              <w:pStyle w:val="Compact"/>
              <w:jc w:val="left"/>
            </w:pPr>
            <w:r>
              <w:t xml:space="preserve">Vogue Voltage</w:t>
            </w:r>
          </w:p>
        </w:tc>
        <w:tc>
          <w:tcPr/>
          <w:p>
            <w:pPr>
              <w:pStyle w:val="Compact"/>
              <w:jc w:val="left"/>
            </w:pPr>
            <w:r>
              <w:t xml:space="preserve">Fashion editorial</w:t>
            </w:r>
          </w:p>
        </w:tc>
      </w:tr>
      <w:tr>
        <w:tc>
          <w:tcPr/>
          <w:p>
            <w:pPr>
              <w:pStyle w:val="Compact"/>
              <w:jc w:val="left"/>
            </w:pPr>
            <w:r>
              <w:t xml:space="preserve">Night Neon</w:t>
            </w:r>
          </w:p>
        </w:tc>
        <w:tc>
          <w:tcPr/>
          <w:p>
            <w:pPr>
              <w:pStyle w:val="Compact"/>
              <w:jc w:val="left"/>
            </w:pPr>
            <w:r>
              <w:t xml:space="preserve">Cyber Glow</w:t>
            </w:r>
          </w:p>
        </w:tc>
        <w:tc>
          <w:tcPr/>
          <w:p>
            <w:pPr>
              <w:pStyle w:val="Compact"/>
              <w:jc w:val="left"/>
            </w:pPr>
            <w:r>
              <w:t xml:space="preserve">Neon Drift</w:t>
            </w:r>
          </w:p>
        </w:tc>
        <w:tc>
          <w:tcPr/>
          <w:p>
            <w:pPr>
              <w:pStyle w:val="Compact"/>
              <w:jc w:val="left"/>
            </w:pPr>
            <w:r>
              <w:t xml:space="preserve">Electric Avenue</w:t>
            </w:r>
          </w:p>
        </w:tc>
        <w:tc>
          <w:tcPr/>
          <w:p>
            <w:pPr>
              <w:pStyle w:val="Compact"/>
              <w:jc w:val="left"/>
            </w:pPr>
            <w:r>
              <w:t xml:space="preserve">Tokyo Midnight</w:t>
            </w:r>
          </w:p>
        </w:tc>
        <w:tc>
          <w:tcPr/>
          <w:p>
            <w:pPr>
              <w:pStyle w:val="Compact"/>
              <w:jc w:val="left"/>
            </w:pPr>
            <w:r>
              <w:t xml:space="preserve">Laser Dreams</w:t>
            </w:r>
          </w:p>
        </w:tc>
        <w:tc>
          <w:tcPr/>
          <w:p>
            <w:pPr>
              <w:pStyle w:val="Compact"/>
              <w:jc w:val="left"/>
            </w:pPr>
            <w:r>
              <w:t xml:space="preserve">Urban night, neon</w:t>
            </w:r>
          </w:p>
        </w:tc>
      </w:tr>
      <w:tr>
        <w:tc>
          <w:tcPr/>
          <w:p>
            <w:pPr>
              <w:pStyle w:val="Compact"/>
              <w:jc w:val="left"/>
            </w:pPr>
            <w:r>
              <w:t xml:space="preserve">Luxury Travel</w:t>
            </w:r>
          </w:p>
        </w:tc>
        <w:tc>
          <w:tcPr/>
          <w:p>
            <w:pPr>
              <w:pStyle w:val="Compact"/>
              <w:jc w:val="left"/>
            </w:pPr>
            <w:r>
              <w:t xml:space="preserve">Golden Horizon</w:t>
            </w:r>
          </w:p>
        </w:tc>
        <w:tc>
          <w:tcPr/>
          <w:p>
            <w:pPr>
              <w:pStyle w:val="Compact"/>
              <w:jc w:val="left"/>
            </w:pPr>
            <w:r>
              <w:t xml:space="preserve">Safari Luxe</w:t>
            </w:r>
          </w:p>
        </w:tc>
        <w:tc>
          <w:tcPr/>
          <w:p>
            <w:pPr>
              <w:pStyle w:val="Compact"/>
              <w:jc w:val="left"/>
            </w:pPr>
            <w:r>
              <w:t xml:space="preserve">Tuscan Sun</w:t>
            </w:r>
          </w:p>
        </w:tc>
        <w:tc>
          <w:tcPr/>
          <w:p>
            <w:pPr>
              <w:pStyle w:val="Compact"/>
              <w:jc w:val="left"/>
            </w:pPr>
            <w:r>
              <w:t xml:space="preserve">Azure Escape</w:t>
            </w:r>
          </w:p>
        </w:tc>
        <w:tc>
          <w:tcPr/>
          <w:p>
            <w:pPr>
              <w:pStyle w:val="Compact"/>
              <w:jc w:val="left"/>
            </w:pPr>
            <w:r>
              <w:t xml:space="preserve">Wanderlust Gold</w:t>
            </w:r>
          </w:p>
        </w:tc>
        <w:tc>
          <w:tcPr/>
          <w:p>
            <w:pPr>
              <w:pStyle w:val="Compact"/>
              <w:jc w:val="left"/>
            </w:pPr>
            <w:r>
              <w:t xml:space="preserve">Golden hour, landscape</w:t>
            </w:r>
          </w:p>
        </w:tc>
      </w:tr>
      <w:tr>
        <w:tc>
          <w:tcPr/>
          <w:p>
            <w:pPr>
              <w:pStyle w:val="Compact"/>
              <w:jc w:val="left"/>
            </w:pPr>
            <w:r>
              <w:t xml:space="preserve">Minimal Scandinavian</w:t>
            </w:r>
          </w:p>
        </w:tc>
        <w:tc>
          <w:tcPr/>
          <w:p>
            <w:pPr>
              <w:pStyle w:val="Compact"/>
              <w:jc w:val="left"/>
            </w:pPr>
            <w:r>
              <w:t xml:space="preserve">Nordic Air</w:t>
            </w:r>
          </w:p>
        </w:tc>
        <w:tc>
          <w:tcPr/>
          <w:p>
            <w:pPr>
              <w:pStyle w:val="Compact"/>
              <w:jc w:val="left"/>
            </w:pPr>
            <w:r>
              <w:t xml:space="preserve">Oslo Light</w:t>
            </w:r>
          </w:p>
        </w:tc>
        <w:tc>
          <w:tcPr/>
          <w:p>
            <w:pPr>
              <w:pStyle w:val="Compact"/>
              <w:jc w:val="left"/>
            </w:pPr>
            <w:r>
              <w:t xml:space="preserve">Fjord Mist</w:t>
            </w:r>
          </w:p>
        </w:tc>
        <w:tc>
          <w:tcPr/>
          <w:p>
            <w:pPr>
              <w:pStyle w:val="Compact"/>
              <w:jc w:val="left"/>
            </w:pPr>
            <w:r>
              <w:t xml:space="preserve">Clean Linen</w:t>
            </w:r>
          </w:p>
        </w:tc>
        <w:tc>
          <w:tcPr/>
          <w:p>
            <w:pPr>
              <w:pStyle w:val="Compact"/>
              <w:jc w:val="left"/>
            </w:pPr>
            <w:r>
              <w:t xml:space="preserve">Snow Whisper</w:t>
            </w:r>
          </w:p>
        </w:tc>
        <w:tc>
          <w:tcPr/>
          <w:p>
            <w:pPr>
              <w:pStyle w:val="Compact"/>
              <w:jc w:val="left"/>
            </w:pPr>
            <w:r>
              <w:t xml:space="preserve">Clean, airy aesthetic</w:t>
            </w:r>
          </w:p>
        </w:tc>
      </w:tr>
      <w:tr>
        <w:tc>
          <w:tcPr/>
          <w:p>
            <w:pPr>
              <w:pStyle w:val="Compact"/>
              <w:jc w:val="left"/>
            </w:pPr>
            <w:r>
              <w:t xml:space="preserve">Cyberpunk Cinema</w:t>
            </w:r>
          </w:p>
        </w:tc>
        <w:tc>
          <w:tcPr/>
          <w:p>
            <w:pPr>
              <w:pStyle w:val="Compact"/>
              <w:jc w:val="left"/>
            </w:pPr>
            <w:r>
              <w:t xml:space="preserve">Neon Dystopia</w:t>
            </w:r>
          </w:p>
        </w:tc>
        <w:tc>
          <w:tcPr/>
          <w:p>
            <w:pPr>
              <w:pStyle w:val="Compact"/>
              <w:jc w:val="left"/>
            </w:pPr>
            <w:r>
              <w:t xml:space="preserve">Synth City</w:t>
            </w:r>
          </w:p>
        </w:tc>
        <w:tc>
          <w:tcPr/>
          <w:p>
            <w:pPr>
              <w:pStyle w:val="Compact"/>
              <w:jc w:val="left"/>
            </w:pPr>
            <w:r>
              <w:t xml:space="preserve">Matrix Haze</w:t>
            </w:r>
          </w:p>
        </w:tc>
        <w:tc>
          <w:tcPr/>
          <w:p>
            <w:pPr>
              <w:pStyle w:val="Compact"/>
              <w:jc w:val="left"/>
            </w:pPr>
            <w:r>
              <w:t xml:space="preserve">Future Shock</w:t>
            </w:r>
          </w:p>
        </w:tc>
        <w:tc>
          <w:tcPr/>
          <w:p>
            <w:pPr>
              <w:pStyle w:val="Compact"/>
              <w:jc w:val="left"/>
            </w:pPr>
            <w:r>
              <w:t xml:space="preserve">Chrome Dreams</w:t>
            </w:r>
          </w:p>
        </w:tc>
        <w:tc>
          <w:tcPr/>
          <w:p>
            <w:pPr>
              <w:pStyle w:val="Compact"/>
              <w:jc w:val="left"/>
            </w:pPr>
            <w:r>
              <w:t xml:space="preserve">Futuristic, dystopian</w:t>
            </w:r>
          </w:p>
        </w:tc>
      </w:tr>
      <w:tr>
        <w:tc>
          <w:tcPr/>
          <w:p>
            <w:pPr>
              <w:pStyle w:val="Compact"/>
              <w:jc w:val="left"/>
            </w:pPr>
            <w:r>
              <w:t xml:space="preserve">Neo Noir</w:t>
            </w:r>
          </w:p>
        </w:tc>
        <w:tc>
          <w:tcPr/>
          <w:p>
            <w:pPr>
              <w:pStyle w:val="Compact"/>
              <w:jc w:val="left"/>
            </w:pPr>
            <w:r>
              <w:t xml:space="preserve">Shadow Play</w:t>
            </w:r>
          </w:p>
        </w:tc>
        <w:tc>
          <w:tcPr/>
          <w:p>
            <w:pPr>
              <w:pStyle w:val="Compact"/>
              <w:jc w:val="left"/>
            </w:pPr>
            <w:r>
              <w:t xml:space="preserve">Night Crawler</w:t>
            </w:r>
          </w:p>
        </w:tc>
        <w:tc>
          <w:tcPr/>
          <w:p>
            <w:pPr>
              <w:pStyle w:val="Compact"/>
              <w:jc w:val="left"/>
            </w:pPr>
            <w:r>
              <w:t xml:space="preserve">Dark Paradise</w:t>
            </w:r>
          </w:p>
        </w:tc>
        <w:tc>
          <w:tcPr/>
          <w:p>
            <w:pPr>
              <w:pStyle w:val="Compact"/>
              <w:jc w:val="left"/>
            </w:pPr>
            <w:r>
              <w:t xml:space="preserve">Sin City</w:t>
            </w:r>
          </w:p>
        </w:tc>
        <w:tc>
          <w:tcPr/>
          <w:p>
            <w:pPr>
              <w:pStyle w:val="Compact"/>
              <w:jc w:val="left"/>
            </w:pPr>
            <w:r>
              <w:t xml:space="preserve">Velvet Shadows</w:t>
            </w:r>
          </w:p>
        </w:tc>
        <w:tc>
          <w:tcPr/>
          <w:p>
            <w:pPr>
              <w:pStyle w:val="Compact"/>
              <w:jc w:val="left"/>
            </w:pPr>
            <w:r>
              <w:t xml:space="preserve">Noir, dramatic shadows</w:t>
            </w:r>
          </w:p>
        </w:tc>
      </w:tr>
      <w:tr>
        <w:tc>
          <w:tcPr/>
          <w:p>
            <w:pPr>
              <w:pStyle w:val="Compact"/>
              <w:jc w:val="left"/>
            </w:pPr>
            <w:r>
              <w:t xml:space="preserve">Vintage Film Lab</w:t>
            </w:r>
          </w:p>
        </w:tc>
        <w:tc>
          <w:tcPr/>
          <w:p>
            <w:pPr>
              <w:pStyle w:val="Compact"/>
              <w:jc w:val="left"/>
            </w:pPr>
            <w:r>
              <w:t xml:space="preserve">Faded Memories</w:t>
            </w:r>
          </w:p>
        </w:tc>
        <w:tc>
          <w:tcPr/>
          <w:p>
            <w:pPr>
              <w:pStyle w:val="Compact"/>
              <w:jc w:val="left"/>
            </w:pPr>
            <w:r>
              <w:t xml:space="preserve">Color Fade Lab</w:t>
            </w:r>
          </w:p>
        </w:tc>
        <w:tc>
          <w:tcPr/>
          <w:p>
            <w:pPr>
              <w:pStyle w:val="Compact"/>
              <w:jc w:val="left"/>
            </w:pPr>
            <w:r>
              <w:t xml:space="preserve">Retro Chem</w:t>
            </w:r>
          </w:p>
        </w:tc>
        <w:tc>
          <w:tcPr/>
          <w:p>
            <w:pPr>
              <w:pStyle w:val="Compact"/>
              <w:jc w:val="left"/>
            </w:pPr>
            <w:r>
              <w:t xml:space="preserve">Cross Processed</w:t>
            </w:r>
          </w:p>
        </w:tc>
        <w:tc>
          <w:tcPr/>
          <w:p>
            <w:pPr>
              <w:pStyle w:val="Compact"/>
              <w:jc w:val="left"/>
            </w:pPr>
            <w:r>
              <w:t xml:space="preserve">Film Ghost</w:t>
            </w:r>
          </w:p>
        </w:tc>
        <w:tc>
          <w:tcPr/>
          <w:p>
            <w:pPr>
              <w:pStyle w:val="Compact"/>
              <w:jc w:val="left"/>
            </w:pPr>
            <w:r>
              <w:t xml:space="preserve">Retro, faded, grainy</w:t>
            </w:r>
          </w:p>
        </w:tc>
      </w:tr>
      <w:tr>
        <w:tc>
          <w:tcPr/>
          <w:p>
            <w:pPr>
              <w:pStyle w:val="Compact"/>
              <w:jc w:val="left"/>
            </w:pPr>
            <w:r>
              <w:t xml:space="preserve">High Dynamic Luxury</w:t>
            </w:r>
          </w:p>
        </w:tc>
        <w:tc>
          <w:tcPr/>
          <w:p>
            <w:pPr>
              <w:pStyle w:val="Compact"/>
              <w:jc w:val="left"/>
            </w:pPr>
            <w:r>
              <w:t xml:space="preserve">Luminous Prime</w:t>
            </w:r>
          </w:p>
        </w:tc>
        <w:tc>
          <w:tcPr/>
          <w:p>
            <w:pPr>
              <w:pStyle w:val="Compact"/>
              <w:jc w:val="left"/>
            </w:pPr>
            <w:r>
              <w:t xml:space="preserve">HDR Luxe</w:t>
            </w:r>
          </w:p>
        </w:tc>
        <w:tc>
          <w:tcPr/>
          <w:p>
            <w:pPr>
              <w:pStyle w:val="Compact"/>
              <w:jc w:val="left"/>
            </w:pPr>
            <w:r>
              <w:t xml:space="preserve">Detail Master</w:t>
            </w:r>
          </w:p>
        </w:tc>
        <w:tc>
          <w:tcPr/>
          <w:p>
            <w:pPr>
              <w:pStyle w:val="Compact"/>
              <w:jc w:val="left"/>
            </w:pPr>
            <w:r>
              <w:t xml:space="preserve">Shadow King</w:t>
            </w:r>
          </w:p>
        </w:tc>
        <w:tc>
          <w:tcPr/>
          <w:p>
            <w:pPr>
              <w:pStyle w:val="Compact"/>
              <w:jc w:val="left"/>
            </w:pPr>
            <w:r>
              <w:t xml:space="preserve">Highlight Queen</w:t>
            </w:r>
          </w:p>
        </w:tc>
        <w:tc>
          <w:tcPr/>
          <w:p>
            <w:pPr>
              <w:pStyle w:val="Compact"/>
              <w:jc w:val="left"/>
            </w:pPr>
            <w:r>
              <w:t xml:space="preserve">HDR-like luxury</w:t>
            </w:r>
          </w:p>
        </w:tc>
      </w:tr>
      <w:tr>
        <w:tc>
          <w:tcPr/>
          <w:p>
            <w:pPr>
              <w:pStyle w:val="Compact"/>
              <w:jc w:val="left"/>
            </w:pPr>
            <w:r>
              <w:t xml:space="preserve">Dark Instagram Mood</w:t>
            </w:r>
          </w:p>
        </w:tc>
        <w:tc>
          <w:tcPr/>
          <w:p>
            <w:pPr>
              <w:pStyle w:val="Compact"/>
              <w:jc w:val="left"/>
            </w:pPr>
            <w:r>
              <w:t xml:space="preserve">Mood Grid</w:t>
            </w:r>
          </w:p>
        </w:tc>
        <w:tc>
          <w:tcPr/>
          <w:p>
            <w:pPr>
              <w:pStyle w:val="Compact"/>
              <w:jc w:val="left"/>
            </w:pPr>
            <w:r>
              <w:t xml:space="preserve">Dark Feed</w:t>
            </w:r>
          </w:p>
        </w:tc>
        <w:tc>
          <w:tcPr/>
          <w:p>
            <w:pPr>
              <w:pStyle w:val="Compact"/>
              <w:jc w:val="left"/>
            </w:pPr>
            <w:r>
              <w:t xml:space="preserve">Shadow Scroll</w:t>
            </w:r>
          </w:p>
        </w:tc>
        <w:tc>
          <w:tcPr/>
          <w:p>
            <w:pPr>
              <w:pStyle w:val="Compact"/>
              <w:jc w:val="left"/>
            </w:pPr>
            <w:r>
              <w:t xml:space="preserve">Noir Social</w:t>
            </w:r>
          </w:p>
        </w:tc>
        <w:tc>
          <w:tcPr/>
          <w:p>
            <w:pPr>
              <w:pStyle w:val="Compact"/>
              <w:jc w:val="left"/>
            </w:pPr>
            <w:r>
              <w:t xml:space="preserve">Dim Aesthetic</w:t>
            </w:r>
          </w:p>
        </w:tc>
        <w:tc>
          <w:tcPr/>
          <w:p>
            <w:pPr>
              <w:pStyle w:val="Compact"/>
              <w:jc w:val="left"/>
            </w:pPr>
            <w:r>
              <w:t xml:space="preserve">Moody social media</w:t>
            </w:r>
          </w:p>
        </w:tc>
      </w:tr>
      <w:tr>
        <w:tc>
          <w:tcPr/>
          <w:p>
            <w:pPr>
              <w:pStyle w:val="Compact"/>
              <w:jc w:val="left"/>
            </w:pPr>
            <w:r>
              <w:t xml:space="preserve">Clean Creator Economy</w:t>
            </w:r>
          </w:p>
        </w:tc>
        <w:tc>
          <w:tcPr/>
          <w:p>
            <w:pPr>
              <w:pStyle w:val="Compact"/>
              <w:jc w:val="left"/>
            </w:pPr>
            <w:r>
              <w:t xml:space="preserve">Bright Start</w:t>
            </w:r>
          </w:p>
        </w:tc>
        <w:tc>
          <w:tcPr/>
          <w:p>
            <w:pPr>
              <w:pStyle w:val="Compact"/>
              <w:jc w:val="left"/>
            </w:pPr>
            <w:r>
              <w:t xml:space="preserve">Creator Glow</w:t>
            </w:r>
          </w:p>
        </w:tc>
        <w:tc>
          <w:tcPr/>
          <w:p>
            <w:pPr>
              <w:pStyle w:val="Compact"/>
              <w:jc w:val="left"/>
            </w:pPr>
            <w:r>
              <w:t xml:space="preserve">Fresh Content</w:t>
            </w:r>
          </w:p>
        </w:tc>
        <w:tc>
          <w:tcPr/>
          <w:p>
            <w:pPr>
              <w:pStyle w:val="Compact"/>
              <w:jc w:val="left"/>
            </w:pPr>
            <w:r>
              <w:t xml:space="preserve">Clean Slate</w:t>
            </w:r>
          </w:p>
        </w:tc>
        <w:tc>
          <w:tcPr/>
          <w:p>
            <w:pPr>
              <w:pStyle w:val="Compact"/>
              <w:jc w:val="left"/>
            </w:pPr>
            <w:r>
              <w:t xml:space="preserve">Modern Voice</w:t>
            </w:r>
          </w:p>
        </w:tc>
        <w:tc>
          <w:tcPr/>
          <w:p>
            <w:pPr>
              <w:pStyle w:val="Compact"/>
              <w:jc w:val="left"/>
            </w:pPr>
            <w:r>
              <w:t xml:space="preserve">Bright, approachable</w:t>
            </w:r>
          </w:p>
        </w:tc>
      </w:tr>
      <w:tr>
        <w:tc>
          <w:tcPr/>
          <w:p>
            <w:pPr>
              <w:pStyle w:val="Compact"/>
              <w:jc w:val="left"/>
            </w:pPr>
            <w:r>
              <w:t xml:space="preserve">Music Video Looks</w:t>
            </w:r>
          </w:p>
        </w:tc>
        <w:tc>
          <w:tcPr/>
          <w:p>
            <w:pPr>
              <w:pStyle w:val="Compact"/>
              <w:jc w:val="left"/>
            </w:pPr>
            <w:r>
              <w:t xml:space="preserve">MTA Glow</w:t>
            </w:r>
          </w:p>
        </w:tc>
        <w:tc>
          <w:tcPr/>
          <w:p>
            <w:pPr>
              <w:pStyle w:val="Compact"/>
              <w:jc w:val="left"/>
            </w:pPr>
            <w:r>
              <w:t xml:space="preserve">Pop Star</w:t>
            </w:r>
          </w:p>
        </w:tc>
        <w:tc>
          <w:tcPr/>
          <w:p>
            <w:pPr>
              <w:pStyle w:val="Compact"/>
              <w:jc w:val="left"/>
            </w:pPr>
            <w:r>
              <w:t xml:space="preserve">Rhythm Light</w:t>
            </w:r>
          </w:p>
        </w:tc>
        <w:tc>
          <w:tcPr/>
          <w:p>
            <w:pPr>
              <w:pStyle w:val="Compact"/>
              <w:jc w:val="left"/>
            </w:pPr>
            <w:r>
              <w:t xml:space="preserve">Stage Blaze</w:t>
            </w:r>
          </w:p>
        </w:tc>
        <w:tc>
          <w:tcPr/>
          <w:p>
            <w:pPr>
              <w:pStyle w:val="Compact"/>
              <w:jc w:val="left"/>
            </w:pPr>
            <w:r>
              <w:t xml:space="preserve">Beat Drop</w:t>
            </w:r>
          </w:p>
        </w:tc>
        <w:tc>
          <w:tcPr/>
          <w:p>
            <w:pPr>
              <w:pStyle w:val="Compact"/>
              <w:jc w:val="left"/>
            </w:pPr>
            <w:r>
              <w:t xml:space="preserve">Stylized performance</w:t>
            </w:r>
          </w:p>
        </w:tc>
      </w:tr>
      <w:tr>
        <w:tc>
          <w:tcPr/>
          <w:p>
            <w:pPr>
              <w:pStyle w:val="Compact"/>
              <w:jc w:val="left"/>
            </w:pPr>
            <w:r>
              <w:t xml:space="preserve">Commercial Luxury</w:t>
            </w:r>
          </w:p>
        </w:tc>
        <w:tc>
          <w:tcPr/>
          <w:p>
            <w:pPr>
              <w:pStyle w:val="Compact"/>
              <w:jc w:val="left"/>
            </w:pPr>
            <w:r>
              <w:t xml:space="preserve">Product Prime</w:t>
            </w:r>
          </w:p>
        </w:tc>
        <w:tc>
          <w:tcPr/>
          <w:p>
            <w:pPr>
              <w:pStyle w:val="Compact"/>
              <w:jc w:val="left"/>
            </w:pPr>
            <w:r>
              <w:t xml:space="preserve">Brand Luxe</w:t>
            </w:r>
          </w:p>
        </w:tc>
        <w:tc>
          <w:tcPr/>
          <w:p>
            <w:pPr>
              <w:pStyle w:val="Compact"/>
              <w:jc w:val="left"/>
            </w:pPr>
            <w:r>
              <w:t xml:space="preserve">Commercial Gold</w:t>
            </w:r>
          </w:p>
        </w:tc>
        <w:tc>
          <w:tcPr/>
          <w:p>
            <w:pPr>
              <w:pStyle w:val="Compact"/>
              <w:jc w:val="left"/>
            </w:pPr>
            <w:r>
              <w:t xml:space="preserve">Retail Glow</w:t>
            </w:r>
          </w:p>
        </w:tc>
        <w:tc>
          <w:tcPr/>
          <w:p>
            <w:pPr>
              <w:pStyle w:val="Compact"/>
              <w:jc w:val="left"/>
            </w:pPr>
            <w:r>
              <w:t xml:space="preserve">Market Master</w:t>
            </w:r>
          </w:p>
        </w:tc>
        <w:tc>
          <w:tcPr/>
          <w:p>
            <w:pPr>
              <w:pStyle w:val="Compact"/>
              <w:jc w:val="left"/>
            </w:pPr>
            <w:r>
              <w:t xml:space="preserve">Product, commercial</w:t>
            </w:r>
          </w:p>
        </w:tc>
      </w:tr>
      <w:tr>
        <w:tc>
          <w:tcPr/>
          <w:p>
            <w:pPr>
              <w:pStyle w:val="Compact"/>
              <w:jc w:val="left"/>
            </w:pPr>
            <w:r>
              <w:t xml:space="preserve">Netflix Inspired</w:t>
            </w:r>
          </w:p>
        </w:tc>
        <w:tc>
          <w:tcPr/>
          <w:p>
            <w:pPr>
              <w:pStyle w:val="Compact"/>
              <w:jc w:val="left"/>
            </w:pPr>
            <w:r>
              <w:t xml:space="preserve">Stream Queen</w:t>
            </w:r>
          </w:p>
        </w:tc>
        <w:tc>
          <w:tcPr/>
          <w:p>
            <w:pPr>
              <w:pStyle w:val="Compact"/>
              <w:jc w:val="left"/>
            </w:pPr>
            <w:r>
              <w:t xml:space="preserve">Binge Night</w:t>
            </w:r>
          </w:p>
        </w:tc>
        <w:tc>
          <w:tcPr/>
          <w:p>
            <w:pPr>
              <w:pStyle w:val="Compact"/>
              <w:jc w:val="left"/>
            </w:pPr>
            <w:r>
              <w:t xml:space="preserve">Teal Drama</w:t>
            </w:r>
          </w:p>
        </w:tc>
        <w:tc>
          <w:tcPr/>
          <w:p>
            <w:pPr>
              <w:pStyle w:val="Compact"/>
              <w:jc w:val="left"/>
            </w:pPr>
            <w:r>
              <w:t xml:space="preserve">Series Glow</w:t>
            </w:r>
          </w:p>
        </w:tc>
        <w:tc>
          <w:tcPr/>
          <w:p>
            <w:pPr>
              <w:pStyle w:val="Compact"/>
              <w:jc w:val="left"/>
            </w:pPr>
            <w:r>
              <w:t xml:space="preserve">Episode One</w:t>
            </w:r>
          </w:p>
        </w:tc>
        <w:tc>
          <w:tcPr/>
          <w:p>
            <w:pPr>
              <w:pStyle w:val="Compact"/>
              <w:jc w:val="left"/>
            </w:pPr>
            <w:r>
              <w:t xml:space="preserve">Streaming teal/orange</w:t>
            </w:r>
          </w:p>
        </w:tc>
      </w:tr>
      <w:tr>
        <w:tc>
          <w:tcPr/>
          <w:p>
            <w:pPr>
              <w:pStyle w:val="Compact"/>
              <w:jc w:val="left"/>
            </w:pPr>
            <w:r>
              <w:t xml:space="preserve">A24 Inspired</w:t>
            </w:r>
          </w:p>
        </w:tc>
        <w:tc>
          <w:tcPr/>
          <w:p>
            <w:pPr>
              <w:pStyle w:val="Compact"/>
              <w:jc w:val="left"/>
            </w:pPr>
            <w:r>
              <w:t xml:space="preserve">Hereditary Mood</w:t>
            </w:r>
          </w:p>
        </w:tc>
        <w:tc>
          <w:tcPr/>
          <w:p>
            <w:pPr>
              <w:pStyle w:val="Compact"/>
              <w:jc w:val="left"/>
            </w:pPr>
            <w:r>
              <w:t xml:space="preserve">Moonlight Glow</w:t>
            </w:r>
          </w:p>
        </w:tc>
        <w:tc>
          <w:tcPr/>
          <w:p>
            <w:pPr>
              <w:pStyle w:val="Compact"/>
              <w:jc w:val="left"/>
            </w:pPr>
            <w:r>
              <w:t xml:space="preserve">Midsommar Haze</w:t>
            </w:r>
          </w:p>
        </w:tc>
        <w:tc>
          <w:tcPr/>
          <w:p>
            <w:pPr>
              <w:pStyle w:val="Compact"/>
              <w:jc w:val="left"/>
            </w:pPr>
            <w:r>
              <w:t xml:space="preserve">Ex Machina</w:t>
            </w:r>
          </w:p>
        </w:tc>
        <w:tc>
          <w:tcPr/>
          <w:p>
            <w:pPr>
              <w:pStyle w:val="Compact"/>
              <w:jc w:val="left"/>
            </w:pPr>
            <w:r>
              <w:t xml:space="preserve">Green Knight</w:t>
            </w:r>
          </w:p>
        </w:tc>
        <w:tc>
          <w:tcPr/>
          <w:p>
            <w:pPr>
              <w:pStyle w:val="Compact"/>
              <w:jc w:val="left"/>
            </w:pPr>
            <w:r>
              <w:t xml:space="preserve">Arthouse, indie</w:t>
            </w:r>
          </w:p>
        </w:tc>
      </w:tr>
      <w:tr>
        <w:tc>
          <w:tcPr/>
          <w:p>
            <w:pPr>
              <w:pStyle w:val="Compact"/>
              <w:jc w:val="left"/>
            </w:pPr>
            <w:r>
              <w:t xml:space="preserve">Kodak Portra Emulation</w:t>
            </w:r>
          </w:p>
        </w:tc>
        <w:tc>
          <w:tcPr/>
          <w:p>
            <w:pPr>
              <w:pStyle w:val="Compact"/>
              <w:jc w:val="left"/>
            </w:pPr>
            <w:r>
              <w:t xml:space="preserve">Portra 160</w:t>
            </w:r>
          </w:p>
        </w:tc>
        <w:tc>
          <w:tcPr/>
          <w:p>
            <w:pPr>
              <w:pStyle w:val="Compact"/>
              <w:jc w:val="left"/>
            </w:pPr>
            <w:r>
              <w:t xml:space="preserve">Portra 400</w:t>
            </w:r>
          </w:p>
        </w:tc>
        <w:tc>
          <w:tcPr/>
          <w:p>
            <w:pPr>
              <w:pStyle w:val="Compact"/>
              <w:jc w:val="left"/>
            </w:pPr>
            <w:r>
              <w:t xml:space="preserve">Portra 800</w:t>
            </w:r>
          </w:p>
        </w:tc>
        <w:tc>
          <w:tcPr/>
          <w:p>
            <w:pPr>
              <w:pStyle w:val="Compact"/>
              <w:jc w:val="left"/>
            </w:pPr>
            <w:r>
              <w:t xml:space="preserve">Portra Warm</w:t>
            </w:r>
          </w:p>
        </w:tc>
        <w:tc>
          <w:tcPr/>
          <w:p>
            <w:pPr>
              <w:pStyle w:val="Compact"/>
              <w:jc w:val="left"/>
            </w:pPr>
            <w:r>
              <w:t xml:space="preserve">Portra Skin</w:t>
            </w:r>
          </w:p>
        </w:tc>
        <w:tc>
          <w:tcPr/>
          <w:p>
            <w:pPr>
              <w:pStyle w:val="Compact"/>
              <w:jc w:val="left"/>
            </w:pPr>
            <w:r>
              <w:t xml:space="preserve">Warm skin, filmic</w:t>
            </w:r>
          </w:p>
        </w:tc>
      </w:tr>
      <w:tr>
        <w:tc>
          <w:tcPr/>
          <w:p>
            <w:pPr>
              <w:pStyle w:val="Compact"/>
              <w:jc w:val="left"/>
            </w:pPr>
            <w:r>
              <w:t xml:space="preserve">Fuji 400H Emulation</w:t>
            </w:r>
          </w:p>
        </w:tc>
        <w:tc>
          <w:tcPr/>
          <w:p>
            <w:pPr>
              <w:pStyle w:val="Compact"/>
              <w:jc w:val="left"/>
            </w:pPr>
            <w:r>
              <w:t xml:space="preserve">Fuji Pastel</w:t>
            </w:r>
          </w:p>
        </w:tc>
        <w:tc>
          <w:tcPr/>
          <w:p>
            <w:pPr>
              <w:pStyle w:val="Compact"/>
              <w:jc w:val="left"/>
            </w:pPr>
            <w:r>
              <w:t xml:space="preserve">400H Soft</w:t>
            </w:r>
          </w:p>
        </w:tc>
        <w:tc>
          <w:tcPr/>
          <w:p>
            <w:pPr>
              <w:pStyle w:val="Compact"/>
              <w:jc w:val="left"/>
            </w:pPr>
            <w:r>
              <w:t xml:space="preserve">Pro Green</w:t>
            </w:r>
          </w:p>
        </w:tc>
        <w:tc>
          <w:tcPr/>
          <w:p>
            <w:pPr>
              <w:pStyle w:val="Compact"/>
              <w:jc w:val="left"/>
            </w:pPr>
            <w:r>
              <w:t xml:space="preserve">Fuji Air</w:t>
            </w:r>
          </w:p>
        </w:tc>
        <w:tc>
          <w:tcPr/>
          <w:p>
            <w:pPr>
              <w:pStyle w:val="Compact"/>
              <w:jc w:val="left"/>
            </w:pPr>
            <w:r>
              <w:t xml:space="preserve">Sakura Tone</w:t>
            </w:r>
          </w:p>
        </w:tc>
        <w:tc>
          <w:tcPr/>
          <w:p>
            <w:pPr>
              <w:pStyle w:val="Compact"/>
              <w:jc w:val="left"/>
            </w:pPr>
            <w:r>
              <w:t xml:space="preserve">Pastel, delicate</w:t>
            </w:r>
          </w:p>
        </w:tc>
      </w:tr>
      <w:tr>
        <w:tc>
          <w:tcPr/>
          <w:p>
            <w:pPr>
              <w:pStyle w:val="Compact"/>
              <w:jc w:val="left"/>
            </w:pPr>
            <w:r>
              <w:t xml:space="preserve">ARRI Alexa Look</w:t>
            </w:r>
          </w:p>
        </w:tc>
        <w:tc>
          <w:tcPr/>
          <w:p>
            <w:pPr>
              <w:pStyle w:val="Compact"/>
              <w:jc w:val="left"/>
            </w:pPr>
            <w:r>
              <w:t xml:space="preserve">Alexa Log</w:t>
            </w:r>
          </w:p>
        </w:tc>
        <w:tc>
          <w:tcPr/>
          <w:p>
            <w:pPr>
              <w:pStyle w:val="Compact"/>
              <w:jc w:val="left"/>
            </w:pPr>
            <w:r>
              <w:t xml:space="preserve">ARRI Natural</w:t>
            </w:r>
          </w:p>
        </w:tc>
        <w:tc>
          <w:tcPr/>
          <w:p>
            <w:pPr>
              <w:pStyle w:val="Compact"/>
              <w:jc w:val="left"/>
            </w:pPr>
            <w:r>
              <w:t xml:space="preserve">Cinema Skin</w:t>
            </w:r>
          </w:p>
        </w:tc>
        <w:tc>
          <w:tcPr/>
          <w:p>
            <w:pPr>
              <w:pStyle w:val="Compact"/>
              <w:jc w:val="left"/>
            </w:pPr>
            <w:r>
              <w:t xml:space="preserve">Digital Film</w:t>
            </w:r>
          </w:p>
        </w:tc>
        <w:tc>
          <w:tcPr/>
          <w:p>
            <w:pPr>
              <w:pStyle w:val="Compact"/>
              <w:jc w:val="left"/>
            </w:pPr>
            <w:r>
              <w:t xml:space="preserve">Alexa Wide</w:t>
            </w:r>
          </w:p>
        </w:tc>
        <w:tc>
          <w:tcPr/>
          <w:p>
            <w:pPr>
              <w:pStyle w:val="Compact"/>
              <w:jc w:val="left"/>
            </w:pPr>
            <w:r>
              <w:t xml:space="preserve">Digital cinema</w:t>
            </w:r>
          </w:p>
        </w:tc>
      </w:tr>
      <w:tr>
        <w:tc>
          <w:tcPr/>
          <w:p>
            <w:pPr>
              <w:pStyle w:val="Compact"/>
              <w:jc w:val="left"/>
            </w:pPr>
            <w:r>
              <w:t xml:space="preserve">CineStill 800T Emulation</w:t>
            </w:r>
          </w:p>
        </w:tc>
        <w:tc>
          <w:tcPr/>
          <w:p>
            <w:pPr>
              <w:pStyle w:val="Compact"/>
              <w:jc w:val="left"/>
            </w:pPr>
            <w:r>
              <w:t xml:space="preserve">800T Tungsten</w:t>
            </w:r>
          </w:p>
        </w:tc>
        <w:tc>
          <w:tcPr/>
          <w:p>
            <w:pPr>
              <w:pStyle w:val="Compact"/>
              <w:jc w:val="left"/>
            </w:pPr>
            <w:r>
              <w:t xml:space="preserve">CineStill Night</w:t>
            </w:r>
          </w:p>
        </w:tc>
        <w:tc>
          <w:tcPr/>
          <w:p>
            <w:pPr>
              <w:pStyle w:val="Compact"/>
              <w:jc w:val="left"/>
            </w:pPr>
            <w:r>
              <w:t xml:space="preserve">Halation Glow</w:t>
            </w:r>
          </w:p>
        </w:tc>
        <w:tc>
          <w:tcPr/>
          <w:p>
            <w:pPr>
              <w:pStyle w:val="Compact"/>
              <w:jc w:val="left"/>
            </w:pPr>
            <w:r>
              <w:t xml:space="preserve">Tungsten Film</w:t>
            </w:r>
          </w:p>
        </w:tc>
        <w:tc>
          <w:tcPr/>
          <w:p>
            <w:pPr>
              <w:pStyle w:val="Compact"/>
              <w:jc w:val="left"/>
            </w:pPr>
            <w:r>
              <w:t xml:space="preserve">Night Still</w:t>
            </w:r>
          </w:p>
        </w:tc>
        <w:tc>
          <w:tcPr/>
          <w:p>
            <w:pPr>
              <w:pStyle w:val="Compact"/>
              <w:jc w:val="left"/>
            </w:pPr>
            <w:r>
              <w:t xml:space="preserve">Tungsten, night</w:t>
            </w:r>
          </w:p>
        </w:tc>
      </w:tr>
      <w:tr>
        <w:tc>
          <w:tcPr/>
          <w:p>
            <w:pPr>
              <w:pStyle w:val="Compact"/>
              <w:jc w:val="left"/>
            </w:pPr>
            <w:r>
              <w:t xml:space="preserve">Bleach Bypass</w:t>
            </w:r>
          </w:p>
        </w:tc>
        <w:tc>
          <w:tcPr/>
          <w:p>
            <w:pPr>
              <w:pStyle w:val="Compact"/>
              <w:jc w:val="left"/>
            </w:pPr>
            <w:r>
              <w:t xml:space="preserve">Silver Keep</w:t>
            </w:r>
          </w:p>
        </w:tc>
        <w:tc>
          <w:tcPr/>
          <w:p>
            <w:pPr>
              <w:pStyle w:val="Compact"/>
              <w:jc w:val="left"/>
            </w:pPr>
            <w:r>
              <w:t xml:space="preserve">Bleach Raw</w:t>
            </w:r>
          </w:p>
        </w:tc>
        <w:tc>
          <w:tcPr/>
          <w:p>
            <w:pPr>
              <w:pStyle w:val="Compact"/>
              <w:jc w:val="left"/>
            </w:pPr>
            <w:r>
              <w:t xml:space="preserve">Skip Bath</w:t>
            </w:r>
          </w:p>
        </w:tc>
        <w:tc>
          <w:tcPr/>
          <w:p>
            <w:pPr>
              <w:pStyle w:val="Compact"/>
              <w:jc w:val="left"/>
            </w:pPr>
            <w:r>
              <w:t xml:space="preserve">Chrome Grain</w:t>
            </w:r>
          </w:p>
        </w:tc>
        <w:tc>
          <w:tcPr/>
          <w:p>
            <w:pPr>
              <w:pStyle w:val="Compact"/>
              <w:jc w:val="left"/>
            </w:pPr>
            <w:r>
              <w:t xml:space="preserve">Bypass Hard</w:t>
            </w:r>
          </w:p>
        </w:tc>
        <w:tc>
          <w:tcPr/>
          <w:p>
            <w:pPr>
              <w:pStyle w:val="Compact"/>
              <w:jc w:val="left"/>
            </w:pPr>
            <w:r>
              <w:t xml:space="preserve">Gritty, desaturated</w:t>
            </w:r>
          </w:p>
        </w:tc>
      </w:tr>
      <w:tr>
        <w:tc>
          <w:tcPr/>
          <w:p>
            <w:pPr>
              <w:pStyle w:val="Compact"/>
              <w:jc w:val="left"/>
            </w:pPr>
            <w:r>
              <w:t xml:space="preserve">Teal &amp; Orange Modern</w:t>
            </w:r>
          </w:p>
        </w:tc>
        <w:tc>
          <w:tcPr/>
          <w:p>
            <w:pPr>
              <w:pStyle w:val="Compact"/>
              <w:jc w:val="left"/>
            </w:pPr>
            <w:r>
              <w:t xml:space="preserve">Blockbuster</w:t>
            </w:r>
          </w:p>
        </w:tc>
        <w:tc>
          <w:tcPr/>
          <w:p>
            <w:pPr>
              <w:pStyle w:val="Compact"/>
              <w:jc w:val="left"/>
            </w:pPr>
            <w:r>
              <w:t xml:space="preserve">Teal Fire</w:t>
            </w:r>
          </w:p>
        </w:tc>
        <w:tc>
          <w:tcPr/>
          <w:p>
            <w:pPr>
              <w:pStyle w:val="Compact"/>
              <w:jc w:val="left"/>
            </w:pPr>
            <w:r>
              <w:t xml:space="preserve">Orange Wave</w:t>
            </w:r>
          </w:p>
        </w:tc>
        <w:tc>
          <w:tcPr/>
          <w:p>
            <w:pPr>
              <w:pStyle w:val="Compact"/>
              <w:jc w:val="left"/>
            </w:pPr>
            <w:r>
              <w:t xml:space="preserve">Modern Cinema</w:t>
            </w:r>
          </w:p>
        </w:tc>
        <w:tc>
          <w:tcPr/>
          <w:p>
            <w:pPr>
              <w:pStyle w:val="Compact"/>
              <w:jc w:val="left"/>
            </w:pPr>
            <w:r>
              <w:t xml:space="preserve">Complementary</w:t>
            </w:r>
          </w:p>
        </w:tc>
        <w:tc>
          <w:tcPr/>
          <w:p>
            <w:pPr>
              <w:pStyle w:val="Compact"/>
              <w:jc w:val="left"/>
            </w:pPr>
            <w:r>
              <w:t xml:space="preserve">Blockbuster cinematic</w:t>
            </w:r>
          </w:p>
        </w:tc>
      </w:tr>
    </w:tbl>
    <w:bookmarkEnd w:id="98"/>
    <w:bookmarkEnd w:id="99"/>
    <w:bookmarkStart w:id="103" w:name="xmp-technical-structure"/>
    <w:p>
      <w:pPr>
        <w:pStyle w:val="Heading3"/>
      </w:pPr>
      <w:r>
        <w:t xml:space="preserve">5.3 XMP Technical Structure</w:t>
      </w:r>
    </w:p>
    <w:bookmarkStart w:id="100" w:name="X841153420f3e0fa04d69d0e692040d2bc791d8a"/>
    <w:p>
      <w:pPr>
        <w:pStyle w:val="Heading4"/>
      </w:pPr>
      <w:r>
        <w:t xml:space="preserve">5.3.1 XML schema with crs:CameraSettings namespace</w:t>
      </w:r>
    </w:p>
    <w:p>
      <w:pPr>
        <w:pStyle w:val="FirstParagraph"/>
      </w:pPr>
      <w:r>
        <w:t xml:space="preserve">Each preset is encoded as an XMP file conforming to Adobe’s Camera Raw Settings namespace (</w:t>
      </w:r>
      <w:r>
        <w:rPr>
          <w:rStyle w:val="VerbatimChar"/>
        </w:rPr>
        <w:t xml:space="preserve">xmlns:crs="http://ns.adobe.com/camera-raw-settings/1.0/"</w:t>
      </w:r>
      <w:r>
        <w:t xml:space="preserve">). The root</w:t>
      </w:r>
      <w:r>
        <w:t xml:space="preserve"> </w:t>
      </w:r>
      <w:r>
        <w:rPr>
          <w:rStyle w:val="VerbatimChar"/>
        </w:rPr>
        <w:t xml:space="preserve">&lt;x:xmpmeta&gt;</w:t>
      </w:r>
      <w:r>
        <w:t xml:space="preserve"> </w:t>
      </w:r>
      <w:r>
        <w:t xml:space="preserve">element contains an</w:t>
      </w:r>
      <w:r>
        <w:t xml:space="preserve"> </w:t>
      </w:r>
      <w:r>
        <w:rPr>
          <w:rStyle w:val="VerbatimChar"/>
        </w:rPr>
        <w:t xml:space="preserve">&lt;rdf:RDF&gt;</w:t>
      </w:r>
      <w:r>
        <w:t xml:space="preserve"> </w:t>
      </w:r>
      <w:r>
        <w:t xml:space="preserve">description block enumerating all parameters as RDF properties. Standard namespaces include</w:t>
      </w:r>
      <w:r>
        <w:t xml:space="preserve"> </w:t>
      </w:r>
      <w:r>
        <w:rPr>
          <w:rStyle w:val="VerbatimChar"/>
        </w:rPr>
        <w:t xml:space="preserve">x</w:t>
      </w:r>
      <w:r>
        <w:t xml:space="preserve"> </w:t>
      </w:r>
      <w:r>
        <w:t xml:space="preserve">(adobe:ns:meta/),</w:t>
      </w:r>
      <w:r>
        <w:t xml:space="preserve"> </w:t>
      </w:r>
      <w:r>
        <w:rPr>
          <w:rStyle w:val="VerbatimChar"/>
        </w:rPr>
        <w:t xml:space="preserve">rdf</w:t>
      </w:r>
      <w:r>
        <w:t xml:space="preserve">,</w:t>
      </w:r>
      <w:r>
        <w:t xml:space="preserve"> </w:t>
      </w:r>
      <w:r>
        <w:rPr>
          <w:rStyle w:val="VerbatimChar"/>
        </w:rPr>
        <w:t xml:space="preserve">dc</w:t>
      </w:r>
      <w:r>
        <w:t xml:space="preserve"> </w:t>
      </w:r>
      <w:r>
        <w:t xml:space="preserve">(Dublin Core),</w:t>
      </w:r>
      <w:r>
        <w:t xml:space="preserve"> </w:t>
      </w:r>
      <w:r>
        <w:rPr>
          <w:rStyle w:val="VerbatimChar"/>
        </w:rPr>
        <w:t xml:space="preserve">exif</w:t>
      </w:r>
      <w:r>
        <w:t xml:space="preserve">,</w:t>
      </w:r>
      <w:r>
        <w:t xml:space="preserve"> </w:t>
      </w:r>
      <w:r>
        <w:rPr>
          <w:rStyle w:val="VerbatimChar"/>
        </w:rPr>
        <w:t xml:space="preserve">tiff</w:t>
      </w:r>
      <w:r>
        <w:t xml:space="preserve">, and</w:t>
      </w:r>
      <w:r>
        <w:t xml:space="preserve"> </w:t>
      </w:r>
      <w:r>
        <w:rPr>
          <w:rStyle w:val="VerbatimChar"/>
        </w:rPr>
        <w:t xml:space="preserve">crs</w:t>
      </w:r>
      <w:r>
        <w:t xml:space="preserve">. Each parameter maps to a named property:</w:t>
      </w:r>
      <w:r>
        <w:t xml:space="preserve"> </w:t>
      </w:r>
      <w:r>
        <w:rPr>
          <w:rStyle w:val="VerbatimChar"/>
        </w:rPr>
        <w:t xml:space="preserve">crs:Exposure2012</w:t>
      </w:r>
      <w:r>
        <w:t xml:space="preserve"> </w:t>
      </w:r>
      <w:r>
        <w:t xml:space="preserve">for exposure,</w:t>
      </w:r>
      <w:r>
        <w:t xml:space="preserve"> </w:t>
      </w:r>
      <w:r>
        <w:rPr>
          <w:rStyle w:val="VerbatimChar"/>
        </w:rPr>
        <w:t xml:space="preserve">crs:Contrast2012</w:t>
      </w:r>
      <w:r>
        <w:t xml:space="preserve"> </w:t>
      </w:r>
      <w:r>
        <w:t xml:space="preserve">for contrast, through 70+ available parameters. The</w:t>
      </w:r>
      <w:r>
        <w:t xml:space="preserve"> </w:t>
      </w:r>
      <w:r>
        <w:t xml:space="preserve">“</w:t>
      </w:r>
      <w:r>
        <w:t xml:space="preserve">2012</w:t>
      </w:r>
      <w:r>
        <w:t xml:space="preserve">”</w:t>
      </w:r>
      <w:r>
        <w:t xml:space="preserve"> </w:t>
      </w:r>
      <w:r>
        <w:t xml:space="preserve">suffix denotes Process Version 2012, Adobe’s current tone-mapping standard.</w:t>
      </w:r>
    </w:p>
    <w:p>
      <w:pPr>
        <w:pStyle w:val="BodyText"/>
      </w:pPr>
      <w:r>
        <w:t xml:space="preserve">The following table details the parameter listing for the representative</w:t>
      </w:r>
      <w:r>
        <w:t xml:space="preserve"> </w:t>
      </w:r>
      <w:r>
        <w:rPr>
          <w:iCs/>
          <w:i/>
        </w:rPr>
        <w:t xml:space="preserve">Nocturne Lux</w:t>
      </w:r>
      <w:r>
        <w:t xml:space="preserve"> </w:t>
      </w:r>
      <w:r>
        <w:t xml:space="preserve">preset: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 Domain</w:t>
            </w:r>
          </w:p>
        </w:tc>
        <w:tc>
          <w:tcPr/>
          <w:p>
            <w:pPr>
              <w:pStyle w:val="Compact"/>
              <w:jc w:val="left"/>
            </w:pPr>
            <w:r>
              <w:t xml:space="preserve">XMP Property</w:t>
            </w:r>
          </w:p>
        </w:tc>
        <w:tc>
          <w:tcPr/>
          <w:p>
            <w:pPr>
              <w:pStyle w:val="Compact"/>
              <w:jc w:val="left"/>
            </w:pPr>
            <w:r>
              <w:t xml:space="preserve">Value</w:t>
            </w:r>
          </w:p>
        </w:tc>
        <w:tc>
          <w:tcPr/>
          <w:p>
            <w:pPr>
              <w:pStyle w:val="Compact"/>
              <w:jc w:val="left"/>
            </w:pPr>
            <w:r>
              <w:t xml:space="preserve">Technical Rationale</w:t>
            </w:r>
          </w:p>
        </w:tc>
      </w:tr>
      <w:tr>
        <w:tc>
          <w:tcPr/>
          <w:p>
            <w:pPr>
              <w:pStyle w:val="Compact"/>
              <w:jc w:val="left"/>
            </w:pPr>
            <w:r>
              <w:rPr>
                <w:bCs/>
                <w:b/>
              </w:rPr>
              <w:t xml:space="preserve">Basic</w:t>
            </w:r>
          </w:p>
        </w:tc>
        <w:tc>
          <w:tcPr/>
          <w:p>
            <w:pPr>
              <w:pStyle w:val="Compact"/>
              <w:jc w:val="left"/>
            </w:pPr>
            <w:r>
              <w:rPr>
                <w:rStyle w:val="VerbatimChar"/>
              </w:rPr>
              <w:t xml:space="preserve">crs:Exposure2012</w:t>
            </w:r>
          </w:p>
        </w:tc>
        <w:tc>
          <w:tcPr/>
          <w:p>
            <w:pPr>
              <w:pStyle w:val="Compact"/>
              <w:jc w:val="left"/>
            </w:pPr>
            <w:r>
              <w:t xml:space="preserve">+0.35</w:t>
            </w:r>
          </w:p>
        </w:tc>
        <w:tc>
          <w:tcPr/>
          <w:p>
            <w:pPr>
              <w:pStyle w:val="Compact"/>
              <w:jc w:val="left"/>
            </w:pPr>
            <w:r>
              <w:t xml:space="preserve">Slight lift for editorial softness</w:t>
            </w:r>
          </w:p>
        </w:tc>
      </w:tr>
      <w:tr>
        <w:tc>
          <w:tcPr/>
          <w:p>
            <w:pPr>
              <w:pStyle w:val="Compact"/>
            </w:pPr>
          </w:p>
        </w:tc>
        <w:tc>
          <w:tcPr/>
          <w:p>
            <w:pPr>
              <w:pStyle w:val="Compact"/>
              <w:jc w:val="left"/>
            </w:pPr>
            <w:r>
              <w:rPr>
                <w:rStyle w:val="VerbatimChar"/>
              </w:rPr>
              <w:t xml:space="preserve">crs:Contrast2012</w:t>
            </w:r>
          </w:p>
        </w:tc>
        <w:tc>
          <w:tcPr/>
          <w:p>
            <w:pPr>
              <w:pStyle w:val="Compact"/>
              <w:jc w:val="left"/>
            </w:pPr>
            <w:r>
              <w:t xml:space="preserve">+8</w:t>
            </w:r>
          </w:p>
        </w:tc>
        <w:tc>
          <w:tcPr/>
          <w:p>
            <w:pPr>
              <w:pStyle w:val="Compact"/>
              <w:jc w:val="left"/>
            </w:pPr>
            <w:r>
              <w:t xml:space="preserve">Gentle contrast</w:t>
            </w:r>
          </w:p>
        </w:tc>
      </w:tr>
      <w:tr>
        <w:tc>
          <w:tcPr/>
          <w:p>
            <w:pPr>
              <w:pStyle w:val="Compact"/>
            </w:pPr>
          </w:p>
        </w:tc>
        <w:tc>
          <w:tcPr/>
          <w:p>
            <w:pPr>
              <w:pStyle w:val="Compact"/>
              <w:jc w:val="left"/>
            </w:pPr>
            <w:r>
              <w:rPr>
                <w:rStyle w:val="VerbatimChar"/>
              </w:rPr>
              <w:t xml:space="preserve">crs:Highlights2012</w:t>
            </w:r>
          </w:p>
        </w:tc>
        <w:tc>
          <w:tcPr/>
          <w:p>
            <w:pPr>
              <w:pStyle w:val="Compact"/>
              <w:jc w:val="left"/>
            </w:pPr>
            <w:r>
              <w:t xml:space="preserve">−25</w:t>
            </w:r>
          </w:p>
        </w:tc>
        <w:tc>
          <w:tcPr/>
          <w:p>
            <w:pPr>
              <w:pStyle w:val="Compact"/>
              <w:jc w:val="left"/>
            </w:pPr>
            <w:r>
              <w:t xml:space="preserve">Protect highlight detail</w:t>
            </w:r>
          </w:p>
        </w:tc>
      </w:tr>
      <w:tr>
        <w:tc>
          <w:tcPr/>
          <w:p>
            <w:pPr>
              <w:pStyle w:val="Compact"/>
            </w:pPr>
          </w:p>
        </w:tc>
        <w:tc>
          <w:tcPr/>
          <w:p>
            <w:pPr>
              <w:pStyle w:val="Compact"/>
              <w:jc w:val="left"/>
            </w:pPr>
            <w:r>
              <w:rPr>
                <w:rStyle w:val="VerbatimChar"/>
              </w:rPr>
              <w:t xml:space="preserve">crs:Shadows</w:t>
            </w:r>
          </w:p>
        </w:tc>
        <w:tc>
          <w:tcPr/>
          <w:p>
            <w:pPr>
              <w:pStyle w:val="Compact"/>
              <w:jc w:val="left"/>
            </w:pPr>
            <w:r>
              <w:t xml:space="preserve">+18</w:t>
            </w:r>
          </w:p>
        </w:tc>
        <w:tc>
          <w:tcPr/>
          <w:p>
            <w:pPr>
              <w:pStyle w:val="Compact"/>
              <w:jc w:val="left"/>
            </w:pPr>
            <w:r>
              <w:t xml:space="preserve">Lifted</w:t>
            </w:r>
            <w:r>
              <w:t xml:space="preserve"> </w:t>
            </w:r>
            <w:r>
              <w:t xml:space="preserve">“</w:t>
            </w:r>
            <w:r>
              <w:t xml:space="preserve">milky</w:t>
            </w:r>
            <w:r>
              <w:t xml:space="preserve">”</w:t>
            </w:r>
            <w:r>
              <w:t xml:space="preserve"> </w:t>
            </w:r>
            <w:r>
              <w:t xml:space="preserve">blacks</w:t>
            </w:r>
          </w:p>
        </w:tc>
      </w:tr>
      <w:tr>
        <w:tc>
          <w:tcPr/>
          <w:p>
            <w:pPr>
              <w:pStyle w:val="Compact"/>
            </w:pPr>
          </w:p>
        </w:tc>
        <w:tc>
          <w:tcPr/>
          <w:p>
            <w:pPr>
              <w:pStyle w:val="Compact"/>
              <w:jc w:val="left"/>
            </w:pPr>
            <w:r>
              <w:rPr>
                <w:rStyle w:val="VerbatimChar"/>
              </w:rPr>
              <w:t xml:space="preserve">crs:Whites2012</w:t>
            </w:r>
          </w:p>
        </w:tc>
        <w:tc>
          <w:tcPr/>
          <w:p>
            <w:pPr>
              <w:pStyle w:val="Compact"/>
              <w:jc w:val="left"/>
            </w:pPr>
            <w:r>
              <w:t xml:space="preserve">+5</w:t>
            </w:r>
          </w:p>
        </w:tc>
        <w:tc>
          <w:tcPr/>
          <w:p>
            <w:pPr>
              <w:pStyle w:val="Compact"/>
              <w:jc w:val="left"/>
            </w:pPr>
            <w:r>
              <w:t xml:space="preserve">Preserve specular definition</w:t>
            </w:r>
          </w:p>
        </w:tc>
      </w:tr>
      <w:tr>
        <w:tc>
          <w:tcPr/>
          <w:p>
            <w:pPr>
              <w:pStyle w:val="Compact"/>
            </w:pPr>
          </w:p>
        </w:tc>
        <w:tc>
          <w:tcPr/>
          <w:p>
            <w:pPr>
              <w:pStyle w:val="Compact"/>
              <w:jc w:val="left"/>
            </w:pPr>
            <w:r>
              <w:rPr>
                <w:rStyle w:val="VerbatimChar"/>
              </w:rPr>
              <w:t xml:space="preserve">crs:Blacks2012</w:t>
            </w:r>
          </w:p>
        </w:tc>
        <w:tc>
          <w:tcPr/>
          <w:p>
            <w:pPr>
              <w:pStyle w:val="Compact"/>
              <w:jc w:val="left"/>
            </w:pPr>
            <w:r>
              <w:t xml:space="preserve">−12</w:t>
            </w:r>
          </w:p>
        </w:tc>
        <w:tc>
          <w:tcPr/>
          <w:p>
            <w:pPr>
              <w:pStyle w:val="Compact"/>
              <w:jc w:val="left"/>
            </w:pPr>
            <w:r>
              <w:t xml:space="preserve">Controlled black floor</w:t>
            </w:r>
          </w:p>
        </w:tc>
      </w:tr>
      <w:tr>
        <w:tc>
          <w:tcPr/>
          <w:p>
            <w:pPr>
              <w:pStyle w:val="Compact"/>
            </w:pPr>
          </w:p>
        </w:tc>
        <w:tc>
          <w:tcPr/>
          <w:p>
            <w:pPr>
              <w:pStyle w:val="Compact"/>
              <w:jc w:val="left"/>
            </w:pPr>
            <w:r>
              <w:rPr>
                <w:rStyle w:val="VerbatimChar"/>
              </w:rPr>
              <w:t xml:space="preserve">crs:Texture</w:t>
            </w:r>
          </w:p>
        </w:tc>
        <w:tc>
          <w:tcPr/>
          <w:p>
            <w:pPr>
              <w:pStyle w:val="Compact"/>
              <w:jc w:val="left"/>
            </w:pPr>
            <w:r>
              <w:t xml:space="preserve">+10</w:t>
            </w:r>
          </w:p>
        </w:tc>
        <w:tc>
          <w:tcPr/>
          <w:p>
            <w:pPr>
              <w:pStyle w:val="Compact"/>
              <w:jc w:val="left"/>
            </w:pPr>
            <w:r>
              <w:t xml:space="preserve">Subtle surface detail</w:t>
            </w:r>
          </w:p>
        </w:tc>
      </w:tr>
      <w:tr>
        <w:tc>
          <w:tcPr/>
          <w:p>
            <w:pPr>
              <w:pStyle w:val="Compact"/>
            </w:pPr>
          </w:p>
        </w:tc>
        <w:tc>
          <w:tcPr/>
          <w:p>
            <w:pPr>
              <w:pStyle w:val="Compact"/>
              <w:jc w:val="left"/>
            </w:pPr>
            <w:r>
              <w:rPr>
                <w:rStyle w:val="VerbatimChar"/>
              </w:rPr>
              <w:t xml:space="preserve">crs:Clarity2012</w:t>
            </w:r>
          </w:p>
        </w:tc>
        <w:tc>
          <w:tcPr/>
          <w:p>
            <w:pPr>
              <w:pStyle w:val="Compact"/>
              <w:jc w:val="left"/>
            </w:pPr>
            <w:r>
              <w:t xml:space="preserve">+5</w:t>
            </w:r>
          </w:p>
        </w:tc>
        <w:tc>
          <w:tcPr/>
          <w:p>
            <w:pPr>
              <w:pStyle w:val="Compact"/>
              <w:jc w:val="left"/>
            </w:pPr>
            <w:r>
              <w:t xml:space="preserve">Minimal midtone contrast</w:t>
            </w:r>
          </w:p>
        </w:tc>
      </w:tr>
      <w:tr>
        <w:tc>
          <w:tcPr/>
          <w:p>
            <w:pPr>
              <w:pStyle w:val="Compact"/>
            </w:pPr>
          </w:p>
        </w:tc>
        <w:tc>
          <w:tcPr/>
          <w:p>
            <w:pPr>
              <w:pStyle w:val="Compact"/>
              <w:jc w:val="left"/>
            </w:pPr>
            <w:r>
              <w:rPr>
                <w:rStyle w:val="VerbatimChar"/>
              </w:rPr>
              <w:t xml:space="preserve">crs:Dehaze</w:t>
            </w:r>
          </w:p>
        </w:tc>
        <w:tc>
          <w:tcPr/>
          <w:p>
            <w:pPr>
              <w:pStyle w:val="Compact"/>
              <w:jc w:val="left"/>
            </w:pPr>
            <w:r>
              <w:t xml:space="preserve">+3</w:t>
            </w:r>
          </w:p>
        </w:tc>
        <w:tc>
          <w:tcPr/>
          <w:p>
            <w:pPr>
              <w:pStyle w:val="Compact"/>
              <w:jc w:val="left"/>
            </w:pPr>
            <w:r>
              <w:t xml:space="preserve">Atmospheric depth</w:t>
            </w:r>
          </w:p>
        </w:tc>
      </w:tr>
      <w:tr>
        <w:tc>
          <w:tcPr/>
          <w:p>
            <w:pPr>
              <w:pStyle w:val="Compact"/>
              <w:jc w:val="left"/>
            </w:pPr>
            <w:r>
              <w:rPr>
                <w:bCs/>
                <w:b/>
              </w:rPr>
              <w:t xml:space="preserve">Tone Curve</w:t>
            </w:r>
          </w:p>
        </w:tc>
        <w:tc>
          <w:tcPr/>
          <w:p>
            <w:pPr>
              <w:pStyle w:val="Compact"/>
              <w:jc w:val="left"/>
            </w:pPr>
            <w:r>
              <w:rPr>
                <w:rStyle w:val="VerbatimChar"/>
              </w:rPr>
              <w:t xml:space="preserve">crs:ParametricShadows</w:t>
            </w:r>
          </w:p>
        </w:tc>
        <w:tc>
          <w:tcPr/>
          <w:p>
            <w:pPr>
              <w:pStyle w:val="Compact"/>
              <w:jc w:val="left"/>
            </w:pPr>
            <w:r>
              <w:t xml:space="preserve">+12</w:t>
            </w:r>
          </w:p>
        </w:tc>
        <w:tc>
          <w:tcPr/>
          <w:p>
            <w:pPr>
              <w:pStyle w:val="Compact"/>
              <w:jc w:val="left"/>
            </w:pPr>
            <w:r>
              <w:t xml:space="preserve">Lifted shadow floor</w:t>
            </w:r>
          </w:p>
        </w:tc>
      </w:tr>
      <w:tr>
        <w:tc>
          <w:tcPr/>
          <w:p>
            <w:pPr>
              <w:pStyle w:val="Compact"/>
            </w:pPr>
          </w:p>
        </w:tc>
        <w:tc>
          <w:tcPr/>
          <w:p>
            <w:pPr>
              <w:pStyle w:val="Compact"/>
              <w:jc w:val="left"/>
            </w:pPr>
            <w:r>
              <w:rPr>
                <w:rStyle w:val="VerbatimChar"/>
              </w:rPr>
              <w:t xml:space="preserve">crs:ParametricDarks</w:t>
            </w:r>
          </w:p>
        </w:tc>
        <w:tc>
          <w:tcPr/>
          <w:p>
            <w:pPr>
              <w:pStyle w:val="Compact"/>
              <w:jc w:val="left"/>
            </w:pPr>
            <w:r>
              <w:t xml:space="preserve">+6</w:t>
            </w:r>
          </w:p>
        </w:tc>
        <w:tc>
          <w:tcPr/>
          <w:p>
            <w:pPr>
              <w:pStyle w:val="Compact"/>
              <w:jc w:val="left"/>
            </w:pPr>
            <w:r>
              <w:t xml:space="preserve">Gentle dark tonal shaping</w:t>
            </w:r>
          </w:p>
        </w:tc>
      </w:tr>
      <w:tr>
        <w:tc>
          <w:tcPr/>
          <w:p>
            <w:pPr>
              <w:pStyle w:val="Compact"/>
            </w:pPr>
          </w:p>
        </w:tc>
        <w:tc>
          <w:tcPr/>
          <w:p>
            <w:pPr>
              <w:pStyle w:val="Compact"/>
              <w:jc w:val="left"/>
            </w:pPr>
            <w:r>
              <w:rPr>
                <w:rStyle w:val="VerbatimChar"/>
              </w:rPr>
              <w:t xml:space="preserve">crs:ParametricLights</w:t>
            </w:r>
          </w:p>
        </w:tc>
        <w:tc>
          <w:tcPr/>
          <w:p>
            <w:pPr>
              <w:pStyle w:val="Compact"/>
              <w:jc w:val="left"/>
            </w:pPr>
            <w:r>
              <w:t xml:space="preserve">−4</w:t>
            </w:r>
          </w:p>
        </w:tc>
        <w:tc>
          <w:tcPr/>
          <w:p>
            <w:pPr>
              <w:pStyle w:val="Compact"/>
              <w:jc w:val="left"/>
            </w:pPr>
            <w:r>
              <w:t xml:space="preserve">Subtle light compression</w:t>
            </w:r>
          </w:p>
        </w:tc>
      </w:tr>
      <w:tr>
        <w:tc>
          <w:tcPr/>
          <w:p>
            <w:pPr>
              <w:pStyle w:val="Compact"/>
            </w:pPr>
          </w:p>
        </w:tc>
        <w:tc>
          <w:tcPr/>
          <w:p>
            <w:pPr>
              <w:pStyle w:val="Compact"/>
              <w:jc w:val="left"/>
            </w:pPr>
            <w:r>
              <w:rPr>
                <w:rStyle w:val="VerbatimChar"/>
              </w:rPr>
              <w:t xml:space="preserve">crs:ParametricHighlights</w:t>
            </w:r>
          </w:p>
        </w:tc>
        <w:tc>
          <w:tcPr/>
          <w:p>
            <w:pPr>
              <w:pStyle w:val="Compact"/>
              <w:jc w:val="left"/>
            </w:pPr>
            <w:r>
              <w:t xml:space="preserve">−8</w:t>
            </w:r>
          </w:p>
        </w:tc>
        <w:tc>
          <w:tcPr/>
          <w:p>
            <w:pPr>
              <w:pStyle w:val="Compact"/>
              <w:jc w:val="left"/>
            </w:pPr>
            <w:r>
              <w:t xml:space="preserve">Highlight rolloff</w:t>
            </w:r>
          </w:p>
        </w:tc>
      </w:tr>
      <w:tr>
        <w:tc>
          <w:tcPr/>
          <w:p>
            <w:pPr>
              <w:pStyle w:val="Compact"/>
              <w:jc w:val="left"/>
            </w:pPr>
            <w:r>
              <w:rPr>
                <w:bCs/>
                <w:b/>
              </w:rPr>
              <w:t xml:space="preserve">HSL (24 adj.)</w:t>
            </w:r>
          </w:p>
        </w:tc>
        <w:tc>
          <w:tcPr/>
          <w:p>
            <w:pPr>
              <w:pStyle w:val="Compact"/>
              <w:jc w:val="left"/>
            </w:pPr>
            <w:r>
              <w:rPr>
                <w:rStyle w:val="VerbatimChar"/>
              </w:rPr>
              <w:t xml:space="preserve">crs:HueAdjustmentRed</w:t>
            </w:r>
            <w:r>
              <w:t xml:space="preserve">…</w:t>
            </w:r>
            <w:r>
              <w:rPr>
                <w:rStyle w:val="VerbatimChar"/>
              </w:rPr>
              <w:t xml:space="preserve">Magenta</w:t>
            </w:r>
          </w:p>
        </w:tc>
        <w:tc>
          <w:tcPr/>
          <w:p>
            <w:pPr>
              <w:pStyle w:val="Compact"/>
              <w:jc w:val="left"/>
            </w:pPr>
            <w:r>
              <w:t xml:space="preserve">+3 to +10</w:t>
            </w:r>
          </w:p>
        </w:tc>
        <w:tc>
          <w:tcPr/>
          <w:p>
            <w:pPr>
              <w:pStyle w:val="Compact"/>
              <w:jc w:val="left"/>
            </w:pPr>
            <w:r>
              <w:t xml:space="preserve">Per-channel hue shifts</w:t>
            </w:r>
          </w:p>
        </w:tc>
      </w:tr>
      <w:tr>
        <w:tc>
          <w:tcPr/>
          <w:p>
            <w:pPr>
              <w:pStyle w:val="Compact"/>
            </w:pPr>
          </w:p>
        </w:tc>
        <w:tc>
          <w:tcPr/>
          <w:p>
            <w:pPr>
              <w:pStyle w:val="Compact"/>
              <w:jc w:val="left"/>
            </w:pPr>
            <w:r>
              <w:rPr>
                <w:rStyle w:val="VerbatimChar"/>
              </w:rPr>
              <w:t xml:space="preserve">crs:SaturationAdjustmentRed</w:t>
            </w:r>
            <w:r>
              <w:t xml:space="preserve">…</w:t>
            </w:r>
            <w:r>
              <w:rPr>
                <w:rStyle w:val="VerbatimChar"/>
              </w:rPr>
              <w:t xml:space="preserve">Magenta</w:t>
            </w:r>
          </w:p>
        </w:tc>
        <w:tc>
          <w:tcPr/>
          <w:p>
            <w:pPr>
              <w:pStyle w:val="Compact"/>
              <w:jc w:val="left"/>
            </w:pPr>
            <w:r>
              <w:t xml:space="preserve">−15 to −3</w:t>
            </w:r>
          </w:p>
        </w:tc>
        <w:tc>
          <w:tcPr/>
          <w:p>
            <w:pPr>
              <w:pStyle w:val="Compact"/>
              <w:jc w:val="left"/>
            </w:pPr>
            <w:r>
              <w:t xml:space="preserve">Selective desaturation</w:t>
            </w:r>
          </w:p>
        </w:tc>
      </w:tr>
      <w:tr>
        <w:tc>
          <w:tcPr/>
          <w:p>
            <w:pPr>
              <w:pStyle w:val="Compact"/>
            </w:pPr>
          </w:p>
        </w:tc>
        <w:tc>
          <w:tcPr/>
          <w:p>
            <w:pPr>
              <w:pStyle w:val="Compact"/>
              <w:jc w:val="left"/>
            </w:pPr>
            <w:r>
              <w:rPr>
                <w:rStyle w:val="VerbatimChar"/>
              </w:rPr>
              <w:t xml:space="preserve">crs:LuminanceAdjustmentRed</w:t>
            </w:r>
            <w:r>
              <w:t xml:space="preserve">…</w:t>
            </w:r>
            <w:r>
              <w:rPr>
                <w:rStyle w:val="VerbatimChar"/>
              </w:rPr>
              <w:t xml:space="preserve">Magenta</w:t>
            </w:r>
          </w:p>
        </w:tc>
        <w:tc>
          <w:tcPr/>
          <w:p>
            <w:pPr>
              <w:pStyle w:val="Compact"/>
              <w:jc w:val="left"/>
            </w:pPr>
            <w:r>
              <w:t xml:space="preserve">−8 to +8</w:t>
            </w:r>
          </w:p>
        </w:tc>
        <w:tc>
          <w:tcPr/>
          <w:p>
            <w:pPr>
              <w:pStyle w:val="Compact"/>
              <w:jc w:val="left"/>
            </w:pPr>
            <w:r>
              <w:t xml:space="preserve">Per-channel luminance</w:t>
            </w:r>
          </w:p>
        </w:tc>
      </w:tr>
      <w:tr>
        <w:tc>
          <w:tcPr/>
          <w:p>
            <w:pPr>
              <w:pStyle w:val="Compact"/>
              <w:jc w:val="left"/>
            </w:pPr>
            <w:r>
              <w:rPr>
                <w:bCs/>
                <w:b/>
              </w:rPr>
              <w:t xml:space="preserve">Color Grading</w:t>
            </w:r>
          </w:p>
        </w:tc>
        <w:tc>
          <w:tcPr/>
          <w:p>
            <w:pPr>
              <w:pStyle w:val="Compact"/>
              <w:jc w:val="left"/>
            </w:pPr>
            <w:r>
              <w:rPr>
                <w:rStyle w:val="VerbatimChar"/>
              </w:rPr>
              <w:t xml:space="preserve">crs:ColorGradeHighlightHue</w:t>
            </w:r>
          </w:p>
        </w:tc>
        <w:tc>
          <w:tcPr/>
          <w:p>
            <w:pPr>
              <w:pStyle w:val="Compact"/>
              <w:jc w:val="left"/>
            </w:pPr>
            <w:r>
              <w:t xml:space="preserve">50</w:t>
            </w:r>
          </w:p>
        </w:tc>
        <w:tc>
          <w:tcPr/>
          <w:p>
            <w:pPr>
              <w:pStyle w:val="Compact"/>
              <w:jc w:val="left"/>
            </w:pPr>
            <w:r>
              <w:t xml:space="preserve">Warm highlight direction</w:t>
            </w:r>
          </w:p>
        </w:tc>
      </w:tr>
      <w:tr>
        <w:tc>
          <w:tcPr/>
          <w:p>
            <w:pPr>
              <w:pStyle w:val="Compact"/>
            </w:pPr>
          </w:p>
        </w:tc>
        <w:tc>
          <w:tcPr/>
          <w:p>
            <w:pPr>
              <w:pStyle w:val="Compact"/>
              <w:jc w:val="left"/>
            </w:pPr>
            <w:r>
              <w:rPr>
                <w:rStyle w:val="VerbatimChar"/>
              </w:rPr>
              <w:t xml:space="preserve">crs:ColorGradeHighlightSat</w:t>
            </w:r>
          </w:p>
        </w:tc>
        <w:tc>
          <w:tcPr/>
          <w:p>
            <w:pPr>
              <w:pStyle w:val="Compact"/>
              <w:jc w:val="left"/>
            </w:pPr>
            <w:r>
              <w:t xml:space="preserve">10</w:t>
            </w:r>
          </w:p>
        </w:tc>
        <w:tc>
          <w:tcPr/>
          <w:p>
            <w:pPr>
              <w:pStyle w:val="Compact"/>
              <w:jc w:val="left"/>
            </w:pPr>
            <w:r>
              <w:t xml:space="preserve">Gentle highlight warmth</w:t>
            </w:r>
          </w:p>
        </w:tc>
      </w:tr>
      <w:tr>
        <w:tc>
          <w:tcPr/>
          <w:p>
            <w:pPr>
              <w:pStyle w:val="Compact"/>
            </w:pPr>
          </w:p>
        </w:tc>
        <w:tc>
          <w:tcPr/>
          <w:p>
            <w:pPr>
              <w:pStyle w:val="Compact"/>
              <w:jc w:val="left"/>
            </w:pPr>
            <w:r>
              <w:rPr>
                <w:rStyle w:val="VerbatimChar"/>
              </w:rPr>
              <w:t xml:space="preserve">crs:ColorGradeShadowHue</w:t>
            </w:r>
          </w:p>
        </w:tc>
        <w:tc>
          <w:tcPr/>
          <w:p>
            <w:pPr>
              <w:pStyle w:val="Compact"/>
              <w:jc w:val="left"/>
            </w:pPr>
            <w:r>
              <w:t xml:space="preserve">215</w:t>
            </w:r>
          </w:p>
        </w:tc>
        <w:tc>
          <w:tcPr/>
          <w:p>
            <w:pPr>
              <w:pStyle w:val="Compact"/>
              <w:jc w:val="left"/>
            </w:pPr>
            <w:r>
              <w:t xml:space="preserve">Cool shadow direction</w:t>
            </w:r>
          </w:p>
        </w:tc>
      </w:tr>
      <w:tr>
        <w:tc>
          <w:tcPr/>
          <w:p>
            <w:pPr>
              <w:pStyle w:val="Compact"/>
            </w:pPr>
          </w:p>
        </w:tc>
        <w:tc>
          <w:tcPr/>
          <w:p>
            <w:pPr>
              <w:pStyle w:val="Compact"/>
              <w:jc w:val="left"/>
            </w:pPr>
            <w:r>
              <w:rPr>
                <w:rStyle w:val="VerbatimChar"/>
              </w:rPr>
              <w:t xml:space="preserve">crs:ColorGradeShadowSat</w:t>
            </w:r>
          </w:p>
        </w:tc>
        <w:tc>
          <w:tcPr/>
          <w:p>
            <w:pPr>
              <w:pStyle w:val="Compact"/>
              <w:jc w:val="left"/>
            </w:pPr>
            <w:r>
              <w:t xml:space="preserve">8</w:t>
            </w:r>
          </w:p>
        </w:tc>
        <w:tc>
          <w:tcPr/>
          <w:p>
            <w:pPr>
              <w:pStyle w:val="Compact"/>
              <w:jc w:val="left"/>
            </w:pPr>
            <w:r>
              <w:t xml:space="preserve">Subtle shadow coolness</w:t>
            </w:r>
          </w:p>
        </w:tc>
      </w:tr>
      <w:tr>
        <w:tc>
          <w:tcPr/>
          <w:p>
            <w:pPr>
              <w:pStyle w:val="Compact"/>
            </w:pPr>
          </w:p>
        </w:tc>
        <w:tc>
          <w:tcPr/>
          <w:p>
            <w:pPr>
              <w:pStyle w:val="Compact"/>
              <w:jc w:val="left"/>
            </w:pPr>
            <w:r>
              <w:rPr>
                <w:rStyle w:val="VerbatimChar"/>
              </w:rPr>
              <w:t xml:space="preserve">crs:ColorGradeBalance</w:t>
            </w:r>
          </w:p>
        </w:tc>
        <w:tc>
          <w:tcPr/>
          <w:p>
            <w:pPr>
              <w:pStyle w:val="Compact"/>
              <w:jc w:val="left"/>
            </w:pPr>
            <w:r>
              <w:t xml:space="preserve">−30</w:t>
            </w:r>
          </w:p>
        </w:tc>
        <w:tc>
          <w:tcPr/>
          <w:p>
            <w:pPr>
              <w:pStyle w:val="Compact"/>
              <w:jc w:val="left"/>
            </w:pPr>
            <w:r>
              <w:t xml:space="preserve">Weight toward shadows</w:t>
            </w:r>
          </w:p>
        </w:tc>
      </w:tr>
      <w:tr>
        <w:tc>
          <w:tcPr/>
          <w:p>
            <w:pPr>
              <w:pStyle w:val="Compact"/>
              <w:jc w:val="left"/>
            </w:pPr>
            <w:r>
              <w:rPr>
                <w:bCs/>
                <w:b/>
              </w:rPr>
              <w:t xml:space="preserve">Calibration</w:t>
            </w:r>
          </w:p>
        </w:tc>
        <w:tc>
          <w:tcPr/>
          <w:p>
            <w:pPr>
              <w:pStyle w:val="Compact"/>
              <w:jc w:val="left"/>
            </w:pPr>
            <w:r>
              <w:rPr>
                <w:rStyle w:val="VerbatimChar"/>
              </w:rPr>
              <w:t xml:space="preserve">crs:CameraProfile</w:t>
            </w:r>
          </w:p>
        </w:tc>
        <w:tc>
          <w:tcPr/>
          <w:p>
            <w:pPr>
              <w:pStyle w:val="Compact"/>
              <w:jc w:val="left"/>
            </w:pPr>
            <w:r>
              <w:t xml:space="preserve">“</w:t>
            </w:r>
            <w:r>
              <w:t xml:space="preserve">Adobe Standard</w:t>
            </w:r>
            <w:r>
              <w:t xml:space="preserve">”</w:t>
            </w:r>
          </w:p>
        </w:tc>
        <w:tc>
          <w:tcPr/>
          <w:p>
            <w:pPr>
              <w:pStyle w:val="Compact"/>
              <w:jc w:val="left"/>
            </w:pPr>
            <w:r>
              <w:t xml:space="preserve">Base profile</w:t>
            </w:r>
          </w:p>
        </w:tc>
      </w:tr>
      <w:tr>
        <w:tc>
          <w:tcPr/>
          <w:p>
            <w:pPr>
              <w:pStyle w:val="Compact"/>
            </w:pPr>
          </w:p>
        </w:tc>
        <w:tc>
          <w:tcPr/>
          <w:p>
            <w:pPr>
              <w:pStyle w:val="Compact"/>
              <w:jc w:val="left"/>
            </w:pPr>
            <w:r>
              <w:rPr>
                <w:rStyle w:val="VerbatimChar"/>
              </w:rPr>
              <w:t xml:space="preserve">crs:ProcessVersion</w:t>
            </w:r>
          </w:p>
        </w:tc>
        <w:tc>
          <w:tcPr/>
          <w:p>
            <w:pPr>
              <w:pStyle w:val="Compact"/>
              <w:jc w:val="left"/>
            </w:pPr>
            <w:r>
              <w:t xml:space="preserve">“</w:t>
            </w:r>
            <w:r>
              <w:t xml:space="preserve">11.0</w:t>
            </w:r>
            <w:r>
              <w:t xml:space="preserve">”</w:t>
            </w:r>
          </w:p>
        </w:tc>
        <w:tc>
          <w:tcPr/>
          <w:p>
            <w:pPr>
              <w:pStyle w:val="Compact"/>
              <w:jc w:val="left"/>
            </w:pPr>
            <w:r>
              <w:t xml:space="preserve">Process 2012 (PV4+)</w:t>
            </w:r>
          </w:p>
        </w:tc>
      </w:tr>
      <w:tr>
        <w:tc>
          <w:tcPr/>
          <w:p>
            <w:pPr>
              <w:pStyle w:val="Compact"/>
              <w:jc w:val="left"/>
            </w:pPr>
            <w:r>
              <w:rPr>
                <w:bCs/>
                <w:b/>
              </w:rPr>
              <w:t xml:space="preserve">Effects</w:t>
            </w:r>
          </w:p>
        </w:tc>
        <w:tc>
          <w:tcPr/>
          <w:p>
            <w:pPr>
              <w:pStyle w:val="Compact"/>
              <w:jc w:val="left"/>
            </w:pPr>
            <w:r>
              <w:rPr>
                <w:rStyle w:val="VerbatimChar"/>
              </w:rPr>
              <w:t xml:space="preserve">crs:GrainAmount</w:t>
            </w:r>
          </w:p>
        </w:tc>
        <w:tc>
          <w:tcPr/>
          <w:p>
            <w:pPr>
              <w:pStyle w:val="Compact"/>
              <w:jc w:val="left"/>
            </w:pPr>
            <w:r>
              <w:t xml:space="preserve">20</w:t>
            </w:r>
          </w:p>
        </w:tc>
        <w:tc>
          <w:tcPr/>
          <w:p>
            <w:pPr>
              <w:pStyle w:val="Compact"/>
              <w:jc w:val="left"/>
            </w:pPr>
            <w:r>
              <w:t xml:space="preserve">Fine film grain</w:t>
            </w:r>
          </w:p>
        </w:tc>
      </w:tr>
      <w:tr>
        <w:tc>
          <w:tcPr/>
          <w:p>
            <w:pPr>
              <w:pStyle w:val="Compact"/>
            </w:pPr>
          </w:p>
        </w:tc>
        <w:tc>
          <w:tcPr/>
          <w:p>
            <w:pPr>
              <w:pStyle w:val="Compact"/>
              <w:jc w:val="left"/>
            </w:pPr>
            <w:r>
              <w:rPr>
                <w:rStyle w:val="VerbatimChar"/>
              </w:rPr>
              <w:t xml:space="preserve">crs:GrainSize</w:t>
            </w:r>
          </w:p>
        </w:tc>
        <w:tc>
          <w:tcPr/>
          <w:p>
            <w:pPr>
              <w:pStyle w:val="Compact"/>
              <w:jc w:val="left"/>
            </w:pPr>
            <w:r>
              <w:t xml:space="preserve">25</w:t>
            </w:r>
          </w:p>
        </w:tc>
        <w:tc>
          <w:tcPr/>
          <w:p>
            <w:pPr>
              <w:pStyle w:val="Compact"/>
              <w:jc w:val="left"/>
            </w:pPr>
            <w:r>
              <w:t xml:space="preserve">Small grain size</w:t>
            </w:r>
          </w:p>
        </w:tc>
      </w:tr>
      <w:tr>
        <w:tc>
          <w:tcPr/>
          <w:p>
            <w:pPr>
              <w:pStyle w:val="Compact"/>
            </w:pPr>
          </w:p>
        </w:tc>
        <w:tc>
          <w:tcPr/>
          <w:p>
            <w:pPr>
              <w:pStyle w:val="Compact"/>
              <w:jc w:val="left"/>
            </w:pPr>
            <w:r>
              <w:rPr>
                <w:rStyle w:val="VerbatimChar"/>
              </w:rPr>
              <w:t xml:space="preserve">crs:PostCropVignetteAmount</w:t>
            </w:r>
          </w:p>
        </w:tc>
        <w:tc>
          <w:tcPr/>
          <w:p>
            <w:pPr>
              <w:pStyle w:val="Compact"/>
              <w:jc w:val="left"/>
            </w:pPr>
            <w:r>
              <w:t xml:space="preserve">−10</w:t>
            </w:r>
          </w:p>
        </w:tc>
        <w:tc>
          <w:tcPr/>
          <w:p>
            <w:pPr>
              <w:pStyle w:val="Compact"/>
              <w:jc w:val="left"/>
            </w:pPr>
            <w:r>
              <w:t xml:space="preserve">Subtle edge darkening</w:t>
            </w:r>
          </w:p>
        </w:tc>
      </w:tr>
      <w:tr>
        <w:tc>
          <w:tcPr/>
          <w:p>
            <w:pPr>
              <w:pStyle w:val="Compact"/>
              <w:jc w:val="left"/>
            </w:pPr>
            <w:r>
              <w:rPr>
                <w:bCs/>
                <w:b/>
              </w:rPr>
              <w:t xml:space="preserve">Detail</w:t>
            </w:r>
          </w:p>
        </w:tc>
        <w:tc>
          <w:tcPr/>
          <w:p>
            <w:pPr>
              <w:pStyle w:val="Compact"/>
              <w:jc w:val="left"/>
            </w:pPr>
            <w:r>
              <w:rPr>
                <w:rStyle w:val="VerbatimChar"/>
              </w:rPr>
              <w:t xml:space="preserve">crs:Sharpness</w:t>
            </w:r>
          </w:p>
        </w:tc>
        <w:tc>
          <w:tcPr/>
          <w:p>
            <w:pPr>
              <w:pStyle w:val="Compact"/>
              <w:jc w:val="left"/>
            </w:pPr>
            <w:r>
              <w:t xml:space="preserve">25</w:t>
            </w:r>
          </w:p>
        </w:tc>
        <w:tc>
          <w:tcPr/>
          <w:p>
            <w:pPr>
              <w:pStyle w:val="Compact"/>
              <w:jc w:val="left"/>
            </w:pPr>
            <w:r>
              <w:t xml:space="preserve">Capture sharpening</w:t>
            </w:r>
          </w:p>
        </w:tc>
      </w:tr>
      <w:tr>
        <w:tc>
          <w:tcPr/>
          <w:p>
            <w:pPr>
              <w:pStyle w:val="Compact"/>
            </w:pPr>
          </w:p>
        </w:tc>
        <w:tc>
          <w:tcPr/>
          <w:p>
            <w:pPr>
              <w:pStyle w:val="Compact"/>
              <w:jc w:val="left"/>
            </w:pPr>
            <w:r>
              <w:rPr>
                <w:rStyle w:val="VerbatimChar"/>
              </w:rPr>
              <w:t xml:space="preserve">crs:SharpenRadius</w:t>
            </w:r>
          </w:p>
        </w:tc>
        <w:tc>
          <w:tcPr/>
          <w:p>
            <w:pPr>
              <w:pStyle w:val="Compact"/>
              <w:jc w:val="left"/>
            </w:pPr>
            <w:r>
              <w:t xml:space="preserve">1.0</w:t>
            </w:r>
          </w:p>
        </w:tc>
        <w:tc>
          <w:tcPr/>
          <w:p>
            <w:pPr>
              <w:pStyle w:val="Compact"/>
              <w:jc w:val="left"/>
            </w:pPr>
            <w:r>
              <w:t xml:space="preserve">Standard radius</w:t>
            </w:r>
          </w:p>
        </w:tc>
      </w:tr>
    </w:tbl>
    <w:p>
      <w:pPr>
        <w:pStyle w:val="BodyText"/>
      </w:pPr>
      <w:r>
        <w:t xml:space="preserve">The 24 HSL adjustments (8 hues + 8 saturations + 8 luminances) provide per-channel control enabling precise color science for film stock emulation. The Color Grading panel’s 12 parameters replaced Lightroom’s legacy Split Toning in version 10.0; CINEGRADE LAB presets exploit the additional Midtones wheel for sophisticated tonal separation</w:t>
      </w:r>
      <w:r>
        <w:t xml:space="preserve"> </w:t>
      </w:r>
      <w:r>
        <w:rPr>
          <w:vertAlign w:val="superscript"/>
        </w:rPr>
        <w:t xml:space="preserve">36</w:t>
      </w:r>
      <w:r>
        <w:t xml:space="preserve">. The three grain parameters simulate film grain structure with adjustable density and particle characteristics distinct from digital noise in their organic distribution.</w:t>
      </w:r>
    </w:p>
    <w:bookmarkEnd w:id="100"/>
    <w:bookmarkStart w:id="101" w:name="complete-parameter-listing-per-preset"/>
    <w:p>
      <w:pPr>
        <w:pStyle w:val="Heading4"/>
      </w:pPr>
      <w:r>
        <w:t xml:space="preserve">5.3.2 Complete parameter listing per preset</w:t>
      </w:r>
    </w:p>
    <w:p>
      <w:pPr>
        <w:pStyle w:val="FirstParagraph"/>
      </w:pPr>
      <w:r>
        <w:t xml:space="preserve">Each XMP file contains 45–65 active parameters, with the remaining 200+ possible</w:t>
      </w:r>
      <w:r>
        <w:t xml:space="preserve"> </w:t>
      </w:r>
      <w:r>
        <w:rPr>
          <w:rStyle w:val="VerbatimChar"/>
        </w:rPr>
        <w:t xml:space="preserve">crs:</w:t>
      </w:r>
      <w:r>
        <w:t xml:space="preserve"> </w:t>
      </w:r>
      <w:r>
        <w:t xml:space="preserve">properties at default values. Film Emulation presets activate the full grain triplet and more HSL channels for precise color matching; Utility presets prioritize Basic panel adjustments for speed. All presets specify</w:t>
      </w:r>
      <w:r>
        <w:t xml:space="preserve"> </w:t>
      </w:r>
      <w:r>
        <w:rPr>
          <w:rStyle w:val="VerbatimChar"/>
        </w:rPr>
        <w:t xml:space="preserve">crs:ProcessVersion</w:t>
      </w:r>
      <w:r>
        <w:t xml:space="preserve"> </w:t>
      </w:r>
      <w:r>
        <w:t xml:space="preserve">as</w:t>
      </w:r>
      <w:r>
        <w:t xml:space="preserve"> </w:t>
      </w:r>
      <w:r>
        <w:t xml:space="preserve">“</w:t>
      </w:r>
      <w:r>
        <w:t xml:space="preserve">11.0</w:t>
      </w:r>
      <w:r>
        <w:t xml:space="preserve">”</w:t>
      </w:r>
      <w:r>
        <w:t xml:space="preserve"> </w:t>
      </w:r>
      <w:r>
        <w:t xml:space="preserve">for compatibility with Lightroom 7.0+ and Camera Raw 11.0+. The</w:t>
      </w:r>
      <w:r>
        <w:t xml:space="preserve"> </w:t>
      </w:r>
      <w:r>
        <w:rPr>
          <w:rStyle w:val="VerbatimChar"/>
        </w:rPr>
        <w:t xml:space="preserve">crs:CameraProfile</w:t>
      </w:r>
      <w:r>
        <w:t xml:space="preserve"> </w:t>
      </w:r>
      <w:r>
        <w:t xml:space="preserve">is set to</w:t>
      </w:r>
      <w:r>
        <w:t xml:space="preserve"> </w:t>
      </w:r>
      <w:r>
        <w:t xml:space="preserve">“</w:t>
      </w:r>
      <w:r>
        <w:t xml:space="preserve">Adobe Standard</w:t>
      </w:r>
      <w:r>
        <w:t xml:space="preserve">”</w:t>
      </w:r>
      <w:r>
        <w:t xml:space="preserve"> </w:t>
      </w:r>
      <w:r>
        <w:t xml:space="preserve">as baseline, with profile-based presets overriding via embedded DCP references.</w:t>
      </w:r>
      <w:r>
        <w:t xml:space="preserve"> </w:t>
      </w:r>
      <w:r>
        <w:rPr>
          <w:rStyle w:val="VerbatimChar"/>
        </w:rPr>
        <w:t xml:space="preserve">crs:WhiteBalance</w:t>
      </w:r>
      <w:r>
        <w:t xml:space="preserve"> </w:t>
      </w:r>
      <w:r>
        <w:t xml:space="preserve">remains at</w:t>
      </w:r>
      <w:r>
        <w:t xml:space="preserve"> </w:t>
      </w:r>
      <w:r>
        <w:t xml:space="preserve">“</w:t>
      </w:r>
      <w:r>
        <w:t xml:space="preserve">As Shot</w:t>
      </w:r>
      <w:r>
        <w:t xml:space="preserve">”</w:t>
      </w:r>
      <w:r>
        <w:t xml:space="preserve"> </w:t>
      </w:r>
      <w:r>
        <w:t xml:space="preserve">for all presets, preserving the photographer’s in-camera decision rather than imposing a fixed temperature — a choice reflecting professional workflow practice where white balance is determined at capture for shoot consistency.</w:t>
      </w:r>
    </w:p>
    <w:bookmarkEnd w:id="101"/>
    <w:bookmarkStart w:id="102" w:name="Xfe736d8b5cee890f20f53cc626f202acce3dfb4"/>
    <w:p>
      <w:pPr>
        <w:pStyle w:val="Heading4"/>
      </w:pPr>
      <w:r>
        <w:t xml:space="preserve">5.3.3 Export compatibility: Lightroom Classic, Lightroom CC, Camera Raw</w:t>
      </w:r>
    </w:p>
    <w:p>
      <w:pPr>
        <w:pStyle w:val="FirstParagraph"/>
      </w:pPr>
      <w:r>
        <w:t xml:space="preserve">All 125 presets ship in</w:t>
      </w:r>
      <w:r>
        <w:t xml:space="preserve"> </w:t>
      </w:r>
      <w:r>
        <w:rPr>
          <w:rStyle w:val="VerbatimChar"/>
        </w:rPr>
        <w:t xml:space="preserve">.xmp</w:t>
      </w:r>
      <w:r>
        <w:t xml:space="preserve"> </w:t>
      </w:r>
      <w:r>
        <w:t xml:space="preserve">format compatible with Adobe Lightroom Classic (7.0+), Lightroom CC (desktop and mobile via sync), and Camera Raw (11.0+)</w:t>
      </w:r>
      <w:r>
        <w:t xml:space="preserve"> </w:t>
      </w:r>
      <w:r>
        <w:rPr>
          <w:vertAlign w:val="superscript"/>
        </w:rPr>
        <w:t xml:space="preserve">74</w:t>
      </w:r>
      <w:r>
        <w:t xml:space="preserve">. Lightroom Mobile requires</w:t>
      </w:r>
      <w:r>
        <w:t xml:space="preserve"> </w:t>
      </w:r>
      <w:r>
        <w:rPr>
          <w:rStyle w:val="VerbatimChar"/>
        </w:rPr>
        <w:t xml:space="preserve">.dng</w:t>
      </w:r>
      <w:r>
        <w:t xml:space="preserve"> </w:t>
      </w:r>
      <w:r>
        <w:t xml:space="preserve">template files embedding the same</w:t>
      </w:r>
      <w:r>
        <w:t xml:space="preserve"> </w:t>
      </w:r>
      <w:r>
        <w:rPr>
          <w:rStyle w:val="VerbatimChar"/>
        </w:rPr>
        <w:t xml:space="preserve">crs:</w:t>
      </w:r>
      <w:r>
        <w:t xml:space="preserve"> </w:t>
      </w:r>
      <w:r>
        <w:t xml:space="preserve">parameter set within XMP metadata packets for identical cross-platform rendering. The XMP format’s open XML structure provides forward compatibility: unrecognized properties in future Camera Raw versions are safely ignored. The</w:t>
      </w:r>
      <w:r>
        <w:t xml:space="preserve"> </w:t>
      </w:r>
      <w:r>
        <w:rPr>
          <w:rStyle w:val="VerbatimChar"/>
        </w:rPr>
        <w:t xml:space="preserve">crs:ProcessVersion</w:t>
      </w:r>
      <w:r>
        <w:t xml:space="preserve"> </w:t>
      </w:r>
      <w:r>
        <w:t xml:space="preserve">declaration ensures correct tone-mapping mathematics regardless of host application defaults, preventing appearance shifts when presets are applied across software versions</w:t>
      </w:r>
      <w:r>
        <w:t xml:space="preserve"> </w:t>
      </w:r>
      <w:r>
        <w:rPr>
          <w:vertAlign w:val="superscript"/>
        </w:rPr>
        <w:t xml:space="preserve">75</w:t>
      </w:r>
      <w:r>
        <w:t xml:space="preserve">. Camera Raw compatibility extends to Photoshop’s Camera Raw filter, enabling preset application to layers and smart objects within compositing workflows.</w:t>
      </w:r>
      <w:r>
        <w:t xml:space="preserve"> </w:t>
      </w:r>
      <w:r>
        <w:t xml:space="preserve">-e</w:t>
      </w:r>
    </w:p>
    <w:p>
      <w:r>
        <w:pict>
          <v:rect style="width:0;height:1.5pt" o:hralign="center" o:hrstd="t" o:hr="t"/>
        </w:pict>
      </w:r>
    </w:p>
    <w:bookmarkEnd w:id="102"/>
    <w:bookmarkEnd w:id="103"/>
    <w:bookmarkEnd w:id="104"/>
    <w:bookmarkStart w:id="118" w:name="cinematic-lut-library-125-cube"/>
    <w:p>
      <w:pPr>
        <w:pStyle w:val="Heading2"/>
      </w:pPr>
      <w:r>
        <w:t xml:space="preserve">6. Cinematic LUT Library: 125 CUBE</w:t>
      </w:r>
    </w:p>
    <w:p>
      <w:pPr>
        <w:pStyle w:val="FirstParagraph"/>
      </w:pPr>
      <w:r>
        <w:t xml:space="preserve">The CINEGRADE LAB collection ships 125 discrete 3D LUTs in the industry-standard .cube format, distributed across 25 stylistic categories. Where the companion XMP preset library targets RAW photography workflows in Adobe Lightroom and Camera Raw, the CUBE library is engineered for motion-picture pipelines: DaVinci Resolve, Adobe Premiere Pro, Final Cut Pro, OBS Studio, FFmpeg, and any application accepting an IRIDAS-format 3D LUT. The global market for cinematic LUTs reached USD 312.8 million in 2024 and is projected to expand at a 10.4% compound annual growth rate through 2033</w:t>
      </w:r>
      <w:r>
        <w:t xml:space="preserve"> </w:t>
      </w:r>
      <w:r>
        <w:rPr>
          <w:vertAlign w:val="superscript"/>
        </w:rPr>
        <w:t xml:space="preserve">5</w:t>
      </w:r>
      <w:r>
        <w:t xml:space="preserve">. Within this landscape, CINEGRADE LAB positions its CUBE collection as a prosumer-tier product bridging the gap between $7–$50 consumer LUT packs and the $300-plus professional plugin ecosystem occupied by Dehancer and ARRI Film Lab. The following sections document the design methodology, category-specific engineering, and technical specification defining the 125 CUBE library.</w:t>
      </w:r>
    </w:p>
    <w:bookmarkStart w:id="108" w:name="lut-design-methodology"/>
    <w:p>
      <w:pPr>
        <w:pStyle w:val="Heading3"/>
      </w:pPr>
      <w:r>
        <w:t xml:space="preserve">6.1 LUT Design Methodology</w:t>
      </w:r>
    </w:p>
    <w:p>
      <w:pPr>
        <w:pStyle w:val="FirstParagraph"/>
      </w:pPr>
      <w:r>
        <w:t xml:space="preserve">Every LUT in the collection is constructed from a stack of real color transforms rather than approximate color shifts. The design philosophy treats each .cube file as a deterministic mathematical function mapping input RGB values to output RGB values through calibrated operations, producing transforms that are reversible, quantifiable, and compatible with scene-referred color-managed workflows.</w:t>
      </w:r>
    </w:p>
    <w:bookmarkStart w:id="105" w:name="Xc32be08de35f0bc846c84c258a0cd774c743725"/>
    <w:p>
      <w:pPr>
        <w:pStyle w:val="Heading4"/>
      </w:pPr>
      <w:r>
        <w:t xml:space="preserve">6.1.1 Real Color Transforms: Exposure, Gamma, Contrast Curve, Saturation, and Hue Remapping</w:t>
      </w:r>
    </w:p>
    <w:p>
      <w:pPr>
        <w:pStyle w:val="FirstParagraph"/>
      </w:pPr>
      <w:r>
        <w:t xml:space="preserve">The foundational transform stack applied across all 125 LUTs consists of four ordered operations: exposure and gamma adjustment, contrast curve shaping, saturation modulation, and hue remapping.</w:t>
      </w:r>
    </w:p>
    <w:p>
      <w:pPr>
        <w:pStyle w:val="BodyText"/>
      </w:pPr>
      <w:r>
        <w:t xml:space="preserve">Exposure and gamma adjustment corrects the input luminance distribution to a neutral working space. The gamma curve is a piecewise function with a linear slope at the bottom (a</w:t>
      </w:r>
      <w:r>
        <w:t xml:space="preserve"> </w:t>
      </w:r>
      <w:r>
        <w:t xml:space="preserve">“</w:t>
      </w:r>
      <w:r>
        <w:t xml:space="preserve">kink</w:t>
      </w:r>
      <w:r>
        <w:t xml:space="preserve">”</w:t>
      </w:r>
      <w:r>
        <w:t xml:space="preserve"> </w:t>
      </w:r>
      <w:r>
        <w:t xml:space="preserve">near zero) and a gamma-2.4 response through midtones and highlights, closely matching the sRGB electro-optical transfer function</w:t>
      </w:r>
      <w:r>
        <w:t xml:space="preserve"> </w:t>
      </w:r>
      <w:r>
        <w:rPr>
          <w:vertAlign w:val="superscript"/>
        </w:rPr>
        <w:t xml:space="preserve">26</w:t>
      </w:r>
      <w:r>
        <w:t xml:space="preserve">. This prevents dark-pixel calculation inaccuracies that accumulate through multiple linearization steps in modern pipelines. Exposure offset is calibrated per-category: film emulation LUTs receive a +0.15 to +0.25 stop lift to emulate scanned negative density, while moody LUTs receive a −0.10 to −0.20 stop reduction to deepen shadow anchors.</w:t>
      </w:r>
    </w:p>
    <w:p>
      <w:pPr>
        <w:pStyle w:val="BodyText"/>
      </w:pPr>
      <w:r>
        <w:t xml:space="preserve">Contrast curve shaping employs a parametric S-curve with variable pivot. The S-curve increases perceived contrast by darkening shadow tones and brightening highlights</w:t>
      </w:r>
      <w:r>
        <w:t xml:space="preserve"> </w:t>
      </w:r>
      <w:r>
        <w:rPr>
          <w:vertAlign w:val="superscript"/>
        </w:rPr>
        <w:t xml:space="preserve">31</w:t>
      </w:r>
      <w:r>
        <w:t xml:space="preserve">; the pivot control sets the fulcrum around which expansion occurs</w:t>
      </w:r>
      <w:r>
        <w:t xml:space="preserve"> </w:t>
      </w:r>
      <w:r>
        <w:rPr>
          <w:vertAlign w:val="superscript"/>
        </w:rPr>
        <w:t xml:space="preserve">37</w:t>
      </w:r>
      <w:r>
        <w:t xml:space="preserve">. CINEGRADE LAB LUTs use pivot values ranging from 0.40 (high-contrast looks: Neo Noir, Bleach Bypass) to 0.52 (low-contrast looks: Fuji 400H Emulation, Dreamy Wedding). Film-emulation categories incorporate a matte lift on the left anchor point (pure black remapped to 3–8% luminance), replicating the compressed dynamic range of vintage print stocks</w:t>
      </w:r>
      <w:r>
        <w:t xml:space="preserve"> </w:t>
      </w:r>
      <w:r>
        <w:rPr>
          <w:vertAlign w:val="superscript"/>
        </w:rPr>
        <w:t xml:space="preserve">32</w:t>
      </w:r>
      <w:r>
        <w:t xml:space="preserve">.</w:t>
      </w:r>
    </w:p>
    <w:p>
      <w:pPr>
        <w:pStyle w:val="BodyText"/>
      </w:pPr>
      <w:r>
        <w:t xml:space="preserve">Saturation modulation is applied after contrast shaping so luminance changes do not artificially inflate color intensity. Global saturation multipliers range from 0.65 (Moody Documentary) to 1.25 (Hyperreal Fashion), with selective HSL adjustments targeting specific hue ranges. The hue remapping stage rotates selected color vectors for category-specific separation: Teal &amp; Orange Modern LUTs rotate cyan hues toward teal (−12°) and orange hues toward amber (+8°), exploiting the opponent-process color response of human vision</w:t>
      </w:r>
      <w:r>
        <w:t xml:space="preserve"> </w:t>
      </w:r>
      <w:r>
        <w:rPr>
          <w:vertAlign w:val="superscript"/>
        </w:rPr>
        <w:t xml:space="preserve">34</w:t>
      </w:r>
      <w:r>
        <w:t xml:space="preserve"> </w:t>
      </w:r>
      <w:r>
        <w:rPr>
          <w:vertAlign w:val="superscript"/>
        </w:rPr>
        <w:t xml:space="preserve">68</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Transform Stage</w:t>
            </w:r>
          </w:p>
        </w:tc>
        <w:tc>
          <w:tcPr/>
          <w:p>
            <w:pPr>
              <w:pStyle w:val="Compact"/>
              <w:jc w:val="left"/>
            </w:pPr>
            <w:r>
              <w:t xml:space="preserve">Parameter Range</w:t>
            </w:r>
          </w:p>
        </w:tc>
        <w:tc>
          <w:tcPr/>
          <w:p>
            <w:pPr>
              <w:pStyle w:val="Compact"/>
              <w:jc w:val="left"/>
            </w:pPr>
            <w:r>
              <w:t xml:space="preserve">Cinematic Purpose</w:t>
            </w:r>
          </w:p>
        </w:tc>
        <w:tc>
          <w:tcPr/>
          <w:p>
            <w:pPr>
              <w:pStyle w:val="Compact"/>
              <w:jc w:val="left"/>
            </w:pPr>
            <w:r>
              <w:t xml:space="preserve">Applied Categories</w:t>
            </w:r>
          </w:p>
        </w:tc>
      </w:tr>
      <w:tr>
        <w:tc>
          <w:tcPr/>
          <w:p>
            <w:pPr>
              <w:pStyle w:val="Compact"/>
              <w:jc w:val="left"/>
            </w:pPr>
            <w:r>
              <w:t xml:space="preserve">Exposure offset</w:t>
            </w:r>
          </w:p>
        </w:tc>
        <w:tc>
          <w:tcPr/>
          <w:p>
            <w:pPr>
              <w:pStyle w:val="Compact"/>
              <w:jc w:val="left"/>
            </w:pPr>
            <w:r>
              <w:t xml:space="preserve">−0.20 to +0.25 stops</w:t>
            </w:r>
          </w:p>
        </w:tc>
        <w:tc>
          <w:tcPr/>
          <w:p>
            <w:pPr>
              <w:pStyle w:val="Compact"/>
              <w:jc w:val="left"/>
            </w:pPr>
            <w:r>
              <w:t xml:space="preserve">Density matching; shadow deepening</w:t>
            </w:r>
          </w:p>
        </w:tc>
        <w:tc>
          <w:tcPr/>
          <w:p>
            <w:pPr>
              <w:pStyle w:val="Compact"/>
              <w:jc w:val="left"/>
            </w:pPr>
            <w:r>
              <w:t xml:space="preserve">All (category-calibrated)</w:t>
            </w:r>
          </w:p>
        </w:tc>
      </w:tr>
      <w:tr>
        <w:tc>
          <w:tcPr/>
          <w:p>
            <w:pPr>
              <w:pStyle w:val="Compact"/>
              <w:jc w:val="left"/>
            </w:pPr>
            <w:r>
              <w:t xml:space="preserve">Gamma curve</w:t>
            </w:r>
          </w:p>
        </w:tc>
        <w:tc>
          <w:tcPr/>
          <w:p>
            <w:pPr>
              <w:pStyle w:val="Compact"/>
              <w:jc w:val="left"/>
            </w:pPr>
            <w:r>
              <w:t xml:space="preserve">Piecewise: linear kink + gamma 2.4</w:t>
            </w:r>
          </w:p>
        </w:tc>
        <w:tc>
          <w:tcPr/>
          <w:p>
            <w:pPr>
              <w:pStyle w:val="Compact"/>
              <w:jc w:val="left"/>
            </w:pPr>
            <w:r>
              <w:t xml:space="preserve">Dark-pixel accuracy through pipeline</w:t>
            </w:r>
            <w:r>
              <w:t xml:space="preserve"> </w:t>
            </w:r>
            <w:r>
              <w:rPr>
                <w:vertAlign w:val="superscript"/>
              </w:rPr>
              <w:t xml:space="preserve">26</w:t>
            </w:r>
          </w:p>
        </w:tc>
        <w:tc>
          <w:tcPr/>
          <w:p>
            <w:pPr>
              <w:pStyle w:val="Compact"/>
              <w:jc w:val="left"/>
            </w:pPr>
            <w:r>
              <w:t xml:space="preserve">All</w:t>
            </w:r>
          </w:p>
        </w:tc>
      </w:tr>
      <w:tr>
        <w:tc>
          <w:tcPr/>
          <w:p>
            <w:pPr>
              <w:pStyle w:val="Compact"/>
              <w:jc w:val="left"/>
            </w:pPr>
            <w:r>
              <w:t xml:space="preserve">Contrast pivot</w:t>
            </w:r>
          </w:p>
        </w:tc>
        <w:tc>
          <w:tcPr/>
          <w:p>
            <w:pPr>
              <w:pStyle w:val="Compact"/>
              <w:jc w:val="left"/>
            </w:pPr>
            <w:r>
              <w:t xml:space="preserve">0.40–0.52</w:t>
            </w:r>
          </w:p>
        </w:tc>
        <w:tc>
          <w:tcPr/>
          <w:p>
            <w:pPr>
              <w:pStyle w:val="Compact"/>
              <w:jc w:val="left"/>
            </w:pPr>
            <w:r>
              <w:t xml:space="preserve">S-curve fulcrum; lower = more contrast</w:t>
            </w:r>
            <w:r>
              <w:t xml:space="preserve"> </w:t>
            </w:r>
            <w:r>
              <w:rPr>
                <w:vertAlign w:val="superscript"/>
              </w:rPr>
              <w:t xml:space="preserve">37</w:t>
            </w:r>
          </w:p>
        </w:tc>
        <w:tc>
          <w:tcPr/>
          <w:p>
            <w:pPr>
              <w:pStyle w:val="Compact"/>
              <w:jc w:val="left"/>
            </w:pPr>
            <w:r>
              <w:t xml:space="preserve">All (category-calibrated)</w:t>
            </w:r>
          </w:p>
        </w:tc>
      </w:tr>
      <w:tr>
        <w:tc>
          <w:tcPr/>
          <w:p>
            <w:pPr>
              <w:pStyle w:val="Compact"/>
              <w:jc w:val="left"/>
            </w:pPr>
            <w:r>
              <w:t xml:space="preserve">Matte lift (black point)</w:t>
            </w:r>
          </w:p>
        </w:tc>
        <w:tc>
          <w:tcPr/>
          <w:p>
            <w:pPr>
              <w:pStyle w:val="Compact"/>
              <w:jc w:val="left"/>
            </w:pPr>
            <w:r>
              <w:t xml:space="preserve">0.03–0.08</w:t>
            </w:r>
          </w:p>
        </w:tc>
        <w:tc>
          <w:tcPr/>
          <w:p>
            <w:pPr>
              <w:pStyle w:val="Compact"/>
              <w:jc w:val="left"/>
            </w:pPr>
            <w:r>
              <w:t xml:space="preserve">Film fade; remaps pure black to dark gray</w:t>
            </w:r>
            <w:r>
              <w:t xml:space="preserve"> </w:t>
            </w:r>
            <w:r>
              <w:rPr>
                <w:vertAlign w:val="superscript"/>
              </w:rPr>
              <w:t xml:space="preserve">32</w:t>
            </w:r>
          </w:p>
        </w:tc>
        <w:tc>
          <w:tcPr/>
          <w:p>
            <w:pPr>
              <w:pStyle w:val="Compact"/>
              <w:jc w:val="left"/>
            </w:pPr>
            <w:r>
              <w:t xml:space="preserve">Film emulation, vintage</w:t>
            </w:r>
          </w:p>
        </w:tc>
      </w:tr>
      <w:tr>
        <w:tc>
          <w:tcPr/>
          <w:p>
            <w:pPr>
              <w:pStyle w:val="Compact"/>
              <w:jc w:val="left"/>
            </w:pPr>
            <w:r>
              <w:t xml:space="preserve">Global saturation</w:t>
            </w:r>
          </w:p>
        </w:tc>
        <w:tc>
          <w:tcPr/>
          <w:p>
            <w:pPr>
              <w:pStyle w:val="Compact"/>
              <w:jc w:val="left"/>
            </w:pPr>
            <w:r>
              <w:t xml:space="preserve">0.65×–1.25×</w:t>
            </w:r>
          </w:p>
        </w:tc>
        <w:tc>
          <w:tcPr/>
          <w:p>
            <w:pPr>
              <w:pStyle w:val="Compact"/>
              <w:jc w:val="left"/>
            </w:pPr>
            <w:r>
              <w:t xml:space="preserve">Mood calibration</w:t>
            </w:r>
          </w:p>
        </w:tc>
        <w:tc>
          <w:tcPr/>
          <w:p>
            <w:pPr>
              <w:pStyle w:val="Compact"/>
              <w:jc w:val="left"/>
            </w:pPr>
            <w:r>
              <w:t xml:space="preserve">All (category-calibrated)</w:t>
            </w:r>
          </w:p>
        </w:tc>
      </w:tr>
      <w:tr>
        <w:tc>
          <w:tcPr/>
          <w:p>
            <w:pPr>
              <w:pStyle w:val="Compact"/>
              <w:jc w:val="left"/>
            </w:pPr>
            <w:r>
              <w:t xml:space="preserve">Hue rotation</w:t>
            </w:r>
          </w:p>
        </w:tc>
        <w:tc>
          <w:tcPr/>
          <w:p>
            <w:pPr>
              <w:pStyle w:val="Compact"/>
              <w:jc w:val="left"/>
            </w:pPr>
            <w:r>
              <w:t xml:space="preserve">±15° per hue range</w:t>
            </w:r>
          </w:p>
        </w:tc>
        <w:tc>
          <w:tcPr/>
          <w:p>
            <w:pPr>
              <w:pStyle w:val="Compact"/>
              <w:jc w:val="left"/>
            </w:pPr>
            <w:r>
              <w:t xml:space="preserve">Color separation, skin-tone isolation</w:t>
            </w:r>
            <w:r>
              <w:t xml:space="preserve"> </w:t>
            </w:r>
            <w:r>
              <w:rPr>
                <w:vertAlign w:val="superscript"/>
              </w:rPr>
              <w:t xml:space="preserve">34</w:t>
            </w:r>
          </w:p>
        </w:tc>
        <w:tc>
          <w:tcPr/>
          <w:p>
            <w:pPr>
              <w:pStyle w:val="Compact"/>
              <w:jc w:val="left"/>
            </w:pPr>
            <w:r>
              <w:t xml:space="preserve">Teal/Orange, Cyberpunk, Film</w:t>
            </w:r>
          </w:p>
        </w:tc>
      </w:tr>
    </w:tbl>
    <w:p>
      <w:pPr>
        <w:pStyle w:val="BodyText"/>
      </w:pPr>
      <w:r>
        <w:t xml:space="preserve">The transform stack produces CIEDE2000 color differences (ΔE₀₀) within the imperceptible-to-minor range (ΔE₀₀ &lt; 2.0) for neutral grays, ensuring no unwanted color cast in balanced footage</w:t>
      </w:r>
      <w:r>
        <w:t xml:space="preserve"> </w:t>
      </w:r>
      <w:r>
        <w:rPr>
          <w:vertAlign w:val="superscript"/>
        </w:rPr>
        <w:t xml:space="preserve">38</w:t>
      </w:r>
      <w:r>
        <w:t xml:space="preserve">. ΔE₀₀ remains the standard metric correlating with human perceptual judgments for LUT quality assessment</w:t>
      </w:r>
      <w:r>
        <w:t xml:space="preserve"> </w:t>
      </w:r>
      <w:r>
        <w:rPr>
          <w:vertAlign w:val="superscript"/>
        </w:rPr>
        <w:t xml:space="preserve">38</w:t>
      </w:r>
      <w:r>
        <w:t xml:space="preserve">.</w:t>
      </w:r>
    </w:p>
    <w:bookmarkEnd w:id="105"/>
    <w:bookmarkStart w:id="106" w:name="Xc6c596936eb8ef1ff3d9ec1c8d6030459890bad"/>
    <w:p>
      <w:pPr>
        <w:pStyle w:val="Heading4"/>
      </w:pPr>
      <w:r>
        <w:t xml:space="preserve">6.1.2 Film Matrix Approach: Portra Warmth, CineStill Halation, Bleach Bypass Silver Retention</w:t>
      </w:r>
    </w:p>
    <w:p>
      <w:pPr>
        <w:pStyle w:val="FirstParagraph"/>
      </w:pPr>
      <w:r>
        <w:t xml:space="preserve">Film emulation LUTs are constructed using a film matrix approach modeling specific photographic stocks’ dye-layer spectral sensitivity. Each emulation derives a 3×3 color matrix and offset vector governing cross-talk between channels — a property that simple hue/saturation adjustments cannot replicate.</w:t>
      </w:r>
    </w:p>
    <w:p>
      <w:pPr>
        <w:pStyle w:val="BodyText"/>
      </w:pPr>
      <w:r>
        <w:t xml:space="preserve">Kodak Portra emulation targets the warm, creamy skin-tone rendering of Portra 160, 400, and 800. The Portra matrix increases red-to-green cross-talk by approximately 8% and reduces blue-channel separation in midtones, producing the stock’s characteristic ivory highlight quality. Shadow tones are warmed through an offset vector of (0.04, 0.02, −0.03) in normalized RGB, while saturation is reduced 15–20% globally.</w:t>
      </w:r>
    </w:p>
    <w:p>
      <w:pPr>
        <w:pStyle w:val="BodyText"/>
      </w:pPr>
      <w:r>
        <w:t xml:space="preserve">CineStill 800T emulation addresses halation — the red-orange glow around bright highlights caused by light reflecting off the film base and re-exposing the emulsion</w:t>
      </w:r>
      <w:r>
        <w:t xml:space="preserve"> </w:t>
      </w:r>
      <w:r>
        <w:rPr>
          <w:vertAlign w:val="superscript"/>
        </w:rPr>
        <w:t xml:space="preserve">76</w:t>
      </w:r>
      <w:r>
        <w:t xml:space="preserve">. Since a static 3D LUT cannot fully simulate spatial diffusion, the CineStill LUTs incorporate a highlight compression curve that approximates exposure-dependent bloom. The red channel in highlights is boosted 12–18% relative to green and blue, creating a warm halo approximation. For full halation simulation, users may pair these LUTs with a post-process bloom filter using an exponential kernel with redshift multiplier [1.0, 0.05, 0.02]</w:t>
      </w:r>
      <w:r>
        <w:t xml:space="preserve"> </w:t>
      </w:r>
      <w:r>
        <w:rPr>
          <w:vertAlign w:val="superscript"/>
        </w:rPr>
        <w:t xml:space="preserve">67</w:t>
      </w:r>
      <w:r>
        <w:t xml:space="preserve">.</w:t>
      </w:r>
    </w:p>
    <w:p>
      <w:pPr>
        <w:pStyle w:val="BodyText"/>
      </w:pPr>
      <w:r>
        <w:t xml:space="preserve">Bleach bypass emulation models silver retention, increasing contrast 25–35% through a steeper S-curve, reducing global saturation to 70–75%, and applying luminance-dependent desaturation in highlights that mimics silver’s neutral reflectance.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Emulation Target</w:t>
            </w:r>
          </w:p>
        </w:tc>
        <w:tc>
          <w:tcPr/>
          <w:p>
            <w:pPr>
              <w:pStyle w:val="Compact"/>
              <w:jc w:val="left"/>
            </w:pPr>
            <w:r>
              <w:t xml:space="preserve">Key Matrix Property</w:t>
            </w:r>
          </w:p>
        </w:tc>
        <w:tc>
          <w:tcPr/>
          <w:p>
            <w:pPr>
              <w:pStyle w:val="Compact"/>
              <w:jc w:val="left"/>
            </w:pPr>
            <w:r>
              <w:t xml:space="preserve">Saturation Change</w:t>
            </w:r>
          </w:p>
        </w:tc>
        <w:tc>
          <w:tcPr/>
          <w:p>
            <w:pPr>
              <w:pStyle w:val="Compact"/>
              <w:jc w:val="left"/>
            </w:pPr>
            <w:r>
              <w:t xml:space="preserve">Signature Highlight Behavior</w:t>
            </w:r>
          </w:p>
        </w:tc>
        <w:tc>
          <w:tcPr/>
          <w:p>
            <w:pPr>
              <w:pStyle w:val="Compact"/>
              <w:jc w:val="left"/>
            </w:pPr>
            <w:r>
              <w:t xml:space="preserve">LUTs in Collection</w:t>
            </w:r>
          </w:p>
        </w:tc>
      </w:tr>
      <w:tr>
        <w:tc>
          <w:tcPr/>
          <w:p>
            <w:pPr>
              <w:pStyle w:val="Compact"/>
              <w:jc w:val="left"/>
            </w:pPr>
            <w:r>
              <w:t xml:space="preserve">Kodak Portra 160/400/800</w:t>
            </w:r>
          </w:p>
        </w:tc>
        <w:tc>
          <w:tcPr/>
          <w:p>
            <w:pPr>
              <w:pStyle w:val="Compact"/>
              <w:jc w:val="left"/>
            </w:pPr>
            <w:r>
              <w:t xml:space="preserve">+8% red-green cross-talk; warm midtone offset</w:t>
            </w:r>
          </w:p>
        </w:tc>
        <w:tc>
          <w:tcPr/>
          <w:p>
            <w:pPr>
              <w:pStyle w:val="Compact"/>
              <w:jc w:val="left"/>
            </w:pPr>
            <w:r>
              <w:t xml:space="preserve">−15 to −20%</w:t>
            </w:r>
          </w:p>
        </w:tc>
        <w:tc>
          <w:tcPr/>
          <w:p>
            <w:pPr>
              <w:pStyle w:val="Compact"/>
              <w:jc w:val="left"/>
            </w:pPr>
            <w:r>
              <w:t xml:space="preserve">Creamy, warm skin-tone rolloff</w:t>
            </w:r>
          </w:p>
        </w:tc>
        <w:tc>
          <w:tcPr/>
          <w:p>
            <w:pPr>
              <w:pStyle w:val="Compact"/>
              <w:jc w:val="left"/>
            </w:pPr>
            <w:r>
              <w:t xml:space="preserve">5 LUTs (Portra_160_000 through Portra_Skin_004)</w:t>
            </w:r>
          </w:p>
        </w:tc>
      </w:tr>
      <w:tr>
        <w:tc>
          <w:tcPr/>
          <w:p>
            <w:pPr>
              <w:pStyle w:val="Compact"/>
              <w:jc w:val="left"/>
            </w:pPr>
            <w:r>
              <w:t xml:space="preserve">CineStill 800T</w:t>
            </w:r>
          </w:p>
        </w:tc>
        <w:tc>
          <w:tcPr/>
          <w:p>
            <w:pPr>
              <w:pStyle w:val="Compact"/>
              <w:jc w:val="left"/>
            </w:pPr>
            <w:r>
              <w:t xml:space="preserve">Red boost +12–18% in highlights; tungsten WB</w:t>
            </w:r>
          </w:p>
        </w:tc>
        <w:tc>
          <w:tcPr/>
          <w:p>
            <w:pPr>
              <w:pStyle w:val="Compact"/>
              <w:jc w:val="left"/>
            </w:pPr>
            <w:r>
              <w:t xml:space="preserve">−10 to −15%</w:t>
            </w:r>
          </w:p>
        </w:tc>
        <w:tc>
          <w:tcPr/>
          <w:p>
            <w:pPr>
              <w:pStyle w:val="Compact"/>
              <w:jc w:val="left"/>
            </w:pPr>
            <w:r>
              <w:t xml:space="preserve">Warm halation approximation; tungsten neutrals</w:t>
            </w:r>
          </w:p>
        </w:tc>
        <w:tc>
          <w:tcPr/>
          <w:p>
            <w:pPr>
              <w:pStyle w:val="Compact"/>
              <w:jc w:val="left"/>
            </w:pPr>
            <w:r>
              <w:t xml:space="preserve">5 LUTs (800T_Tungsten_000 through Night_Still_004)</w:t>
            </w:r>
          </w:p>
        </w:tc>
      </w:tr>
      <w:tr>
        <w:tc>
          <w:tcPr/>
          <w:p>
            <w:pPr>
              <w:pStyle w:val="Compact"/>
              <w:jc w:val="left"/>
            </w:pPr>
            <w:r>
              <w:t xml:space="preserve">Bleach Bypass</w:t>
            </w:r>
          </w:p>
        </w:tc>
        <w:tc>
          <w:tcPr/>
          <w:p>
            <w:pPr>
              <w:pStyle w:val="Compact"/>
              <w:jc w:val="left"/>
            </w:pPr>
            <w:r>
              <w:t xml:space="preserve">High-contrast S-curve (+25–35%); luminance desaturation</w:t>
            </w:r>
          </w:p>
        </w:tc>
        <w:tc>
          <w:tcPr/>
          <w:p>
            <w:pPr>
              <w:pStyle w:val="Compact"/>
              <w:jc w:val="left"/>
            </w:pPr>
            <w:r>
              <w:t xml:space="preserve">−25 to −30%</w:t>
            </w:r>
          </w:p>
        </w:tc>
        <w:tc>
          <w:tcPr/>
          <w:p>
            <w:pPr>
              <w:pStyle w:val="Compact"/>
              <w:jc w:val="left"/>
            </w:pPr>
            <w:r>
              <w:t xml:space="preserve">Metallic silver sheen; near-black shadows</w:t>
            </w:r>
          </w:p>
        </w:tc>
        <w:tc>
          <w:tcPr/>
          <w:p>
            <w:pPr>
              <w:pStyle w:val="Compact"/>
              <w:jc w:val="left"/>
            </w:pPr>
            <w:r>
              <w:t xml:space="preserve">5 LUTs (Silver_Keep_000 through Bypass_Hard_004)</w:t>
            </w:r>
          </w:p>
        </w:tc>
      </w:tr>
    </w:tbl>
    <w:p>
      <w:pPr>
        <w:pStyle w:val="BodyText"/>
      </w:pPr>
      <w:r>
        <w:t xml:space="preserve">The Portra emulation achieves an average ΔE₀₀ of 3.2 against target film-scan colors — within the acceptable range for creative emulation, where deviation reflects film processing variability</w:t>
      </w:r>
      <w:r>
        <w:t xml:space="preserve"> </w:t>
      </w:r>
      <w:r>
        <w:rPr>
          <w:vertAlign w:val="superscript"/>
        </w:rPr>
        <w:t xml:space="preserve">41</w:t>
      </w:r>
      <w:r>
        <w:t xml:space="preserve">.</w:t>
      </w:r>
    </w:p>
    <w:bookmarkEnd w:id="106"/>
    <w:bookmarkStart w:id="107" w:name="X0e51443e499e0647ffc03281e582cb6f346eb53"/>
    <w:p>
      <w:pPr>
        <w:pStyle w:val="Heading4"/>
      </w:pPr>
      <w:r>
        <w:t xml:space="preserve">6.1.3 Shadow Mapping and Highlight Compression for Cinematic Tonal Behavior</w:t>
      </w:r>
    </w:p>
    <w:p>
      <w:pPr>
        <w:pStyle w:val="FirstParagraph"/>
      </w:pPr>
      <w:r>
        <w:t xml:space="preserve">Cinematic tonal behavior is defined by extreme-luminance treatment. CINEGRADE LAB LUTs employ tonal mapping that preserves detail while compressing toward cinematic targets.</w:t>
      </w:r>
    </w:p>
    <w:p>
      <w:pPr>
        <w:pStyle w:val="BodyText"/>
      </w:pPr>
      <w:r>
        <w:t xml:space="preserve">Shadow mapping uses a three-zone approach. Zone 1 (0–5% input luminance) is lifted or crushed by category: Moody Documentary and Neo Noir LUTs crush to near-zero, while Film Emulation and Dreamy Wedding LUTs lift to 3–5%</w:t>
      </w:r>
      <w:r>
        <w:t xml:space="preserve"> </w:t>
      </w:r>
      <w:r>
        <w:rPr>
          <w:vertAlign w:val="superscript"/>
        </w:rPr>
        <w:t xml:space="preserve">32</w:t>
      </w:r>
      <w:r>
        <w:t xml:space="preserve">. Zone 2 (5–20%) receives the primary shadow color cast — teal for Cinematic Shadows, warm amber for Luxury Travel, neutral for Minimal Scandinavian. Zone 3 (20–40%) transitions into midtones through a soft knee preventing visible banding.</w:t>
      </w:r>
    </w:p>
    <w:p>
      <w:pPr>
        <w:pStyle w:val="BodyText"/>
      </w:pPr>
      <w:r>
        <w:t xml:space="preserve">Highlight compression addresses the most common failure mode of generic LUTs: clipped skin-tone highlights. The highlight curve pulls the top-right anchor point slightly downward for creamy, film-like rolloff</w:t>
      </w:r>
      <w:r>
        <w:t xml:space="preserve"> </w:t>
      </w:r>
      <w:r>
        <w:rPr>
          <w:vertAlign w:val="superscript"/>
        </w:rPr>
        <w:t xml:space="preserve">32</w:t>
      </w:r>
      <w:r>
        <w:t xml:space="preserve">. Compression begins at 80–85% input luminance, reaching maximum at 98–100%. The ratio varies: A24 Inspired and Film Emulation LUTs use gentle 1.5:1 compression, while Commercial Luxury and Music Video Looks use 2.5:1 for a broadcast-safe finish. The combined shadow and highlight mapping produces a characteristic</w:t>
      </w:r>
      <w:r>
        <w:t xml:space="preserve"> </w:t>
      </w:r>
      <w:r>
        <w:t xml:space="preserve">“</w:t>
      </w:r>
      <w:r>
        <w:t xml:space="preserve">S-curve with lifted toe and compressed shoulder</w:t>
      </w:r>
      <w:r>
        <w:t xml:space="preserve">”</w:t>
      </w:r>
      <w:r>
        <w:t xml:space="preserve"> </w:t>
      </w:r>
      <w:r>
        <w:t xml:space="preserve">matching the density response of interpositive/internegative film stocks in theatrical distribution — the reason film-emulation LUTs on properly exposed log footage can approach the perceptual quality of scanned film.</w:t>
      </w:r>
    </w:p>
    <w:bookmarkEnd w:id="107"/>
    <w:bookmarkEnd w:id="108"/>
    <w:bookmarkStart w:id="113" w:name="category-specific-lut-engineering"/>
    <w:p>
      <w:pPr>
        <w:pStyle w:val="Heading3"/>
      </w:pPr>
      <w:r>
        <w:t xml:space="preserve">6.2 Category-Specific LUT Engineering</w:t>
      </w:r>
    </w:p>
    <w:p>
      <w:pPr>
        <w:pStyle w:val="FirstParagraph"/>
      </w:pPr>
      <w:r>
        <w:t xml:space="preserve">The 125 LUTs are organized into 25 categories of 5 LUTs each, with every category representing a distinct color engineering philosophy. The five LUTs within a category are variants (intensity levels, lighting-condition adaptations, stylistic shifts) rather than unrelated looks.</w:t>
      </w:r>
    </w:p>
    <w:bookmarkStart w:id="109" w:name="X033bbfc0d32e66eb28372d4d68519ec0565e3ab"/>
    <w:p>
      <w:pPr>
        <w:pStyle w:val="Heading4"/>
      </w:pPr>
      <w:r>
        <w:t xml:space="preserve">6.2.1 Teal/Orange LUTs: Shadow and Highlight Color Targets</w:t>
      </w:r>
    </w:p>
    <w:p>
      <w:pPr>
        <w:pStyle w:val="FirstParagraph"/>
      </w:pPr>
      <w:r>
        <w:t xml:space="preserve">The Teal &amp; Orange Modern and Cinematic Shadows categories exploit the teal/orange complementary scheme at different intensities. Teal/orange grading pushes shadows toward cool cyan/teal while steering skin tones and highlights toward warm orange/amber, creating perceptual color contrast the human visual system processes as dimensional</w:t>
      </w:r>
      <w:r>
        <w:t xml:space="preserve"> </w:t>
      </w:r>
      <w:r>
        <w:rPr>
          <w:vertAlign w:val="superscript"/>
        </w:rPr>
        <w:t xml:space="preserve">34</w:t>
      </w:r>
      <w:r>
        <w:t xml:space="preserve">.</w:t>
      </w:r>
    </w:p>
    <w:p>
      <w:pPr>
        <w:pStyle w:val="BodyText"/>
      </w:pPr>
      <w:r>
        <w:t xml:space="preserve">Engineering targets specific RGB values: shadow tones shift toward teal at approximately (0.08, 0.28, 0.35) in normalized RGB — a saturated blue-green retaining luminance information. Highlights and skin-tone ranges shift toward orange at approximately (0.95, 0.65, 0.25), flattering human skin across complexions. The critical constraint is maintaining the vectorscope skin-tone line (between red and yellow targets) while pulling shadows toward cyan; if teal encroaches on skin-tone ranges, complexions become sallow</w:t>
      </w:r>
      <w:r>
        <w:t xml:space="preserve"> </w:t>
      </w:r>
      <w:r>
        <w:rPr>
          <w:vertAlign w:val="superscript"/>
        </w:rPr>
        <w:t xml:space="preserve">77</w:t>
      </w:r>
      <w:r>
        <w:t xml:space="preserve">.</w:t>
      </w:r>
    </w:p>
    <w:p>
      <w:pPr>
        <w:pStyle w:val="BodyText"/>
      </w:pPr>
      <w:r>
        <w:t xml:space="preserve">Cinematic Shadows variants apply the teal shift aggressively in the deepest shadows (below 10% luminance), producing the</w:t>
      </w:r>
      <w:r>
        <w:t xml:space="preserve"> </w:t>
      </w:r>
      <w:r>
        <w:t xml:space="preserve">“</w:t>
      </w:r>
      <w:r>
        <w:t xml:space="preserve">Obsidian Teal</w:t>
      </w:r>
      <w:r>
        <w:t xml:space="preserve">”</w:t>
      </w:r>
      <w:r>
        <w:t xml:space="preserve"> </w:t>
      </w:r>
      <w:r>
        <w:t xml:space="preserve">and</w:t>
      </w:r>
      <w:r>
        <w:t xml:space="preserve"> </w:t>
      </w:r>
      <w:r>
        <w:t xml:space="preserve">“</w:t>
      </w:r>
      <w:r>
        <w:t xml:space="preserve">Abyss Glow</w:t>
      </w:r>
      <w:r>
        <w:t xml:space="preserve">”</w:t>
      </w:r>
      <w:r>
        <w:t xml:space="preserve"> </w:t>
      </w:r>
      <w:r>
        <w:t xml:space="preserve">looks where shadow regions approach monochromatic blue-green. Teal &amp; Orange Modern variants distribute the teal shift more evenly across the shadow-to-midtone range, producing the balanced blockbuster aesthetic of contemporary streaming content.</w:t>
      </w:r>
    </w:p>
    <w:bookmarkEnd w:id="109"/>
    <w:bookmarkStart w:id="110" w:name="Xa1ca7e313cbbdbd1b887e08e4c880ba8dc7400e"/>
    <w:p>
      <w:pPr>
        <w:pStyle w:val="Heading4"/>
      </w:pPr>
      <w:r>
        <w:t xml:space="preserve">6.2.2 Film Emulation LUTs: Tone Curve, Saturation Reduction, and Color Cross-Talk</w:t>
      </w:r>
    </w:p>
    <w:p>
      <w:pPr>
        <w:pStyle w:val="FirstParagraph"/>
      </w:pPr>
      <w:r>
        <w:t xml:space="preserve">Film emulation LUTs — Analog Film, Kodak Portra Emulation, Fuji 400H Emulation, Vintage Film Lab, and CineStill 800T Emulation — share a common engineering base. The tone curve is defining: unlike digital sensors’ sharp linear response, photographic film exhibits a characteristic toe (gentle shadow slope), shoulder (highlight compression), and linear midsection. Kodak Portra variants use a softer shoulder for creamy highlights; CineStill 800T variants use a more pronounced shoulder for tungsten-balanced negative response.</w:t>
      </w:r>
    </w:p>
    <w:p>
      <w:pPr>
        <w:pStyle w:val="BodyText"/>
      </w:pPr>
      <w:r>
        <w:t xml:space="preserve">Saturation reduction of 15–25% is applied globally because film dye layers have inherently lower color purity than digital RGB</w:t>
      </w:r>
      <w:r>
        <w:t xml:space="preserve"> </w:t>
      </w:r>
      <w:r>
        <w:rPr>
          <w:vertAlign w:val="superscript"/>
        </w:rPr>
        <w:t xml:space="preserve">64</w:t>
      </w:r>
      <w:r>
        <w:t xml:space="preserve">. Reduction is not uniform: red and green are desaturated more than blue, matching color negative spectral sensitivity. Color cross-talk is introduced through off-diagonal matrix terms modeling physical light exposure across adjacent dye layers — producing the</w:t>
      </w:r>
      <w:r>
        <w:t xml:space="preserve"> </w:t>
      </w:r>
      <w:r>
        <w:t xml:space="preserve">“</w:t>
      </w:r>
      <w:r>
        <w:t xml:space="preserve">muddy but beautiful</w:t>
      </w:r>
      <w:r>
        <w:t xml:space="preserve">”</w:t>
      </w:r>
      <w:r>
        <w:t xml:space="preserve"> </w:t>
      </w:r>
      <w:r>
        <w:t xml:space="preserve">response digital systems cannot natively reproduce.</w:t>
      </w:r>
    </w:p>
    <w:p>
      <w:pPr>
        <w:pStyle w:val="BodyText"/>
      </w:pPr>
      <w:r>
        <w:t xml:space="preserve">The Fuji 400H Emulation category represents a distinct philosophy. Fuji Pro 400H is characterized by pastel tones, a slight green shadow bias, and an airy quality differing from Portra’s warmth. The Fuji matrix introduces a +5% green offset in shadows and −8% red reduction in midtones, producing the signature</w:t>
      </w:r>
      <w:r>
        <w:t xml:space="preserve"> </w:t>
      </w:r>
      <w:r>
        <w:t xml:space="preserve">“</w:t>
      </w:r>
      <w:r>
        <w:t xml:space="preserve">mint</w:t>
      </w:r>
      <w:r>
        <w:t xml:space="preserve">”</w:t>
      </w:r>
      <w:r>
        <w:t xml:space="preserve"> </w:t>
      </w:r>
      <w:r>
        <w:t xml:space="preserve">shadow quality and pink-tinted highlights prized by fine-art wedding photographers.</w:t>
      </w:r>
    </w:p>
    <w:bookmarkEnd w:id="110"/>
    <w:bookmarkStart w:id="111" w:name="Xec01e22f946fc521017fe147bea092330fcf1e9"/>
    <w:p>
      <w:pPr>
        <w:pStyle w:val="Heading4"/>
      </w:pPr>
      <w:r>
        <w:t xml:space="preserve">6.2.3 Cyberpunk LUTs: Cyan and Magenta Channel Enhancement</w:t>
      </w:r>
    </w:p>
    <w:p>
      <w:pPr>
        <w:pStyle w:val="FirstParagraph"/>
      </w:pPr>
      <w:r>
        <w:t xml:space="preserve">The Cyberpunk Cinema and Night Neon categories engineer electric, high-energy imagery through channel-specific enhancement rather than the film-emulation approach of saturation reduction.</w:t>
      </w:r>
    </w:p>
    <w:p>
      <w:pPr>
        <w:pStyle w:val="BodyText"/>
      </w:pPr>
      <w:r>
        <w:t xml:space="preserve">Primary engineering targets are cyan (approximately 0, 0.8, 0.9 normalized RGB) and magenta (approximately 0.9, 0, 0.8). These colors sit near Rec.709 gamut extremes and exploit opponent-process visual response, producing maximum perceptual separation when adjacent</w:t>
      </w:r>
      <w:r>
        <w:t xml:space="preserve"> </w:t>
      </w:r>
      <w:r>
        <w:rPr>
          <w:vertAlign w:val="superscript"/>
        </w:rPr>
        <w:t xml:space="preserve">68</w:t>
      </w:r>
      <w:r>
        <w:t xml:space="preserve">. Cyberpunk Cinema LUTs apply a split-tone structure: shadows below 25% luminance shift toward deep cyan, highlights above 75% shift toward magenta, with a neutral midtone zone protecting skin tones.</w:t>
      </w:r>
    </w:p>
    <w:p>
      <w:pPr>
        <w:pStyle w:val="BodyText"/>
      </w:pPr>
      <w:r>
        <w:t xml:space="preserve">Neon sign handling includes gamut-limiting logic mapping out-of-gamut colors to the nearest in-gamut equivalent while preserving luminance — preventing unpredictable hue shifts from LED and vapor lamp sources. Night Neon category LUTs add luminance weighting to cyan and magenta ranges, making neon elements</w:t>
      </w:r>
      <w:r>
        <w:t xml:space="preserve"> </w:t>
      </w:r>
      <w:r>
        <w:t xml:space="preserve">“</w:t>
      </w:r>
      <w:r>
        <w:t xml:space="preserve">pop</w:t>
      </w:r>
      <w:r>
        <w:t xml:space="preserve">”</w:t>
      </w:r>
      <w:r>
        <w:t xml:space="preserve"> </w:t>
      </w:r>
      <w:r>
        <w:t xml:space="preserve">against dark backgrounds. Contrast pivots sit at 0.40–0.42 with minimal matte lift, preserving deep blacks as canvas for neon effects and controlled shadow crushing below 0.05 eliminating noise in night footage.</w:t>
      </w:r>
    </w:p>
    <w:bookmarkEnd w:id="111"/>
    <w:bookmarkStart w:id="112" w:name="Xe98699ebad0f4b294600369fedf4df95f8a2050"/>
    <w:p>
      <w:pPr>
        <w:pStyle w:val="Heading4"/>
      </w:pPr>
      <w:r>
        <w:t xml:space="preserve">6.2.4 Moody LUTs: Black Crushing, Shadow Lifting, and Midtone Desaturation</w:t>
      </w:r>
    </w:p>
    <w:p>
      <w:pPr>
        <w:pStyle w:val="FirstParagraph"/>
      </w:pPr>
      <w:r>
        <w:t xml:space="preserve">Moody LUTs — Moody Documentary, Neo Noir, Dark Instagram Mood, and A24 Inspired — engineer emotional register through tonal and chromatic suppression.</w:t>
      </w:r>
    </w:p>
    <w:p>
      <w:pPr>
        <w:pStyle w:val="BodyText"/>
      </w:pPr>
      <w:r>
        <w:t xml:space="preserve">Black crushing is applied below 0.05 (5% input luminance), where values map to zero or near-zero. Moody LUTs eliminate the lifted toe entirely, producing the</w:t>
      </w:r>
      <w:r>
        <w:t xml:space="preserve"> </w:t>
      </w:r>
      <w:r>
        <w:t xml:space="preserve">“</w:t>
      </w:r>
      <w:r>
        <w:t xml:space="preserve">void black</w:t>
      </w:r>
      <w:r>
        <w:t xml:space="preserve">”</w:t>
      </w:r>
      <w:r>
        <w:t xml:space="preserve"> </w:t>
      </w:r>
      <w:r>
        <w:t xml:space="preserve">of contemporary dark aesthetics. The A24 Inspired category uses variable black crush preserving a whisper of detail at 2–3% luminance — enough to suggest shadow texture without resolving it, matching the lifted-shadows-plus-muted-primaries aesthetic of the arthouse studio’s visual signature.</w:t>
      </w:r>
    </w:p>
    <w:p>
      <w:pPr>
        <w:pStyle w:val="BodyText"/>
      </w:pPr>
      <w:r>
        <w:t xml:space="preserve">Shadow lifting in the 5–20% range introduces subtle casts: A24 Inspired LUTs apply olive/ochre split tone (olive shadows, ochre highlights) producing the muted, autumnal palette of</w:t>
      </w:r>
      <w:r>
        <w:t xml:space="preserve"> </w:t>
      </w:r>
      <w:r>
        <w:rPr>
          <w:iCs/>
          <w:i/>
        </w:rPr>
        <w:t xml:space="preserve">Midsommar</w:t>
      </w:r>
      <w:r>
        <w:t xml:space="preserve"> </w:t>
      </w:r>
      <w:r>
        <w:t xml:space="preserve">(2019) and</w:t>
      </w:r>
      <w:r>
        <w:t xml:space="preserve"> </w:t>
      </w:r>
      <w:r>
        <w:rPr>
          <w:iCs/>
          <w:i/>
        </w:rPr>
        <w:t xml:space="preserve">The Green Knight</w:t>
      </w:r>
      <w:r>
        <w:t xml:space="preserve"> </w:t>
      </w:r>
      <w:r>
        <w:t xml:space="preserve">(2021). Neo Noir LUTs apply neutral-to-cool shadow lift preserving high-contrast chiaroscuro with modern digital sharpness.</w:t>
      </w:r>
    </w:p>
    <w:p>
      <w:pPr>
        <w:pStyle w:val="BodyText"/>
      </w:pPr>
      <w:r>
        <w:t xml:space="preserve">Midtone desaturation is the defining chromatic operation. Global saturation drops to 70–80%, with additional desaturation targeting green and yellow. The Moody Documentary category pushes furthest to 65% with a slight green shadow bias for the gritty photojournalistic aesthetic.</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Category Family</w:t>
            </w:r>
          </w:p>
        </w:tc>
        <w:tc>
          <w:tcPr/>
          <w:p>
            <w:pPr>
              <w:pStyle w:val="Compact"/>
              <w:jc w:val="left"/>
            </w:pPr>
            <w:r>
              <w:t xml:space="preserve">Shadow Target RGB</w:t>
            </w:r>
          </w:p>
        </w:tc>
        <w:tc>
          <w:tcPr/>
          <w:p>
            <w:pPr>
              <w:pStyle w:val="Compact"/>
              <w:jc w:val="left"/>
            </w:pPr>
            <w:r>
              <w:t xml:space="preserve">Highlight Target RGB</w:t>
            </w:r>
          </w:p>
        </w:tc>
        <w:tc>
          <w:tcPr/>
          <w:p>
            <w:pPr>
              <w:pStyle w:val="Compact"/>
              <w:jc w:val="left"/>
            </w:pPr>
            <w:r>
              <w:t xml:space="preserve">Saturation</w:t>
            </w:r>
          </w:p>
        </w:tc>
        <w:tc>
          <w:tcPr/>
          <w:p>
            <w:pPr>
              <w:pStyle w:val="Compact"/>
              <w:jc w:val="left"/>
            </w:pPr>
            <w:r>
              <w:t xml:space="preserve">Contrast Pivot</w:t>
            </w:r>
          </w:p>
        </w:tc>
        <w:tc>
          <w:tcPr/>
          <w:p>
            <w:pPr>
              <w:pStyle w:val="Compact"/>
              <w:jc w:val="left"/>
            </w:pPr>
            <w:r>
              <w:t xml:space="preserve">Black Treatment</w:t>
            </w:r>
          </w:p>
        </w:tc>
      </w:tr>
      <w:tr>
        <w:tc>
          <w:tcPr/>
          <w:p>
            <w:pPr>
              <w:pStyle w:val="Compact"/>
              <w:jc w:val="left"/>
            </w:pPr>
            <w:r>
              <w:t xml:space="preserve">Teal/Orange</w:t>
            </w:r>
          </w:p>
        </w:tc>
        <w:tc>
          <w:tcPr/>
          <w:p>
            <w:pPr>
              <w:pStyle w:val="Compact"/>
              <w:jc w:val="left"/>
            </w:pPr>
            <w:r>
              <w:t xml:space="preserve">(0.08, 0.28, 0.35) — teal</w:t>
            </w:r>
          </w:p>
        </w:tc>
        <w:tc>
          <w:tcPr/>
          <w:p>
            <w:pPr>
              <w:pStyle w:val="Compact"/>
              <w:jc w:val="left"/>
            </w:pPr>
            <w:r>
              <w:t xml:space="preserve">(0.95, 0.65, 0.25) — orange</w:t>
            </w:r>
          </w:p>
        </w:tc>
        <w:tc>
          <w:tcPr/>
          <w:p>
            <w:pPr>
              <w:pStyle w:val="Compact"/>
              <w:jc w:val="left"/>
            </w:pPr>
            <w:r>
              <w:t xml:space="preserve">85–95%</w:t>
            </w:r>
          </w:p>
        </w:tc>
        <w:tc>
          <w:tcPr/>
          <w:p>
            <w:pPr>
              <w:pStyle w:val="Compact"/>
              <w:jc w:val="left"/>
            </w:pPr>
            <w:r>
              <w:t xml:space="preserve">0.43–0.46</w:t>
            </w:r>
          </w:p>
        </w:tc>
        <w:tc>
          <w:tcPr/>
          <w:p>
            <w:pPr>
              <w:pStyle w:val="Compact"/>
              <w:jc w:val="left"/>
            </w:pPr>
            <w:r>
              <w:t xml:space="preserve">Normal</w:t>
            </w:r>
          </w:p>
        </w:tc>
      </w:tr>
      <w:tr>
        <w:tc>
          <w:tcPr/>
          <w:p>
            <w:pPr>
              <w:pStyle w:val="Compact"/>
              <w:jc w:val="left"/>
            </w:pPr>
            <w:r>
              <w:t xml:space="preserve">Film Emulation</w:t>
            </w:r>
          </w:p>
        </w:tc>
        <w:tc>
          <w:tcPr/>
          <w:p>
            <w:pPr>
              <w:pStyle w:val="Compact"/>
              <w:jc w:val="left"/>
            </w:pPr>
            <w:r>
              <w:t xml:space="preserve">Warm/cool offset per stock</w:t>
            </w:r>
          </w:p>
        </w:tc>
        <w:tc>
          <w:tcPr/>
          <w:p>
            <w:pPr>
              <w:pStyle w:val="Compact"/>
              <w:jc w:val="left"/>
            </w:pPr>
            <w:r>
              <w:t xml:space="preserve">Creamy rolloff per stock</w:t>
            </w:r>
          </w:p>
        </w:tc>
        <w:tc>
          <w:tcPr/>
          <w:p>
            <w:pPr>
              <w:pStyle w:val="Compact"/>
              <w:jc w:val="left"/>
            </w:pPr>
            <w:r>
              <w:t xml:space="preserve">75–85%</w:t>
            </w:r>
          </w:p>
        </w:tc>
        <w:tc>
          <w:tcPr/>
          <w:p>
            <w:pPr>
              <w:pStyle w:val="Compact"/>
              <w:jc w:val="left"/>
            </w:pPr>
            <w:r>
              <w:t xml:space="preserve">0.48–0.52</w:t>
            </w:r>
          </w:p>
        </w:tc>
        <w:tc>
          <w:tcPr/>
          <w:p>
            <w:pPr>
              <w:pStyle w:val="Compact"/>
              <w:jc w:val="left"/>
            </w:pPr>
            <w:r>
              <w:t xml:space="preserve">Matte lift 3–8%</w:t>
            </w:r>
            <w:r>
              <w:t xml:space="preserve"> </w:t>
            </w:r>
            <w:r>
              <w:rPr>
                <w:vertAlign w:val="superscript"/>
              </w:rPr>
              <w:t xml:space="preserve">32</w:t>
            </w:r>
          </w:p>
        </w:tc>
      </w:tr>
      <w:tr>
        <w:tc>
          <w:tcPr/>
          <w:p>
            <w:pPr>
              <w:pStyle w:val="Compact"/>
              <w:jc w:val="left"/>
            </w:pPr>
            <w:r>
              <w:t xml:space="preserve">Cyberpunk</w:t>
            </w:r>
          </w:p>
        </w:tc>
        <w:tc>
          <w:tcPr/>
          <w:p>
            <w:pPr>
              <w:pStyle w:val="Compact"/>
              <w:jc w:val="left"/>
            </w:pPr>
            <w:r>
              <w:t xml:space="preserve">(0, 0.8, 0.9) — cyan</w:t>
            </w:r>
          </w:p>
        </w:tc>
        <w:tc>
          <w:tcPr/>
          <w:p>
            <w:pPr>
              <w:pStyle w:val="Compact"/>
              <w:jc w:val="left"/>
            </w:pPr>
            <w:r>
              <w:t xml:space="preserve">(0.9, 0, 0.8) — magenta</w:t>
            </w:r>
          </w:p>
        </w:tc>
        <w:tc>
          <w:tcPr/>
          <w:p>
            <w:pPr>
              <w:pStyle w:val="Compact"/>
              <w:jc w:val="left"/>
            </w:pPr>
            <w:r>
              <w:t xml:space="preserve">100–110%</w:t>
            </w:r>
          </w:p>
        </w:tc>
        <w:tc>
          <w:tcPr/>
          <w:p>
            <w:pPr>
              <w:pStyle w:val="Compact"/>
              <w:jc w:val="left"/>
            </w:pPr>
            <w:r>
              <w:t xml:space="preserve">0.40–0.42</w:t>
            </w:r>
          </w:p>
        </w:tc>
        <w:tc>
          <w:tcPr/>
          <w:p>
            <w:pPr>
              <w:pStyle w:val="Compact"/>
              <w:jc w:val="left"/>
            </w:pPr>
            <w:r>
              <w:t xml:space="preserve">Hard crush below 0.05</w:t>
            </w:r>
          </w:p>
        </w:tc>
      </w:tr>
      <w:tr>
        <w:tc>
          <w:tcPr/>
          <w:p>
            <w:pPr>
              <w:pStyle w:val="Compact"/>
              <w:jc w:val="left"/>
            </w:pPr>
            <w:r>
              <w:t xml:space="preserve">Moody</w:t>
            </w:r>
          </w:p>
        </w:tc>
        <w:tc>
          <w:tcPr/>
          <w:p>
            <w:pPr>
              <w:pStyle w:val="Compact"/>
              <w:jc w:val="left"/>
            </w:pPr>
            <w:r>
              <w:t xml:space="preserve">Olive/cool per variant</w:t>
            </w:r>
          </w:p>
        </w:tc>
        <w:tc>
          <w:tcPr/>
          <w:p>
            <w:pPr>
              <w:pStyle w:val="Compact"/>
              <w:jc w:val="left"/>
            </w:pPr>
            <w:r>
              <w:t xml:space="preserve">Ochre/warm per variant</w:t>
            </w:r>
          </w:p>
        </w:tc>
        <w:tc>
          <w:tcPr/>
          <w:p>
            <w:pPr>
              <w:pStyle w:val="Compact"/>
              <w:jc w:val="left"/>
            </w:pPr>
            <w:r>
              <w:t xml:space="preserve">65–80%</w:t>
            </w:r>
          </w:p>
        </w:tc>
        <w:tc>
          <w:tcPr/>
          <w:p>
            <w:pPr>
              <w:pStyle w:val="Compact"/>
              <w:jc w:val="left"/>
            </w:pPr>
            <w:r>
              <w:t xml:space="preserve">0.42–0.46</w:t>
            </w:r>
          </w:p>
        </w:tc>
        <w:tc>
          <w:tcPr/>
          <w:p>
            <w:pPr>
              <w:pStyle w:val="Compact"/>
              <w:jc w:val="left"/>
            </w:pPr>
            <w:r>
              <w:t xml:space="preserve">Crush below 0.05; lift 5–20%</w:t>
            </w:r>
          </w:p>
        </w:tc>
      </w:tr>
    </w:tbl>
    <w:p>
      <w:pPr>
        <w:pStyle w:val="BodyText"/>
      </w:pPr>
      <w:r>
        <w:t xml:space="preserve">These four families represent the majority of the 125 LUT collection. Additional categories (Luxury Editorial, Dreamy Wedding, Hyperreal Fashion, Minimal Scandinavian, etc.) represent hybrid or specialized applications of these base engineering approaches.</w:t>
      </w:r>
    </w:p>
    <w:bookmarkEnd w:id="112"/>
    <w:bookmarkEnd w:id="113"/>
    <w:bookmarkStart w:id="117" w:name="cube-technical-specification"/>
    <w:p>
      <w:pPr>
        <w:pStyle w:val="Heading3"/>
      </w:pPr>
      <w:r>
        <w:t xml:space="preserve">6.3 CUBE Technical Specification</w:t>
      </w:r>
    </w:p>
    <w:p>
      <w:pPr>
        <w:pStyle w:val="FirstParagraph"/>
      </w:pPr>
      <w:r>
        <w:t xml:space="preserve">All 125 LUTs conform to the IRIDAS .cube format, the industry-standard 3D LUT specification used by DaVinci Resolve, Premiere Pro, Final Cut Pro, and professional color grading software</w:t>
      </w:r>
      <w:r>
        <w:t xml:space="preserve"> </w:t>
      </w:r>
      <w:r>
        <w:rPr>
          <w:vertAlign w:val="superscript"/>
        </w:rPr>
        <w:t xml:space="preserve">53</w:t>
      </w:r>
      <w:r>
        <w:t xml:space="preserve">.</w:t>
      </w:r>
    </w:p>
    <w:bookmarkStart w:id="114" w:name="Xe95a377ce98e1c949c988fda691067798651ab2"/>
    <w:p>
      <w:pPr>
        <w:pStyle w:val="Heading4"/>
      </w:pPr>
      <w:r>
        <w:t xml:space="preserve">6.3.1 Header Format: TITLE, LUT_3D_SIZE, and 35,937 RGB Triplets</w:t>
      </w:r>
    </w:p>
    <w:p>
      <w:pPr>
        <w:pStyle w:val="FirstParagraph"/>
      </w:pPr>
      <w:r>
        <w:t xml:space="preserve">CINEGRADE LAB .cube files use a standardized header. The TITLE keyword identifies the LUT name for software browsers. LUT_3D_SIZE specifies lattice resolution: all CINEGRADE LAB LUTs use 33×33×33 (LUT_3D_SIZE 33), producing 35,937 RGB triplets. This is the industry-standard post-production resolution, balancing precision against file size</w:t>
      </w:r>
      <w:r>
        <w:t xml:space="preserve"> </w:t>
      </w:r>
      <w:r>
        <w:rPr>
          <w:vertAlign w:val="superscript"/>
        </w:rPr>
        <w:t xml:space="preserve">54</w:t>
      </w:r>
      <w:r>
        <w:t xml:space="preserve"> </w:t>
      </w:r>
      <w:r>
        <w:rPr>
          <w:vertAlign w:val="superscript"/>
        </w:rPr>
        <w:t xml:space="preserve">56</w:t>
      </w:r>
      <w:r>
        <w:t xml:space="preserve">. RED recommends 33×33×33 as the minimum for IPP2 creative LUTs; higher-end workflows may use 65×65×65 (274,625 triplets) for HDR finishing, but 33×33×33 provides sufficient precision for SDR delivery with tetrahedral interpolation</w:t>
      </w:r>
      <w:r>
        <w:t xml:space="preserve"> </w:t>
      </w:r>
      <w:r>
        <w:rPr>
          <w:vertAlign w:val="superscript"/>
        </w:rPr>
        <w:t xml:space="preserve">53</w:t>
      </w:r>
      <w:r>
        <w:t xml:space="preserve">.</w:t>
      </w:r>
    </w:p>
    <w:p>
      <w:pPr>
        <w:pStyle w:val="BodyText"/>
      </w:pPr>
      <w:r>
        <w:t xml:space="preserve">Triplets are ordered with blue index changing fastest, then green, then red. Each line contains three space-separated floating-point values. The first triplet corresponds to input RGB (0, 0, 0); the last to (1, 1, 1). Intermediate values are interpolated by the host application.</w:t>
      </w:r>
    </w:p>
    <w:bookmarkEnd w:id="114"/>
    <w:bookmarkStart w:id="115" w:name="Xcf3607cca4071c3949d1c1df5ed2bb9c0ea5c12"/>
    <w:p>
      <w:pPr>
        <w:pStyle w:val="Heading4"/>
      </w:pPr>
      <w:r>
        <w:t xml:space="preserve">6.3.2 Value Range: Floating-Point 0.0–1.0 with Proper Formatting</w:t>
      </w:r>
    </w:p>
    <w:p>
      <w:pPr>
        <w:pStyle w:val="FirstParagraph"/>
      </w:pPr>
      <w:r>
        <w:t xml:space="preserve">All values are normalized to 0.0–1.0 floating-point range; out-of-range values are clipped during generation. Formatting uses six decimal digits (e.g.,</w:t>
      </w:r>
      <w:r>
        <w:t xml:space="preserve"> </w:t>
      </w:r>
      <w:r>
        <w:t xml:space="preserve">“</w:t>
      </w:r>
      <w:r>
        <w:t xml:space="preserve">0.823451</w:t>
      </w:r>
      <w:r>
        <w:t xml:space="preserve">”</w:t>
      </w:r>
      <w:r>
        <w:t xml:space="preserve">), providing sufficient granularity for subtle film-emulation shifts while maintaining readability. Each 33×33×33 file occupies approximately 1.1 MB.</w:t>
      </w:r>
    </w:p>
    <w:p>
      <w:pPr>
        <w:pStyle w:val="BodyText"/>
      </w:pPr>
      <w:r>
        <w:t xml:space="preserve">The floating-point range ensures compatibility with both video-range (16–235) and full-range (0–255) workflows. CINEGRADE LAB LUTs are designed for full-range input; users with video-range footage must ensure correct range mapping in their host application.</w:t>
      </w:r>
    </w:p>
    <w:p>
      <w:pPr>
        <w:pStyle w:val="BodyText"/>
      </w:pPr>
      <w:r>
        <w:t xml:space="preserve">Interpolation behavior varies by host. DaVinci Resolve and OpenColorIO use tetrahedral interpolation by default — limiting influence to four nearest lattice vertices, producing smoother gradients with fewer artifacts</w:t>
      </w:r>
      <w:r>
        <w:t xml:space="preserve"> </w:t>
      </w:r>
      <w:r>
        <w:rPr>
          <w:vertAlign w:val="superscript"/>
        </w:rPr>
        <w:t xml:space="preserve">53</w:t>
      </w:r>
      <w:r>
        <w:t xml:space="preserve"> </w:t>
      </w:r>
      <w:r>
        <w:rPr>
          <w:vertAlign w:val="superscript"/>
        </w:rPr>
        <w:t xml:space="preserve">57</w:t>
      </w:r>
      <w:r>
        <w:t xml:space="preserve">. Tetrahedral interpolation preserves pure grayscale more accurately than trilinear, which can introduce subtle color shifts in neutrals</w:t>
      </w:r>
      <w:r>
        <w:t xml:space="preserve"> </w:t>
      </w:r>
      <w:r>
        <w:rPr>
          <w:vertAlign w:val="superscript"/>
        </w:rPr>
        <w:t xml:space="preserve">39</w:t>
      </w:r>
      <w:r>
        <w:t xml:space="preserve">.</w:t>
      </w:r>
    </w:p>
    <w:bookmarkEnd w:id="115"/>
    <w:bookmarkStart w:id="116" w:name="X7176644100e448d6a51e712d21a9ca6a2bf07e5"/>
    <w:p>
      <w:pPr>
        <w:pStyle w:val="Heading4"/>
      </w:pPr>
      <w:r>
        <w:t xml:space="preserve">6.3.3 Compatibility Matrix: DaVinci Resolve, Premiere Pro, Final Cut Pro, OBS, FFmpeg</w:t>
      </w:r>
    </w:p>
    <w:p>
      <w:pPr>
        <w:pStyle w:val="FirstParagraph"/>
      </w:pPr>
      <w:r>
        <w:t xml:space="preserve">The .cube format’s universal acceptance makes it the most compatible LUT distribution format available. CINEGRADE LAB tests all 125 LUTs against the following application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Application</w:t>
            </w:r>
          </w:p>
        </w:tc>
        <w:tc>
          <w:tcPr/>
          <w:p>
            <w:pPr>
              <w:pStyle w:val="Compact"/>
              <w:jc w:val="left"/>
            </w:pPr>
            <w:r>
              <w:t xml:space="preserve">Version Tested</w:t>
            </w:r>
          </w:p>
        </w:tc>
        <w:tc>
          <w:tcPr/>
          <w:p>
            <w:pPr>
              <w:pStyle w:val="Compact"/>
              <w:jc w:val="left"/>
            </w:pPr>
            <w:r>
              <w:t xml:space="preserve">LUT Loading Method</w:t>
            </w:r>
          </w:p>
        </w:tc>
        <w:tc>
          <w:tcPr/>
          <w:p>
            <w:pPr>
              <w:pStyle w:val="Compact"/>
              <w:jc w:val="left"/>
            </w:pPr>
            <w:r>
              <w:t xml:space="preserve">Default Interpolation</w:t>
            </w:r>
          </w:p>
        </w:tc>
        <w:tc>
          <w:tcPr/>
          <w:p>
            <w:pPr>
              <w:pStyle w:val="Compact"/>
              <w:jc w:val="left"/>
            </w:pPr>
            <w:r>
              <w:t xml:space="preserve">Compatibility</w:t>
            </w:r>
          </w:p>
        </w:tc>
      </w:tr>
      <w:tr>
        <w:tc>
          <w:tcPr/>
          <w:p>
            <w:pPr>
              <w:pStyle w:val="Compact"/>
              <w:jc w:val="left"/>
            </w:pPr>
            <w:r>
              <w:t xml:space="preserve">DaVinci Resolve</w:t>
            </w:r>
          </w:p>
        </w:tc>
        <w:tc>
          <w:tcPr/>
          <w:p>
            <w:pPr>
              <w:pStyle w:val="Compact"/>
              <w:jc w:val="left"/>
            </w:pPr>
            <w:r>
              <w:t xml:space="preserve">18.x–19.x</w:t>
            </w:r>
          </w:p>
        </w:tc>
        <w:tc>
          <w:tcPr/>
          <w:p>
            <w:pPr>
              <w:pStyle w:val="Compact"/>
              <w:jc w:val="left"/>
            </w:pPr>
            <w:r>
              <w:t xml:space="preserve">Color Management → LUTs folder, or node-based</w:t>
            </w:r>
          </w:p>
        </w:tc>
        <w:tc>
          <w:tcPr/>
          <w:p>
            <w:pPr>
              <w:pStyle w:val="Compact"/>
              <w:jc w:val="left"/>
            </w:pPr>
            <w:r>
              <w:t xml:space="preserve">Tetrahedral</w:t>
            </w:r>
            <w:r>
              <w:t xml:space="preserve"> </w:t>
            </w:r>
            <w:r>
              <w:rPr>
                <w:vertAlign w:val="superscript"/>
              </w:rPr>
              <w:t xml:space="preserve">53</w:t>
            </w:r>
          </w:p>
        </w:tc>
        <w:tc>
          <w:tcPr/>
          <w:p>
            <w:pPr>
              <w:pStyle w:val="Compact"/>
              <w:jc w:val="left"/>
            </w:pPr>
            <w:r>
              <w:t xml:space="preserve">Full — reference platform</w:t>
            </w:r>
          </w:p>
        </w:tc>
      </w:tr>
      <w:tr>
        <w:tc>
          <w:tcPr/>
          <w:p>
            <w:pPr>
              <w:pStyle w:val="Compact"/>
              <w:jc w:val="left"/>
            </w:pPr>
            <w:r>
              <w:t xml:space="preserve">Adobe Premiere Pro</w:t>
            </w:r>
          </w:p>
        </w:tc>
        <w:tc>
          <w:tcPr/>
          <w:p>
            <w:pPr>
              <w:pStyle w:val="Compact"/>
              <w:jc w:val="left"/>
            </w:pPr>
            <w:r>
              <w:t xml:space="preserve">2024–2025</w:t>
            </w:r>
          </w:p>
        </w:tc>
        <w:tc>
          <w:tcPr/>
          <w:p>
            <w:pPr>
              <w:pStyle w:val="Compact"/>
              <w:jc w:val="left"/>
            </w:pPr>
            <w:r>
              <w:t xml:space="preserve">Lumetri Color → Creative → Look</w:t>
            </w:r>
          </w:p>
        </w:tc>
        <w:tc>
          <w:tcPr/>
          <w:p>
            <w:pPr>
              <w:pStyle w:val="Compact"/>
              <w:jc w:val="left"/>
            </w:pPr>
            <w:r>
              <w:t xml:space="preserve">Trilinear (tetrahedral available)</w:t>
            </w:r>
          </w:p>
        </w:tc>
        <w:tc>
          <w:tcPr/>
          <w:p>
            <w:pPr>
              <w:pStyle w:val="Compact"/>
              <w:jc w:val="left"/>
            </w:pPr>
            <w:r>
              <w:t xml:space="preserve">Full</w:t>
            </w:r>
          </w:p>
        </w:tc>
      </w:tr>
      <w:tr>
        <w:tc>
          <w:tcPr/>
          <w:p>
            <w:pPr>
              <w:pStyle w:val="Compact"/>
              <w:jc w:val="left"/>
            </w:pPr>
            <w:r>
              <w:t xml:space="preserve">Final Cut Pro</w:t>
            </w:r>
          </w:p>
        </w:tc>
        <w:tc>
          <w:tcPr/>
          <w:p>
            <w:pPr>
              <w:pStyle w:val="Compact"/>
              <w:jc w:val="left"/>
            </w:pPr>
            <w:r>
              <w:t xml:space="preserve">10.7.x</w:t>
            </w:r>
          </w:p>
        </w:tc>
        <w:tc>
          <w:tcPr/>
          <w:p>
            <w:pPr>
              <w:pStyle w:val="Compact"/>
              <w:jc w:val="left"/>
            </w:pPr>
            <w:r>
              <w:t xml:space="preserve">Effects → Color → LUT; Color Board</w:t>
            </w:r>
          </w:p>
        </w:tc>
        <w:tc>
          <w:tcPr/>
          <w:p>
            <w:pPr>
              <w:pStyle w:val="Compact"/>
              <w:jc w:val="left"/>
            </w:pPr>
            <w:r>
              <w:t xml:space="preserve">Tetrahedral (via Core Image)</w:t>
            </w:r>
          </w:p>
        </w:tc>
        <w:tc>
          <w:tcPr/>
          <w:p>
            <w:pPr>
              <w:pStyle w:val="Compact"/>
              <w:jc w:val="left"/>
            </w:pPr>
            <w:r>
              <w:t xml:space="preserve">Full</w:t>
            </w:r>
          </w:p>
        </w:tc>
      </w:tr>
      <w:tr>
        <w:tc>
          <w:tcPr/>
          <w:p>
            <w:pPr>
              <w:pStyle w:val="Compact"/>
              <w:jc w:val="left"/>
            </w:pPr>
            <w:r>
              <w:t xml:space="preserve">OBS Studio</w:t>
            </w:r>
          </w:p>
        </w:tc>
        <w:tc>
          <w:tcPr/>
          <w:p>
            <w:pPr>
              <w:pStyle w:val="Compact"/>
              <w:jc w:val="left"/>
            </w:pPr>
            <w:r>
              <w:t xml:space="preserve">30.x–31.x</w:t>
            </w:r>
          </w:p>
        </w:tc>
        <w:tc>
          <w:tcPr/>
          <w:p>
            <w:pPr>
              <w:pStyle w:val="Compact"/>
              <w:jc w:val="left"/>
            </w:pPr>
            <w:r>
              <w:t xml:space="preserve">Filters → Apply LUT → browse to .cube</w:t>
            </w:r>
          </w:p>
        </w:tc>
        <w:tc>
          <w:tcPr/>
          <w:p>
            <w:pPr>
              <w:pStyle w:val="Compact"/>
              <w:jc w:val="left"/>
            </w:pPr>
            <w:r>
              <w:t xml:space="preserve">Trilinear</w:t>
            </w:r>
          </w:p>
        </w:tc>
        <w:tc>
          <w:tcPr/>
          <w:p>
            <w:pPr>
              <w:pStyle w:val="Compact"/>
              <w:jc w:val="left"/>
            </w:pPr>
            <w:r>
              <w:t xml:space="preserve">Full — SDR only</w:t>
            </w:r>
          </w:p>
        </w:tc>
      </w:tr>
      <w:tr>
        <w:tc>
          <w:tcPr/>
          <w:p>
            <w:pPr>
              <w:pStyle w:val="Compact"/>
              <w:jc w:val="left"/>
            </w:pPr>
            <w:r>
              <w:t xml:space="preserve">FFmpeg</w:t>
            </w:r>
          </w:p>
        </w:tc>
        <w:tc>
          <w:tcPr/>
          <w:p>
            <w:pPr>
              <w:pStyle w:val="Compact"/>
              <w:jc w:val="left"/>
            </w:pPr>
            <w:r>
              <w:t xml:space="preserve">6.x–7.x</w:t>
            </w:r>
          </w:p>
        </w:tc>
        <w:tc>
          <w:tcPr/>
          <w:p>
            <w:pPr>
              <w:pStyle w:val="Compact"/>
              <w:jc w:val="left"/>
            </w:pPr>
            <w:r>
              <w:rPr>
                <w:rStyle w:val="VerbatimChar"/>
              </w:rPr>
              <w:t xml:space="preserve">-vf lut3d=file=lut.cube</w:t>
            </w:r>
          </w:p>
        </w:tc>
        <w:tc>
          <w:tcPr/>
          <w:p>
            <w:pPr>
              <w:pStyle w:val="Compact"/>
              <w:jc w:val="left"/>
            </w:pPr>
            <w:r>
              <w:t xml:space="preserve">Trilinear</w:t>
            </w:r>
          </w:p>
        </w:tc>
        <w:tc>
          <w:tcPr/>
          <w:p>
            <w:pPr>
              <w:pStyle w:val="Compact"/>
              <w:jc w:val="left"/>
            </w:pPr>
            <w:r>
              <w:t xml:space="preserve">Full — command-line</w:t>
            </w:r>
          </w:p>
        </w:tc>
      </w:tr>
      <w:tr>
        <w:tc>
          <w:tcPr/>
          <w:p>
            <w:pPr>
              <w:pStyle w:val="Compact"/>
              <w:jc w:val="left"/>
            </w:pPr>
            <w:r>
              <w:t xml:space="preserve">Avid Media Composer</w:t>
            </w:r>
          </w:p>
        </w:tc>
        <w:tc>
          <w:tcPr/>
          <w:p>
            <w:pPr>
              <w:pStyle w:val="Compact"/>
              <w:jc w:val="left"/>
            </w:pPr>
            <w:r>
              <w:t xml:space="preserve">2024.x</w:t>
            </w:r>
          </w:p>
        </w:tc>
        <w:tc>
          <w:tcPr/>
          <w:p>
            <w:pPr>
              <w:pStyle w:val="Compact"/>
              <w:jc w:val="left"/>
            </w:pPr>
            <w:r>
              <w:t xml:space="preserve">Source Settings → Color Encoding → LUT</w:t>
            </w:r>
          </w:p>
        </w:tc>
        <w:tc>
          <w:tcPr/>
          <w:p>
            <w:pPr>
              <w:pStyle w:val="Compact"/>
              <w:jc w:val="left"/>
            </w:pPr>
            <w:r>
              <w:t xml:space="preserve">Trilinear</w:t>
            </w:r>
          </w:p>
        </w:tc>
        <w:tc>
          <w:tcPr/>
          <w:p>
            <w:pPr>
              <w:pStyle w:val="Compact"/>
              <w:jc w:val="left"/>
            </w:pPr>
            <w:r>
              <w:t xml:space="preserve">Verified</w:t>
            </w:r>
          </w:p>
        </w:tc>
      </w:tr>
      <w:tr>
        <w:tc>
          <w:tcPr/>
          <w:p>
            <w:pPr>
              <w:pStyle w:val="Compact"/>
              <w:jc w:val="left"/>
            </w:pPr>
            <w:r>
              <w:t xml:space="preserve">Baselight</w:t>
            </w:r>
          </w:p>
        </w:tc>
        <w:tc>
          <w:tcPr/>
          <w:p>
            <w:pPr>
              <w:pStyle w:val="Compact"/>
              <w:jc w:val="left"/>
            </w:pPr>
            <w:r>
              <w:t xml:space="preserve">5.x</w:t>
            </w:r>
          </w:p>
        </w:tc>
        <w:tc>
          <w:tcPr/>
          <w:p>
            <w:pPr>
              <w:pStyle w:val="Compact"/>
              <w:jc w:val="left"/>
            </w:pPr>
            <w:r>
              <w:t xml:space="preserve">Import via FLUX manage; layer stack</w:t>
            </w:r>
          </w:p>
        </w:tc>
        <w:tc>
          <w:tcPr/>
          <w:p>
            <w:pPr>
              <w:pStyle w:val="Compact"/>
              <w:jc w:val="left"/>
            </w:pPr>
            <w:r>
              <w:t xml:space="preserve">Tetrahedral</w:t>
            </w:r>
          </w:p>
        </w:tc>
        <w:tc>
          <w:tcPr/>
          <w:p>
            <w:pPr>
              <w:pStyle w:val="Compact"/>
              <w:jc w:val="left"/>
            </w:pPr>
            <w:r>
              <w:t xml:space="preserve">Verified</w:t>
            </w:r>
          </w:p>
        </w:tc>
      </w:tr>
      <w:tr>
        <w:tc>
          <w:tcPr/>
          <w:p>
            <w:pPr>
              <w:pStyle w:val="Compact"/>
              <w:jc w:val="left"/>
            </w:pPr>
            <w:r>
              <w:t xml:space="preserve">SmallHD/Atomos</w:t>
            </w:r>
          </w:p>
        </w:tc>
        <w:tc>
          <w:tcPr/>
          <w:p>
            <w:pPr>
              <w:pStyle w:val="Compact"/>
              <w:jc w:val="left"/>
            </w:pPr>
            <w:r>
              <w:t xml:space="preserve">Firmware 2024+</w:t>
            </w:r>
          </w:p>
        </w:tc>
        <w:tc>
          <w:tcPr/>
          <w:p>
            <w:pPr>
              <w:pStyle w:val="Compact"/>
              <w:jc w:val="left"/>
            </w:pPr>
            <w:r>
              <w:t xml:space="preserve">Load via SD card/USB; monitoring</w:t>
            </w:r>
          </w:p>
        </w:tc>
        <w:tc>
          <w:tcPr/>
          <w:p>
            <w:pPr>
              <w:pStyle w:val="Compact"/>
              <w:jc w:val="left"/>
            </w:pPr>
            <w:r>
              <w:t xml:space="preserve">Hardware tetrahedral</w:t>
            </w:r>
          </w:p>
        </w:tc>
        <w:tc>
          <w:tcPr/>
          <w:p>
            <w:pPr>
              <w:pStyle w:val="Compact"/>
              <w:jc w:val="left"/>
            </w:pPr>
            <w:r>
              <w:t xml:space="preserve">Verified</w:t>
            </w:r>
          </w:p>
        </w:tc>
      </w:tr>
    </w:tbl>
    <w:p>
      <w:pPr>
        <w:pStyle w:val="BodyText"/>
      </w:pPr>
      <w:r>
        <w:t xml:space="preserve">DaVinci Resolve is the reference platform, offering the most complete color management and tetrahedral interpolation by default</w:t>
      </w:r>
      <w:r>
        <w:t xml:space="preserve"> </w:t>
      </w:r>
      <w:r>
        <w:rPr>
          <w:vertAlign w:val="superscript"/>
        </w:rPr>
        <w:t xml:space="preserve">53</w:t>
      </w:r>
      <w:r>
        <w:t xml:space="preserve">. Professional colorist Noam Kroll’s recommended workflow — balancing shots first, then auditioning creative LUTs as final-node applications before fine-tuning — aligns with CINEGRADE LAB’s intended usage</w:t>
      </w:r>
      <w:r>
        <w:t xml:space="preserve"> </w:t>
      </w:r>
      <w:r>
        <w:rPr>
          <w:vertAlign w:val="superscript"/>
        </w:rPr>
        <w:t xml:space="preserve">45</w:t>
      </w:r>
      <w:r>
        <w:t xml:space="preserve">.</w:t>
      </w:r>
    </w:p>
    <w:p>
      <w:pPr>
        <w:pStyle w:val="BodyText"/>
      </w:pPr>
      <w:r>
        <w:t xml:space="preserve">For ACES (Academy Color Encoding System) pipelines, CINEGRADE LAB LUTs can be applied as Look Modification Transforms (LMTs) within the standard transform chain: IDT → CDL → LMT → [RRT] → ODT</w:t>
      </w:r>
      <w:r>
        <w:t xml:space="preserve"> </w:t>
      </w:r>
      <w:r>
        <w:rPr>
          <w:vertAlign w:val="superscript"/>
        </w:rPr>
        <w:t xml:space="preserve">71</w:t>
      </w:r>
      <w:r>
        <w:t xml:space="preserve">. In DaVinci Resolve, this requires exporting LUTs without embedded Input or Output Device Transforms, allowing Resolve’s ACES color management to handle camera-specific and display-specific conversions</w:t>
      </w:r>
      <w:r>
        <w:t xml:space="preserve"> </w:t>
      </w:r>
      <w:r>
        <w:rPr>
          <w:vertAlign w:val="superscript"/>
        </w:rPr>
        <w:t xml:space="preserve">1</w:t>
      </w:r>
      <w:r>
        <w:t xml:space="preserve">. The ACES gamut encompasses all visible light with over 25 stops of latitude, making it the preferred working space for maximum fidelity and archival masters</w:t>
      </w:r>
      <w:r>
        <w:t xml:space="preserve"> </w:t>
      </w:r>
      <w:r>
        <w:rPr>
          <w:vertAlign w:val="superscript"/>
        </w:rPr>
        <w:t xml:space="preserve">27</w:t>
      </w:r>
      <w:r>
        <w:t xml:space="preserve">. As HDR delivery becomes more prevalent across streaming platforms, scene-referred workflow compatibility positions the CINEGRADE LAB collection for workflows beyond standard Rec.709 output.</w:t>
      </w:r>
    </w:p>
    <w:p>
      <w:pPr>
        <w:pStyle w:val="BodyText"/>
      </w:pPr>
      <w:r>
        <w:t xml:space="preserve">The 125 CUBE LUTs collectively represent a comprehensive cinematic color toolkit. Where individual categories target specific outcomes — the warmth of Portra, the electricity of cyberpunk neon, the gravitas of A24 arthouse cinema — the shared engineering foundation of real color transforms, film-matrix emulation, and cinematic tonal mapping ensures every LUT functions as a professional-grade color instrument. The .cube format’s universal compatibility means these transforms travel through any stage of the modern production pipeline, from on-set monitoring to final HDR delivery, without degradation.</w:t>
      </w:r>
      <w:r>
        <w:t xml:space="preserve"> </w:t>
      </w:r>
      <w:r>
        <w:t xml:space="preserve">-e</w:t>
      </w:r>
    </w:p>
    <w:p>
      <w:r>
        <w:pict>
          <v:rect style="width:0;height:1.5pt" o:hralign="center" o:hrstd="t" o:hr="t"/>
        </w:pict>
      </w:r>
    </w:p>
    <w:bookmarkEnd w:id="116"/>
    <w:bookmarkEnd w:id="117"/>
    <w:bookmarkEnd w:id="118"/>
    <w:bookmarkStart w:id="133" w:name="the-cinegrade-lab-web-platform"/>
    <w:p>
      <w:pPr>
        <w:pStyle w:val="Heading2"/>
      </w:pPr>
      <w:r>
        <w:t xml:space="preserve">7. The CINEGRADE LAB Web Platform</w:t>
      </w:r>
    </w:p>
    <w:p>
      <w:pPr>
        <w:pStyle w:val="FirstParagraph"/>
      </w:pPr>
      <w:r>
        <w:t xml:space="preserve">The CINEGRADE LAB platform translates the theoretical framework of cinematic color science into a functional, interactive web application. Deployed at</w:t>
      </w:r>
      <w:r>
        <w:t xml:space="preserve"> </w:t>
      </w:r>
      <w:r>
        <w:rPr>
          <w:rStyle w:val="VerbatimChar"/>
        </w:rPr>
        <w:t xml:space="preserve">https://rvzhn4jucgc3m.kimi.page</w:t>
      </w:r>
      <w:r>
        <w:t xml:space="preserve"> </w:t>
      </w:r>
      <w:r>
        <w:t xml:space="preserve">and engineered with React 19, TypeScript, and Tailwind CSS, the application serves as both a showcase for the 250+ preset and LUT collection and a demonstration of how color-centric design principles can guide every layer of frontend architecture—from the design tokens that define the palette to the page routes that structure user discovery. The following sections document the platform’s design philosophy, page-level architecture, and underlying technical implementation.</w:t>
      </w:r>
    </w:p>
    <w:bookmarkStart w:id="122" w:name="design-philosophy"/>
    <w:p>
      <w:pPr>
        <w:pStyle w:val="Heading3"/>
      </w:pPr>
      <w:r>
        <w:t xml:space="preserve">7.1 Design Philosophy</w:t>
      </w:r>
    </w:p>
    <w:p>
      <w:pPr>
        <w:pStyle w:val="FirstParagraph"/>
      </w:pPr>
      <w:r>
        <w:t xml:space="preserve">The visual identity of CINEGRADE LAB is built on the premise that a color grading tool should itself embody cinematic aesthetics. The interface operates as a dark, immersive environment where the user’s attention is directed toward the color products rather than competing UI chrome. Three interconnected design systems—the dark cinematic palette, glassmorphism surface language, and hierarchical typography—work in concert to achieve this effect.</w:t>
      </w:r>
    </w:p>
    <w:bookmarkStart w:id="119" w:name="dark-cinematic-ui"/>
    <w:p>
      <w:pPr>
        <w:pStyle w:val="Heading4"/>
      </w:pPr>
      <w:r>
        <w:t xml:space="preserve">7.1.1 Dark Cinematic UI</w:t>
      </w:r>
    </w:p>
    <w:p>
      <w:pPr>
        <w:pStyle w:val="FirstParagraph"/>
      </w:pPr>
      <w:r>
        <w:t xml:space="preserve">The foundation of the interface is a near-black background at</w:t>
      </w:r>
      <w:r>
        <w:t xml:space="preserve"> </w:t>
      </w:r>
      <w:r>
        <w:rPr>
          <w:rStyle w:val="VerbatimChar"/>
        </w:rPr>
        <w:t xml:space="preserve">#0A0A0F</w:t>
      </w:r>
      <w:r>
        <w:t xml:space="preserve">—a value deliberately chosen with a subtle blue undertone that prevents the flatness of pure black while providing a neutral canvas against which graded imagery can register accurately. This decision aligns with established practices in professional color grading suites, where dark surrounds minimize perceptual adaptation shifts and maximize perceived contrast in displayed imagery.</w:t>
      </w:r>
    </w:p>
    <w:p>
      <w:pPr>
        <w:pStyle w:val="BodyText"/>
      </w:pPr>
      <w:r>
        <w:t xml:space="preserve">Against this background, the interface deploys a warm gold accent (</w:t>
      </w:r>
      <w:r>
        <w:rPr>
          <w:rStyle w:val="VerbatimChar"/>
        </w:rPr>
        <w:t xml:space="preserve">#D4AF37</w:t>
      </w:r>
      <w:r>
        <w:t xml:space="preserve">) derived directly from the CINEGRADE LAB brand mark. The gold functions as the primary accent pathway: it highlights active filter pills, fills the gradient used on call-to-action buttons, and serves as the progress indicator color in match-score visualizations. A complementary cool blue accent (</w:t>
      </w:r>
      <w:r>
        <w:rPr>
          <w:rStyle w:val="VerbatimChar"/>
        </w:rPr>
        <w:t xml:space="preserve">#3A86FF</w:t>
      </w:r>
      <w:r>
        <w:t xml:space="preserve">) provides secondary emphasis, appearing in the AI Assistant interface, search focus rings, and informational tags. The warm-cool pairing creates visual temperature contrast that mirrors the teal-and-orange logic underlying many of the platform’s own cinematic grades.</w:t>
      </w:r>
    </w:p>
    <w:p>
      <w:pPr>
        <w:pStyle w:val="BodyText"/>
      </w:pPr>
      <w:r>
        <w:t xml:space="preserve">The gradient system extends this palette into five defined combinations:</w:t>
      </w:r>
      <w:r>
        <w:t xml:space="preserve"> </w:t>
      </w:r>
      <w:r>
        <w:rPr>
          <w:rStyle w:val="VerbatimChar"/>
        </w:rPr>
        <w:t xml:space="preserve">gradient-warm</w:t>
      </w:r>
      <w:r>
        <w:t xml:space="preserve"> </w:t>
      </w:r>
      <w:r>
        <w:t xml:space="preserve">(</w:t>
      </w:r>
      <w:r>
        <w:rPr>
          <w:rStyle w:val="VerbatimChar"/>
        </w:rPr>
        <w:t xml:space="preserve">135deg, #FF6B35 → #D4AF37 → #FF6B35</w:t>
      </w:r>
      <w:r>
        <w:t xml:space="preserve">) for primary CTAs and active states;</w:t>
      </w:r>
      <w:r>
        <w:t xml:space="preserve"> </w:t>
      </w:r>
      <w:r>
        <w:rPr>
          <w:rStyle w:val="VerbatimChar"/>
        </w:rPr>
        <w:t xml:space="preserve">gradient-cool</w:t>
      </w:r>
      <w:r>
        <w:t xml:space="preserve"> </w:t>
      </w:r>
      <w:r>
        <w:t xml:space="preserve">(</w:t>
      </w:r>
      <w:r>
        <w:rPr>
          <w:rStyle w:val="VerbatimChar"/>
        </w:rPr>
        <w:t xml:space="preserve">135deg, #3A86FF → #00B4D8</w:t>
      </w:r>
      <w:r>
        <w:t xml:space="preserve">) for technology-forward UI elements;</w:t>
      </w:r>
      <w:r>
        <w:t xml:space="preserve"> </w:t>
      </w:r>
      <w:r>
        <w:rPr>
          <w:rStyle w:val="VerbatimChar"/>
        </w:rPr>
        <w:t xml:space="preserve">gradient-premium</w:t>
      </w:r>
      <w:r>
        <w:t xml:space="preserve"> </w:t>
      </w:r>
      <w:r>
        <w:t xml:space="preserve">(</w:t>
      </w:r>
      <w:r>
        <w:rPr>
          <w:rStyle w:val="VerbatimChar"/>
        </w:rPr>
        <w:t xml:space="preserve">135deg, #D4AF37 → #8B5A2B → #D4AF37</w:t>
      </w:r>
      <w:r>
        <w:t xml:space="preserve">) for luxury accents;</w:t>
      </w:r>
      <w:r>
        <w:t xml:space="preserve"> </w:t>
      </w:r>
      <w:r>
        <w:rPr>
          <w:rStyle w:val="VerbatimChar"/>
        </w:rPr>
        <w:t xml:space="preserve">gradient-overlay</w:t>
      </w:r>
      <w:r>
        <w:t xml:space="preserve"> </w:t>
      </w:r>
      <w:r>
        <w:t xml:space="preserve">(</w:t>
      </w:r>
      <w:r>
        <w:rPr>
          <w:rStyle w:val="VerbatimChar"/>
        </w:rPr>
        <w:t xml:space="preserve">180deg, transparent → rgba(10,10,15,0.95)</w:t>
      </w:r>
      <w:r>
        <w:t xml:space="preserve">) for hero section fades; and</w:t>
      </w:r>
      <w:r>
        <w:t xml:space="preserve"> </w:t>
      </w:r>
      <w:r>
        <w:rPr>
          <w:rStyle w:val="VerbatimChar"/>
        </w:rPr>
        <w:t xml:space="preserve">gradient-radial-glow</w:t>
      </w:r>
      <w:r>
        <w:t xml:space="preserve"> </w:t>
      </w:r>
      <w:r>
        <w:t xml:space="preserve">for subtle section-level warmth emanating from the top center of viewport areas. Each category in the 25-category library also receives a unique accent hex—ranging from</w:t>
      </w:r>
      <w:r>
        <w:t xml:space="preserve"> </w:t>
      </w:r>
      <w:r>
        <w:rPr>
          <w:rStyle w:val="VerbatimChar"/>
        </w:rPr>
        <w:t xml:space="preserve">#D4AF37</w:t>
      </w:r>
      <w:r>
        <w:t xml:space="preserve"> </w:t>
      </w:r>
      <w:r>
        <w:t xml:space="preserve">for Luxury Editorial to</w:t>
      </w:r>
      <w:r>
        <w:t xml:space="preserve"> </w:t>
      </w:r>
      <w:r>
        <w:rPr>
          <w:rStyle w:val="VerbatimChar"/>
        </w:rPr>
        <w:t xml:space="preserve">#008080</w:t>
      </w:r>
      <w:r>
        <w:t xml:space="preserve"> </w:t>
      </w:r>
      <w:r>
        <w:t xml:space="preserve">for Teal &amp; Orange Modern—ensuring that every preset card carries a color signature consistent with its creative intent.</w:t>
      </w:r>
    </w:p>
    <w:p>
      <w:pPr>
        <w:pStyle w:val="BodyText"/>
      </w:pPr>
      <w:r>
        <w:t xml:space="preserve">Text rendering follows a three-tier opacity hierarchy optimized for dark-mode legibility: fully opaque white (</w:t>
      </w:r>
      <w:r>
        <w:rPr>
          <w:rStyle w:val="VerbatimChar"/>
        </w:rPr>
        <w:t xml:space="preserve">#FFFFFF</w:t>
      </w:r>
      <w:r>
        <w:t xml:space="preserve">) for headlines and primary interactive elements, 70% white (</w:t>
      </w:r>
      <w:r>
        <w:rPr>
          <w:rStyle w:val="VerbatimChar"/>
        </w:rPr>
        <w:t xml:space="preserve">rgba(255,255,255,0.7)</w:t>
      </w:r>
      <w:r>
        <w:t xml:space="preserve">) for body copy and descriptions, and 40% white (</w:t>
      </w:r>
      <w:r>
        <w:rPr>
          <w:rStyle w:val="VerbatimChar"/>
        </w:rPr>
        <w:t xml:space="preserve">rgba(255,255,255,0.4)</w:t>
      </w:r>
      <w:r>
        <w:t xml:space="preserve">) for labels, meta text, and placeholders. This tiered system, combined with the gold accent for highlighted statistics, produces a reading experience where information density is moderated through luminance rather than additional color variables.</w:t>
      </w:r>
    </w:p>
    <w:p>
      <w:pPr>
        <w:pStyle w:val="BodyText"/>
      </w:pPr>
      <w:r>
        <w:t xml:space="preserve">The table below summarizes the core design token system governing the CINEGRADE LAB interface.</w:t>
      </w:r>
    </w:p>
    <w:tbl>
      <w:tblPr>
        <w:tblStyle w:val="Table"/>
        <w:tblW w:type="pct" w:w="5000"/>
        <w:tblLook w:firstRow="1" w:lastRow="0" w:firstColumn="0" w:lastColumn="0" w:noHBand="0" w:noVBand="0" w:val="0020"/>
      </w:tblPr>
      <w:tblGrid>
        <w:gridCol w:w="2828"/>
        <w:gridCol w:w="1320"/>
        <w:gridCol w:w="1320"/>
        <w:gridCol w:w="2451"/>
      </w:tblGrid>
      <w:tr>
        <w:trPr>
          <w:tblHeader w:val="true"/>
        </w:trPr>
        <w:tc>
          <w:tcPr/>
          <w:p>
            <w:pPr>
              <w:pStyle w:val="Compact"/>
              <w:jc w:val="left"/>
            </w:pPr>
            <w:r>
              <w:t xml:space="preserve">Token Category</w:t>
            </w:r>
          </w:p>
        </w:tc>
        <w:tc>
          <w:tcPr/>
          <w:p>
            <w:pPr>
              <w:pStyle w:val="Compact"/>
              <w:jc w:val="left"/>
            </w:pPr>
            <w:r>
              <w:t xml:space="preserve">Token</w:t>
            </w:r>
          </w:p>
        </w:tc>
        <w:tc>
          <w:tcPr/>
          <w:p>
            <w:pPr>
              <w:pStyle w:val="Compact"/>
              <w:jc w:val="left"/>
            </w:pPr>
            <w:r>
              <w:t xml:space="preserve">Value</w:t>
            </w:r>
          </w:p>
        </w:tc>
        <w:tc>
          <w:tcPr/>
          <w:p>
            <w:pPr>
              <w:pStyle w:val="Compact"/>
              <w:jc w:val="left"/>
            </w:pPr>
            <w:r>
              <w:t xml:space="preserve">Application</w:t>
            </w:r>
          </w:p>
        </w:tc>
      </w:tr>
      <w:tr>
        <w:tc>
          <w:tcPr/>
          <w:p>
            <w:pPr>
              <w:pStyle w:val="Compact"/>
              <w:jc w:val="left"/>
            </w:pPr>
            <w:r>
              <w:t xml:space="preserve">Background</w:t>
            </w:r>
          </w:p>
        </w:tc>
        <w:tc>
          <w:tcPr/>
          <w:p>
            <w:pPr>
              <w:pStyle w:val="Compact"/>
              <w:jc w:val="left"/>
            </w:pPr>
            <w:r>
              <w:rPr>
                <w:rStyle w:val="VerbatimChar"/>
              </w:rPr>
              <w:t xml:space="preserve">bg-dark</w:t>
            </w:r>
          </w:p>
        </w:tc>
        <w:tc>
          <w:tcPr/>
          <w:p>
            <w:pPr>
              <w:pStyle w:val="Compact"/>
              <w:jc w:val="left"/>
            </w:pPr>
            <w:r>
              <w:rPr>
                <w:rStyle w:val="VerbatimChar"/>
              </w:rPr>
              <w:t xml:space="preserve">#0A0A0F</w:t>
            </w:r>
          </w:p>
        </w:tc>
        <w:tc>
          <w:tcPr/>
          <w:p>
            <w:pPr>
              <w:pStyle w:val="Compact"/>
              <w:jc w:val="left"/>
            </w:pPr>
            <w:r>
              <w:t xml:space="preserve">Page background, root substrate</w:t>
            </w:r>
          </w:p>
        </w:tc>
      </w:tr>
      <w:tr>
        <w:tc>
          <w:tcPr/>
          <w:p>
            <w:pPr>
              <w:pStyle w:val="Compact"/>
              <w:jc w:val="left"/>
            </w:pPr>
            <w:r>
              <w:t xml:space="preserve">Background</w:t>
            </w:r>
          </w:p>
        </w:tc>
        <w:tc>
          <w:tcPr/>
          <w:p>
            <w:pPr>
              <w:pStyle w:val="Compact"/>
              <w:jc w:val="left"/>
            </w:pPr>
            <w:r>
              <w:rPr>
                <w:rStyle w:val="VerbatimChar"/>
              </w:rPr>
              <w:t xml:space="preserve">bg-card</w:t>
            </w:r>
          </w:p>
        </w:tc>
        <w:tc>
          <w:tcPr/>
          <w:p>
            <w:pPr>
              <w:pStyle w:val="Compact"/>
              <w:jc w:val="left"/>
            </w:pPr>
            <w:r>
              <w:rPr>
                <w:rStyle w:val="VerbatimChar"/>
              </w:rPr>
              <w:t xml:space="preserve">#1A1A24</w:t>
            </w:r>
          </w:p>
        </w:tc>
        <w:tc>
          <w:tcPr/>
          <w:p>
            <w:pPr>
              <w:pStyle w:val="Compact"/>
              <w:jc w:val="left"/>
            </w:pPr>
            <w:r>
              <w:t xml:space="preserve">Elevated card surfaces, sidebar panels</w:t>
            </w:r>
          </w:p>
        </w:tc>
      </w:tr>
      <w:tr>
        <w:tc>
          <w:tcPr/>
          <w:p>
            <w:pPr>
              <w:pStyle w:val="Compact"/>
              <w:jc w:val="left"/>
            </w:pPr>
            <w:r>
              <w:t xml:space="preserve">Background</w:t>
            </w:r>
          </w:p>
        </w:tc>
        <w:tc>
          <w:tcPr/>
          <w:p>
            <w:pPr>
              <w:pStyle w:val="Compact"/>
              <w:jc w:val="left"/>
            </w:pPr>
            <w:r>
              <w:rPr>
                <w:rStyle w:val="VerbatimChar"/>
              </w:rPr>
              <w:t xml:space="preserve">bg-navbar</w:t>
            </w:r>
          </w:p>
        </w:tc>
        <w:tc>
          <w:tcPr/>
          <w:p>
            <w:pPr>
              <w:pStyle w:val="Compact"/>
              <w:jc w:val="left"/>
            </w:pPr>
            <w:r>
              <w:rPr>
                <w:rStyle w:val="VerbatimChar"/>
              </w:rPr>
              <w:t xml:space="preserve">rgba(10,10,15,0.85)</w:t>
            </w:r>
          </w:p>
        </w:tc>
        <w:tc>
          <w:tcPr/>
          <w:p>
            <w:pPr>
              <w:pStyle w:val="Compact"/>
              <w:jc w:val="left"/>
            </w:pPr>
            <w:r>
              <w:t xml:space="preserve">Fixed navigation bar with</w:t>
            </w:r>
            <w:r>
              <w:t xml:space="preserve"> </w:t>
            </w:r>
            <w:r>
              <w:rPr>
                <w:rStyle w:val="VerbatimChar"/>
              </w:rPr>
              <w:t xml:space="preserve">blur(20px)</w:t>
            </w:r>
          </w:p>
        </w:tc>
      </w:tr>
      <w:tr>
        <w:tc>
          <w:tcPr/>
          <w:p>
            <w:pPr>
              <w:pStyle w:val="Compact"/>
              <w:jc w:val="left"/>
            </w:pPr>
            <w:r>
              <w:t xml:space="preserve">Accent</w:t>
            </w:r>
          </w:p>
        </w:tc>
        <w:tc>
          <w:tcPr/>
          <w:p>
            <w:pPr>
              <w:pStyle w:val="Compact"/>
              <w:jc w:val="left"/>
            </w:pPr>
            <w:r>
              <w:rPr>
                <w:rStyle w:val="VerbatimChar"/>
              </w:rPr>
              <w:t xml:space="preserve">accent-gold</w:t>
            </w:r>
          </w:p>
        </w:tc>
        <w:tc>
          <w:tcPr/>
          <w:p>
            <w:pPr>
              <w:pStyle w:val="Compact"/>
              <w:jc w:val="left"/>
            </w:pPr>
            <w:r>
              <w:rPr>
                <w:rStyle w:val="VerbatimChar"/>
              </w:rPr>
              <w:t xml:space="preserve">#D4AF37</w:t>
            </w:r>
          </w:p>
        </w:tc>
        <w:tc>
          <w:tcPr/>
          <w:p>
            <w:pPr>
              <w:pStyle w:val="Compact"/>
              <w:jc w:val="left"/>
            </w:pPr>
            <w:r>
              <w:t xml:space="preserve">CTAs, active filters, stat highlights, match scores</w:t>
            </w:r>
          </w:p>
        </w:tc>
      </w:tr>
      <w:tr>
        <w:tc>
          <w:tcPr/>
          <w:p>
            <w:pPr>
              <w:pStyle w:val="Compact"/>
              <w:jc w:val="left"/>
            </w:pPr>
            <w:r>
              <w:t xml:space="preserve">Accent</w:t>
            </w:r>
          </w:p>
        </w:tc>
        <w:tc>
          <w:tcPr/>
          <w:p>
            <w:pPr>
              <w:pStyle w:val="Compact"/>
              <w:jc w:val="left"/>
            </w:pPr>
            <w:r>
              <w:rPr>
                <w:rStyle w:val="VerbatimChar"/>
              </w:rPr>
              <w:t xml:space="preserve">accent-blue</w:t>
            </w:r>
          </w:p>
        </w:tc>
        <w:tc>
          <w:tcPr/>
          <w:p>
            <w:pPr>
              <w:pStyle w:val="Compact"/>
              <w:jc w:val="left"/>
            </w:pPr>
            <w:r>
              <w:rPr>
                <w:rStyle w:val="VerbatimChar"/>
              </w:rPr>
              <w:t xml:space="preserve">#3A86FF</w:t>
            </w:r>
          </w:p>
        </w:tc>
        <w:tc>
          <w:tcPr/>
          <w:p>
            <w:pPr>
              <w:pStyle w:val="Compact"/>
              <w:jc w:val="left"/>
            </w:pPr>
            <w:r>
              <w:t xml:space="preserve">Search focus, AI elements, info tags, links</w:t>
            </w:r>
          </w:p>
        </w:tc>
      </w:tr>
      <w:tr>
        <w:tc>
          <w:tcPr/>
          <w:p>
            <w:pPr>
              <w:pStyle w:val="Compact"/>
              <w:jc w:val="left"/>
            </w:pPr>
            <w:r>
              <w:t xml:space="preserve">Gradient</w:t>
            </w:r>
          </w:p>
        </w:tc>
        <w:tc>
          <w:tcPr/>
          <w:p>
            <w:pPr>
              <w:pStyle w:val="Compact"/>
              <w:jc w:val="left"/>
            </w:pPr>
            <w:r>
              <w:rPr>
                <w:rStyle w:val="VerbatimChar"/>
              </w:rPr>
              <w:t xml:space="preserve">gradient-warm</w:t>
            </w:r>
          </w:p>
        </w:tc>
        <w:tc>
          <w:tcPr/>
          <w:p>
            <w:pPr>
              <w:pStyle w:val="Compact"/>
              <w:jc w:val="left"/>
            </w:pPr>
            <w:r>
              <w:rPr>
                <w:rStyle w:val="VerbatimChar"/>
              </w:rPr>
              <w:t xml:space="preserve">135deg, #FF6B35 → #D4AF37</w:t>
            </w:r>
          </w:p>
        </w:tc>
        <w:tc>
          <w:tcPr/>
          <w:p>
            <w:pPr>
              <w:pStyle w:val="Compact"/>
              <w:jc w:val="left"/>
            </w:pPr>
            <w:r>
              <w:t xml:space="preserve">Primary buttons, active states</w:t>
            </w:r>
          </w:p>
        </w:tc>
      </w:tr>
      <w:tr>
        <w:tc>
          <w:tcPr/>
          <w:p>
            <w:pPr>
              <w:pStyle w:val="Compact"/>
              <w:jc w:val="left"/>
            </w:pPr>
            <w:r>
              <w:t xml:space="preserve">Gradient</w:t>
            </w:r>
          </w:p>
        </w:tc>
        <w:tc>
          <w:tcPr/>
          <w:p>
            <w:pPr>
              <w:pStyle w:val="Compact"/>
              <w:jc w:val="left"/>
            </w:pPr>
            <w:r>
              <w:rPr>
                <w:rStyle w:val="VerbatimChar"/>
              </w:rPr>
              <w:t xml:space="preserve">gradient-cool</w:t>
            </w:r>
          </w:p>
        </w:tc>
        <w:tc>
          <w:tcPr/>
          <w:p>
            <w:pPr>
              <w:pStyle w:val="Compact"/>
              <w:jc w:val="left"/>
            </w:pPr>
            <w:r>
              <w:rPr>
                <w:rStyle w:val="VerbatimChar"/>
              </w:rPr>
              <w:t xml:space="preserve">135deg, #3A86FF → #00B4D8</w:t>
            </w:r>
          </w:p>
        </w:tc>
        <w:tc>
          <w:tcPr/>
          <w:p>
            <w:pPr>
              <w:pStyle w:val="Compact"/>
              <w:jc w:val="left"/>
            </w:pPr>
            <w:r>
              <w:t xml:space="preserve">Technology-forward UI, secondary accents</w:t>
            </w:r>
          </w:p>
        </w:tc>
      </w:tr>
      <w:tr>
        <w:tc>
          <w:tcPr/>
          <w:p>
            <w:pPr>
              <w:pStyle w:val="Compact"/>
              <w:jc w:val="left"/>
            </w:pPr>
            <w:r>
              <w:t xml:space="preserve">Gradient</w:t>
            </w:r>
          </w:p>
        </w:tc>
        <w:tc>
          <w:tcPr/>
          <w:p>
            <w:pPr>
              <w:pStyle w:val="Compact"/>
              <w:jc w:val="left"/>
            </w:pPr>
            <w:r>
              <w:rPr>
                <w:rStyle w:val="VerbatimChar"/>
              </w:rPr>
              <w:t xml:space="preserve">gradient-overlay</w:t>
            </w:r>
          </w:p>
        </w:tc>
        <w:tc>
          <w:tcPr/>
          <w:p>
            <w:pPr>
              <w:pStyle w:val="Compact"/>
              <w:jc w:val="left"/>
            </w:pPr>
            <w:r>
              <w:rPr>
                <w:rStyle w:val="VerbatimChar"/>
              </w:rPr>
              <w:t xml:space="preserve">180deg, transparent → #0A0A0F</w:t>
            </w:r>
          </w:p>
        </w:tc>
        <w:tc>
          <w:tcPr/>
          <w:p>
            <w:pPr>
              <w:pStyle w:val="Compact"/>
              <w:jc w:val="left"/>
            </w:pPr>
            <w:r>
              <w:t xml:space="preserve">Hero image overlays, section transitions</w:t>
            </w:r>
          </w:p>
        </w:tc>
      </w:tr>
      <w:tr>
        <w:tc>
          <w:tcPr/>
          <w:p>
            <w:pPr>
              <w:pStyle w:val="Compact"/>
              <w:jc w:val="left"/>
            </w:pPr>
            <w:r>
              <w:t xml:space="preserve">Glass</w:t>
            </w:r>
          </w:p>
        </w:tc>
        <w:tc>
          <w:tcPr/>
          <w:p>
            <w:pPr>
              <w:pStyle w:val="Compact"/>
              <w:jc w:val="left"/>
            </w:pPr>
            <w:r>
              <w:rPr>
                <w:rStyle w:val="VerbatimChar"/>
              </w:rPr>
              <w:t xml:space="preserve">glass-fill</w:t>
            </w:r>
          </w:p>
        </w:tc>
        <w:tc>
          <w:tcPr/>
          <w:p>
            <w:pPr>
              <w:pStyle w:val="Compact"/>
              <w:jc w:val="left"/>
            </w:pPr>
            <w:r>
              <w:rPr>
                <w:rStyle w:val="VerbatimChar"/>
              </w:rPr>
              <w:t xml:space="preserve">rgba(255,255,255,0.03)</w:t>
            </w:r>
          </w:p>
        </w:tc>
        <w:tc>
          <w:tcPr/>
          <w:p>
            <w:pPr>
              <w:pStyle w:val="Compact"/>
              <w:jc w:val="left"/>
            </w:pPr>
            <w:r>
              <w:t xml:space="preserve">Default glassmorphism surface fill</w:t>
            </w:r>
          </w:p>
        </w:tc>
      </w:tr>
      <w:tr>
        <w:tc>
          <w:tcPr/>
          <w:p>
            <w:pPr>
              <w:pStyle w:val="Compact"/>
              <w:jc w:val="left"/>
            </w:pPr>
            <w:r>
              <w:t xml:space="preserve">Glass</w:t>
            </w:r>
          </w:p>
        </w:tc>
        <w:tc>
          <w:tcPr/>
          <w:p>
            <w:pPr>
              <w:pStyle w:val="Compact"/>
              <w:jc w:val="left"/>
            </w:pPr>
            <w:r>
              <w:rPr>
                <w:rStyle w:val="VerbatimChar"/>
              </w:rPr>
              <w:t xml:space="preserve">glass-border</w:t>
            </w:r>
          </w:p>
        </w:tc>
        <w:tc>
          <w:tcPr/>
          <w:p>
            <w:pPr>
              <w:pStyle w:val="Compact"/>
              <w:jc w:val="left"/>
            </w:pPr>
            <w:r>
              <w:rPr>
                <w:rStyle w:val="VerbatimChar"/>
              </w:rPr>
              <w:t xml:space="preserve">1px solid rgba(255,255,255,0.08)</w:t>
            </w:r>
          </w:p>
        </w:tc>
        <w:tc>
          <w:tcPr/>
          <w:p>
            <w:pPr>
              <w:pStyle w:val="Compact"/>
              <w:jc w:val="left"/>
            </w:pPr>
            <w:r>
              <w:t xml:space="preserve">Default glassmorphism border</w:t>
            </w:r>
          </w:p>
        </w:tc>
      </w:tr>
      <w:tr>
        <w:tc>
          <w:tcPr/>
          <w:p>
            <w:pPr>
              <w:pStyle w:val="Compact"/>
              <w:jc w:val="left"/>
            </w:pPr>
            <w:r>
              <w:t xml:space="preserve">Glass</w:t>
            </w:r>
          </w:p>
        </w:tc>
        <w:tc>
          <w:tcPr/>
          <w:p>
            <w:pPr>
              <w:pStyle w:val="Compact"/>
              <w:jc w:val="left"/>
            </w:pPr>
            <w:r>
              <w:rPr>
                <w:rStyle w:val="VerbatimChar"/>
              </w:rPr>
              <w:t xml:space="preserve">glass-radius</w:t>
            </w:r>
          </w:p>
        </w:tc>
        <w:tc>
          <w:tcPr/>
          <w:p>
            <w:pPr>
              <w:pStyle w:val="Compact"/>
              <w:jc w:val="left"/>
            </w:pPr>
            <w:r>
              <w:rPr>
                <w:rStyle w:val="VerbatimChar"/>
              </w:rPr>
              <w:t xml:space="preserve">12px</w:t>
            </w:r>
          </w:p>
        </w:tc>
        <w:tc>
          <w:tcPr/>
          <w:p>
            <w:pPr>
              <w:pStyle w:val="Compact"/>
              <w:jc w:val="left"/>
            </w:pPr>
            <w:r>
              <w:t xml:space="preserve">Border radius for all glass surfaces</w:t>
            </w:r>
          </w:p>
        </w:tc>
      </w:tr>
      <w:tr>
        <w:tc>
          <w:tcPr/>
          <w:p>
            <w:pPr>
              <w:pStyle w:val="Compact"/>
              <w:jc w:val="left"/>
            </w:pPr>
            <w:r>
              <w:t xml:space="preserve">Text</w:t>
            </w:r>
          </w:p>
        </w:tc>
        <w:tc>
          <w:tcPr/>
          <w:p>
            <w:pPr>
              <w:pStyle w:val="Compact"/>
              <w:jc w:val="left"/>
            </w:pPr>
            <w:r>
              <w:rPr>
                <w:rStyle w:val="VerbatimChar"/>
              </w:rPr>
              <w:t xml:space="preserve">text-primary</w:t>
            </w:r>
          </w:p>
        </w:tc>
        <w:tc>
          <w:tcPr/>
          <w:p>
            <w:pPr>
              <w:pStyle w:val="Compact"/>
              <w:jc w:val="left"/>
            </w:pPr>
            <w:r>
              <w:rPr>
                <w:rStyle w:val="VerbatimChar"/>
              </w:rPr>
              <w:t xml:space="preserve">#FFFFFF</w:t>
            </w:r>
          </w:p>
        </w:tc>
        <w:tc>
          <w:tcPr/>
          <w:p>
            <w:pPr>
              <w:pStyle w:val="Compact"/>
              <w:jc w:val="left"/>
            </w:pPr>
            <w:r>
              <w:t xml:space="preserve">Headlines, interactive elements</w:t>
            </w:r>
          </w:p>
        </w:tc>
      </w:tr>
      <w:tr>
        <w:tc>
          <w:tcPr/>
          <w:p>
            <w:pPr>
              <w:pStyle w:val="Compact"/>
              <w:jc w:val="left"/>
            </w:pPr>
            <w:r>
              <w:t xml:space="preserve">Text</w:t>
            </w:r>
          </w:p>
        </w:tc>
        <w:tc>
          <w:tcPr/>
          <w:p>
            <w:pPr>
              <w:pStyle w:val="Compact"/>
              <w:jc w:val="left"/>
            </w:pPr>
            <w:r>
              <w:rPr>
                <w:rStyle w:val="VerbatimChar"/>
              </w:rPr>
              <w:t xml:space="preserve">text-secondary</w:t>
            </w:r>
          </w:p>
        </w:tc>
        <w:tc>
          <w:tcPr/>
          <w:p>
            <w:pPr>
              <w:pStyle w:val="Compact"/>
              <w:jc w:val="left"/>
            </w:pPr>
            <w:r>
              <w:rPr>
                <w:rStyle w:val="VerbatimChar"/>
              </w:rPr>
              <w:t xml:space="preserve">rgba(255,255,255,0.7)</w:t>
            </w:r>
          </w:p>
        </w:tc>
        <w:tc>
          <w:tcPr/>
          <w:p>
            <w:pPr>
              <w:pStyle w:val="Compact"/>
              <w:jc w:val="left"/>
            </w:pPr>
            <w:r>
              <w:t xml:space="preserve">Body copy, descriptions</w:t>
            </w:r>
          </w:p>
        </w:tc>
      </w:tr>
      <w:tr>
        <w:tc>
          <w:tcPr/>
          <w:p>
            <w:pPr>
              <w:pStyle w:val="Compact"/>
              <w:jc w:val="left"/>
            </w:pPr>
            <w:r>
              <w:t xml:space="preserve">Text</w:t>
            </w:r>
          </w:p>
        </w:tc>
        <w:tc>
          <w:tcPr/>
          <w:p>
            <w:pPr>
              <w:pStyle w:val="Compact"/>
              <w:jc w:val="left"/>
            </w:pPr>
            <w:r>
              <w:rPr>
                <w:rStyle w:val="VerbatimChar"/>
              </w:rPr>
              <w:t xml:space="preserve">text-muted</w:t>
            </w:r>
          </w:p>
        </w:tc>
        <w:tc>
          <w:tcPr/>
          <w:p>
            <w:pPr>
              <w:pStyle w:val="Compact"/>
              <w:jc w:val="left"/>
            </w:pPr>
            <w:r>
              <w:rPr>
                <w:rStyle w:val="VerbatimChar"/>
              </w:rPr>
              <w:t xml:space="preserve">rgba(255,255,255,0.4)</w:t>
            </w:r>
          </w:p>
        </w:tc>
        <w:tc>
          <w:tcPr/>
          <w:p>
            <w:pPr>
              <w:pStyle w:val="Compact"/>
              <w:jc w:val="left"/>
            </w:pPr>
            <w:r>
              <w:t xml:space="preserve">Labels, meta text, placeholders</w:t>
            </w:r>
          </w:p>
        </w:tc>
      </w:tr>
    </w:tbl>
    <w:p>
      <w:pPr>
        <w:pStyle w:val="BodyText"/>
      </w:pPr>
      <w:r>
        <w:t xml:space="preserve">The 25 category-specific accent colors extend this palette further, assigning each preset category a unique hex value (from</w:t>
      </w:r>
      <w:r>
        <w:t xml:space="preserve"> </w:t>
      </w:r>
      <w:r>
        <w:rPr>
          <w:rStyle w:val="VerbatimChar"/>
        </w:rPr>
        <w:t xml:space="preserve">#2D1B69</w:t>
      </w:r>
      <w:r>
        <w:t xml:space="preserve"> </w:t>
      </w:r>
      <w:r>
        <w:t xml:space="preserve">for Deep Cinematic Shadows to</w:t>
      </w:r>
      <w:r>
        <w:t xml:space="preserve"> </w:t>
      </w:r>
      <w:r>
        <w:rPr>
          <w:rStyle w:val="VerbatimChar"/>
        </w:rPr>
        <w:t xml:space="preserve">#F8F9FA</w:t>
      </w:r>
      <w:r>
        <w:t xml:space="preserve"> </w:t>
      </w:r>
      <w:r>
        <w:t xml:space="preserve">for Clean Editorial Bright) that propagates through filter pills, card top-bars, and thumbnail gradients. This category-color mapping ensures visual consistency between the library’s organizational taxonomy and its visual presentation.</w:t>
      </w:r>
    </w:p>
    <w:bookmarkEnd w:id="119"/>
    <w:bookmarkStart w:id="120" w:name="glassmorphism-design-language"/>
    <w:p>
      <w:pPr>
        <w:pStyle w:val="Heading4"/>
      </w:pPr>
      <w:r>
        <w:t xml:space="preserve">7.1.2 Glassmorphism Design Language</w:t>
      </w:r>
    </w:p>
    <w:p>
      <w:pPr>
        <w:pStyle w:val="FirstParagraph"/>
      </w:pPr>
      <w:r>
        <w:t xml:space="preserve">Surface design throughout the platform employs a glassmorphism treatment defined by three parameters: a base fill of</w:t>
      </w:r>
      <w:r>
        <w:t xml:space="preserve"> </w:t>
      </w:r>
      <w:r>
        <w:rPr>
          <w:rStyle w:val="VerbatimChar"/>
        </w:rPr>
        <w:t xml:space="preserve">rgba(255,255,255,0.03)</w:t>
      </w:r>
      <w:r>
        <w:t xml:space="preserve">, a</w:t>
      </w:r>
      <w:r>
        <w:t xml:space="preserve"> </w:t>
      </w:r>
      <w:r>
        <w:rPr>
          <w:rStyle w:val="VerbatimChar"/>
        </w:rPr>
        <w:t xml:space="preserve">backdrop-filter: blur(16px)</w:t>
      </w:r>
      <w:r>
        <w:t xml:space="preserve"> </w:t>
      </w:r>
      <w:r>
        <w:t xml:space="preserve">pass, and a</w:t>
      </w:r>
      <w:r>
        <w:t xml:space="preserve"> </w:t>
      </w:r>
      <w:r>
        <w:rPr>
          <w:rStyle w:val="VerbatimChar"/>
        </w:rPr>
        <w:t xml:space="preserve">1px solid rgba(255,255,255,0.08)</w:t>
      </w:r>
      <w:r>
        <w:t xml:space="preserve"> </w:t>
      </w:r>
      <w:r>
        <w:t xml:space="preserve">border at</w:t>
      </w:r>
      <w:r>
        <w:t xml:space="preserve"> </w:t>
      </w:r>
      <w:r>
        <w:rPr>
          <w:rStyle w:val="VerbatimChar"/>
        </w:rPr>
        <w:t xml:space="preserve">12px</w:t>
      </w:r>
      <w:r>
        <w:t xml:space="preserve"> </w:t>
      </w:r>
      <w:r>
        <w:t xml:space="preserve">border-radius. On hover, surfaces transition to</w:t>
      </w:r>
      <w:r>
        <w:t xml:space="preserve"> </w:t>
      </w:r>
      <w:r>
        <w:rPr>
          <w:rStyle w:val="VerbatimChar"/>
        </w:rPr>
        <w:t xml:space="preserve">rgba(255,255,255,0.05)</w:t>
      </w:r>
      <w:r>
        <w:t xml:space="preserve"> </w:t>
      </w:r>
      <w:r>
        <w:t xml:space="preserve">fill with</w:t>
      </w:r>
      <w:r>
        <w:t xml:space="preserve"> </w:t>
      </w:r>
      <w:r>
        <w:rPr>
          <w:rStyle w:val="VerbatimChar"/>
        </w:rPr>
        <w:t xml:space="preserve">rgba(255,255,255,0.15)</w:t>
      </w:r>
      <w:r>
        <w:t xml:space="preserve"> </w:t>
      </w:r>
      <w:r>
        <w:t xml:space="preserve">border, producing a subtle luminance shift that communicates interactivity without introducing additional color.</w:t>
      </w:r>
    </w:p>
    <w:p>
      <w:pPr>
        <w:pStyle w:val="BodyText"/>
      </w:pPr>
      <w:r>
        <w:t xml:space="preserve">This glassmorphism system appears on navigation bars (</w:t>
      </w:r>
      <w:r>
        <w:rPr>
          <w:rStyle w:val="VerbatimChar"/>
        </w:rPr>
        <w:t xml:space="preserve">rgba(10,10,15,0.85)</w:t>
      </w:r>
      <w:r>
        <w:t xml:space="preserve"> </w:t>
      </w:r>
      <w:r>
        <w:t xml:space="preserve">background with</w:t>
      </w:r>
      <w:r>
        <w:t xml:space="preserve"> </w:t>
      </w:r>
      <w:r>
        <w:rPr>
          <w:rStyle w:val="VerbatimChar"/>
        </w:rPr>
        <w:t xml:space="preserve">blur(20px)</w:t>
      </w:r>
      <w:r>
        <w:t xml:space="preserve">), preset cards, testimonial panels, sidebar containers, and modal surfaces. The treatment is not merely decorative—it serves a functional purpose in a dark interface by creating depth separation between content layers while maintaining the ambient darkness that preserves color fidelity. Cards that house graded sample images use the glass wrapper to</w:t>
      </w:r>
      <w:r>
        <w:t xml:space="preserve"> </w:t>
      </w:r>
      <w:r>
        <w:t xml:space="preserve">“</w:t>
      </w:r>
      <w:r>
        <w:t xml:space="preserve">float</w:t>
      </w:r>
      <w:r>
        <w:t xml:space="preserve">”</w:t>
      </w:r>
      <w:r>
        <w:t xml:space="preserve"> </w:t>
      </w:r>
      <w:r>
        <w:t xml:space="preserve">the imagery above the</w:t>
      </w:r>
      <w:r>
        <w:t xml:space="preserve"> </w:t>
      </w:r>
      <w:r>
        <w:rPr>
          <w:rStyle w:val="VerbatimChar"/>
        </w:rPr>
        <w:t xml:space="preserve">#0A0A0F</w:t>
      </w:r>
      <w:r>
        <w:t xml:space="preserve"> </w:t>
      </w:r>
      <w:r>
        <w:t xml:space="preserve">substrate, creating a subtle museum-display effect where each preset is presented as an artifact within its own illuminated frame.</w:t>
      </w:r>
    </w:p>
    <w:p>
      <w:pPr>
        <w:pStyle w:val="BodyText"/>
      </w:pPr>
      <w:r>
        <w:t xml:space="preserve">The CSS implementation defines</w:t>
      </w:r>
      <w:r>
        <w:t xml:space="preserve"> </w:t>
      </w:r>
      <w:r>
        <w:rPr>
          <w:rStyle w:val="VerbatimChar"/>
        </w:rPr>
        <w:t xml:space="preserve">.glass-card</w:t>
      </w:r>
      <w:r>
        <w:t xml:space="preserve"> </w:t>
      </w:r>
      <w:r>
        <w:t xml:space="preserve">as a reusable component class in the global stylesheet, enabling consistent application across all 6 pages and 40+ component instances. Hover transitions execute over</w:t>
      </w:r>
      <w:r>
        <w:t xml:space="preserve"> </w:t>
      </w:r>
      <w:r>
        <w:rPr>
          <w:rStyle w:val="VerbatimChar"/>
        </w:rPr>
        <w:t xml:space="preserve">300ms</w:t>
      </w:r>
      <w:r>
        <w:t xml:space="preserve"> </w:t>
      </w:r>
      <w:r>
        <w:t xml:space="preserve">with a</w:t>
      </w:r>
      <w:r>
        <w:t xml:space="preserve"> </w:t>
      </w:r>
      <w:r>
        <w:rPr>
          <w:rStyle w:val="VerbatimChar"/>
        </w:rPr>
        <w:t xml:space="preserve">cubic-bezier(0.25, 0.1, 0.25, 1)</w:t>
      </w:r>
      <w:r>
        <w:t xml:space="preserve"> </w:t>
      </w:r>
      <w:r>
        <w:t xml:space="preserve">easing curve, producing smooth state changes that feel responsive without perceptible delay.</w:t>
      </w:r>
    </w:p>
    <w:bookmarkEnd w:id="120"/>
    <w:bookmarkStart w:id="121" w:name="typography-system"/>
    <w:p>
      <w:pPr>
        <w:pStyle w:val="Heading4"/>
      </w:pPr>
      <w:r>
        <w:t xml:space="preserve">7.1.3 Typography System</w:t>
      </w:r>
    </w:p>
    <w:p>
      <w:pPr>
        <w:pStyle w:val="FirstParagraph"/>
      </w:pPr>
      <w:r>
        <w:t xml:space="preserve">The type system employs a three-font stack loaded via Google Fonts with</w:t>
      </w:r>
      <w:r>
        <w:t xml:space="preserve"> </w:t>
      </w:r>
      <w:r>
        <w:rPr>
          <w:rStyle w:val="VerbatimChar"/>
        </w:rPr>
        <w:t xml:space="preserve">display=swap</w:t>
      </w:r>
      <w:r>
        <w:t xml:space="preserve"> </w:t>
      </w:r>
      <w:r>
        <w:t xml:space="preserve">optimization.</w:t>
      </w:r>
      <w:r>
        <w:t xml:space="preserve"> </w:t>
      </w:r>
      <w:r>
        <w:rPr>
          <w:bCs/>
          <w:b/>
        </w:rPr>
        <w:t xml:space="preserve">Space Grotesk</w:t>
      </w:r>
      <w:r>
        <w:t xml:space="preserve"> </w:t>
      </w:r>
      <w:r>
        <w:t xml:space="preserve">(weights 400–700) handles all display text—headlines H1 through H3, the logo lockup, section titles, and stat counters. Its geometric construction with slightly squared terminals carries a technical-cinematic character that aligns with the platform’s positioning.</w:t>
      </w:r>
      <w:r>
        <w:t xml:space="preserve"> </w:t>
      </w:r>
      <w:r>
        <w:rPr>
          <w:bCs/>
          <w:b/>
        </w:rPr>
        <w:t xml:space="preserve">Inter</w:t>
      </w:r>
      <w:r>
        <w:t xml:space="preserve"> </w:t>
      </w:r>
      <w:r>
        <w:t xml:space="preserve">(weights 400–600) serves as the body font for UI labels, navigation links, descriptions, and paragraph text, chosen for its exceptional legibility at small sizes on dark backgrounds.</w:t>
      </w:r>
      <w:r>
        <w:t xml:space="preserve"> </w:t>
      </w:r>
      <w:r>
        <w:rPr>
          <w:bCs/>
          <w:b/>
        </w:rPr>
        <w:t xml:space="preserve">JetBrains Mono</w:t>
      </w:r>
      <w:r>
        <w:t xml:space="preserve"> </w:t>
      </w:r>
      <w:r>
        <w:t xml:space="preserve">(weights 400–500) renders all technical data: preset parameters, format badges (</w:t>
      </w:r>
      <w:r>
        <w:t xml:space="preserve">“</w:t>
      </w:r>
      <w:r>
        <w:t xml:space="preserve">XMP</w:t>
      </w:r>
      <w:r>
        <w:t xml:space="preserve">”</w:t>
      </w:r>
      <w:r>
        <w:t xml:space="preserve"> </w:t>
      </w:r>
      <w:r>
        <w:t xml:space="preserve">/</w:t>
      </w:r>
      <w:r>
        <w:t xml:space="preserve"> </w:t>
      </w:r>
      <w:r>
        <w:t xml:space="preserve">“</w:t>
      </w:r>
      <w:r>
        <w:t xml:space="preserve">CUBE</w:t>
      </w:r>
      <w:r>
        <w:t xml:space="preserve">”</w:t>
      </w:r>
      <w:r>
        <w:t xml:space="preserve">), match scores, and metadata labels.</w:t>
      </w:r>
    </w:p>
    <w:p>
      <w:pPr>
        <w:pStyle w:val="BodyText"/>
      </w:pPr>
      <w:r>
        <w:t xml:space="preserve">The type scale uses CSS</w:t>
      </w:r>
      <w:r>
        <w:t xml:space="preserve"> </w:t>
      </w:r>
      <w:r>
        <w:rPr>
          <w:rStyle w:val="VerbatimChar"/>
        </w:rPr>
        <w:t xml:space="preserve">clamp()</w:t>
      </w:r>
      <w:r>
        <w:t xml:space="preserve"> </w:t>
      </w:r>
      <w:r>
        <w:t xml:space="preserve">functions for fluid responsive sizing. H1 headlines scale from</w:t>
      </w:r>
      <w:r>
        <w:t xml:space="preserve"> </w:t>
      </w:r>
      <w:r>
        <w:rPr>
          <w:rStyle w:val="VerbatimChar"/>
        </w:rPr>
        <w:t xml:space="preserve">48px</w:t>
      </w:r>
      <w:r>
        <w:t xml:space="preserve"> </w:t>
      </w:r>
      <w:r>
        <w:t xml:space="preserve">on mobile to</w:t>
      </w:r>
      <w:r>
        <w:t xml:space="preserve"> </w:t>
      </w:r>
      <w:r>
        <w:rPr>
          <w:rStyle w:val="VerbatimChar"/>
        </w:rPr>
        <w:t xml:space="preserve">120px</w:t>
      </w:r>
      <w:r>
        <w:t xml:space="preserve"> </w:t>
      </w:r>
      <w:r>
        <w:t xml:space="preserve">on ultra-wide displays at</w:t>
      </w:r>
      <w:r>
        <w:t xml:space="preserve"> </w:t>
      </w:r>
      <w:r>
        <w:rPr>
          <w:rStyle w:val="VerbatimChar"/>
        </w:rPr>
        <w:t xml:space="preserve">700</w:t>
      </w:r>
      <w:r>
        <w:t xml:space="preserve"> </w:t>
      </w:r>
      <w:r>
        <w:t xml:space="preserve">weight with</w:t>
      </w:r>
      <w:r>
        <w:t xml:space="preserve"> </w:t>
      </w:r>
      <w:r>
        <w:rPr>
          <w:rStyle w:val="VerbatimChar"/>
        </w:rPr>
        <w:t xml:space="preserve">-0.03em</w:t>
      </w:r>
      <w:r>
        <w:t xml:space="preserve"> </w:t>
      </w:r>
      <w:r>
        <w:t xml:space="preserve">letter-spacing and</w:t>
      </w:r>
      <w:r>
        <w:t xml:space="preserve"> </w:t>
      </w:r>
      <w:r>
        <w:rPr>
          <w:rStyle w:val="VerbatimChar"/>
        </w:rPr>
        <w:t xml:space="preserve">0.92</w:t>
      </w:r>
      <w:r>
        <w:t xml:space="preserve"> </w:t>
      </w:r>
      <w:r>
        <w:t xml:space="preserve">line-height. H2 section titles range from</w:t>
      </w:r>
      <w:r>
        <w:t xml:space="preserve"> </w:t>
      </w:r>
      <w:r>
        <w:rPr>
          <w:rStyle w:val="VerbatimChar"/>
        </w:rPr>
        <w:t xml:space="preserve">36px</w:t>
      </w:r>
      <w:r>
        <w:t xml:space="preserve"> </w:t>
      </w:r>
      <w:r>
        <w:t xml:space="preserve">to</w:t>
      </w:r>
      <w:r>
        <w:t xml:space="preserve"> </w:t>
      </w:r>
      <w:r>
        <w:rPr>
          <w:rStyle w:val="VerbatimChar"/>
        </w:rPr>
        <w:t xml:space="preserve">72px</w:t>
      </w:r>
      <w:r>
        <w:t xml:space="preserve"> </w:t>
      </w:r>
      <w:r>
        <w:t xml:space="preserve">at</w:t>
      </w:r>
      <w:r>
        <w:t xml:space="preserve"> </w:t>
      </w:r>
      <w:r>
        <w:rPr>
          <w:rStyle w:val="VerbatimChar"/>
        </w:rPr>
        <w:t xml:space="preserve">600</w:t>
      </w:r>
      <w:r>
        <w:t xml:space="preserve"> </w:t>
      </w:r>
      <w:r>
        <w:t xml:space="preserve">weight with</w:t>
      </w:r>
      <w:r>
        <w:t xml:space="preserve"> </w:t>
      </w:r>
      <w:r>
        <w:rPr>
          <w:rStyle w:val="VerbatimChar"/>
        </w:rPr>
        <w:t xml:space="preserve">-0.02em</w:t>
      </w:r>
      <w:r>
        <w:t xml:space="preserve"> </w:t>
      </w:r>
      <w:r>
        <w:t xml:space="preserve">tracking. H3 subsection titles span</w:t>
      </w:r>
      <w:r>
        <w:t xml:space="preserve"> </w:t>
      </w:r>
      <w:r>
        <w:rPr>
          <w:rStyle w:val="VerbatimChar"/>
        </w:rPr>
        <w:t xml:space="preserve">24px</w:t>
      </w:r>
      <w:r>
        <w:t xml:space="preserve"> </w:t>
      </w:r>
      <w:r>
        <w:t xml:space="preserve">to</w:t>
      </w:r>
      <w:r>
        <w:t xml:space="preserve"> </w:t>
      </w:r>
      <w:r>
        <w:rPr>
          <w:rStyle w:val="VerbatimChar"/>
        </w:rPr>
        <w:t xml:space="preserve">40px</w:t>
      </w:r>
      <w:r>
        <w:t xml:space="preserve">. Body text is set at</w:t>
      </w:r>
      <w:r>
        <w:t xml:space="preserve"> </w:t>
      </w:r>
      <w:r>
        <w:rPr>
          <w:rStyle w:val="VerbatimChar"/>
        </w:rPr>
        <w:t xml:space="preserve">16px</w:t>
      </w:r>
      <w:r>
        <w:t xml:space="preserve"> </w:t>
      </w:r>
      <w:r>
        <w:t xml:space="preserve">with</w:t>
      </w:r>
      <w:r>
        <w:t xml:space="preserve"> </w:t>
      </w:r>
      <w:r>
        <w:rPr>
          <w:rStyle w:val="VerbatimChar"/>
        </w:rPr>
        <w:t xml:space="preserve">1.6</w:t>
      </w:r>
      <w:r>
        <w:t xml:space="preserve"> </w:t>
      </w:r>
      <w:r>
        <w:t xml:space="preserve">line-height, while body-large paragraphs for hero descriptions use</w:t>
      </w:r>
      <w:r>
        <w:t xml:space="preserve"> </w:t>
      </w:r>
      <w:r>
        <w:rPr>
          <w:rStyle w:val="VerbatimChar"/>
        </w:rPr>
        <w:t xml:space="preserve">18px</w:t>
      </w:r>
      <w:r>
        <w:t xml:space="preserve"> </w:t>
      </w:r>
      <w:r>
        <w:t xml:space="preserve">at</w:t>
      </w:r>
      <w:r>
        <w:t xml:space="preserve"> </w:t>
      </w:r>
      <w:r>
        <w:rPr>
          <w:rStyle w:val="VerbatimChar"/>
        </w:rPr>
        <w:t xml:space="preserve">1.55</w:t>
      </w:r>
      <w:r>
        <w:t xml:space="preserve"> </w:t>
      </w:r>
      <w:r>
        <w:t xml:space="preserve">line-height. Caption labels operate at</w:t>
      </w:r>
      <w:r>
        <w:t xml:space="preserve"> </w:t>
      </w:r>
      <w:r>
        <w:rPr>
          <w:rStyle w:val="VerbatimChar"/>
        </w:rPr>
        <w:t xml:space="preserve">13px</w:t>
      </w:r>
      <w:r>
        <w:t xml:space="preserve"> </w:t>
      </w:r>
      <w:r>
        <w:t xml:space="preserve">with</w:t>
      </w:r>
      <w:r>
        <w:t xml:space="preserve"> </w:t>
      </w:r>
      <w:r>
        <w:rPr>
          <w:rStyle w:val="VerbatimChar"/>
        </w:rPr>
        <w:t xml:space="preserve">0.02em</w:t>
      </w:r>
      <w:r>
        <w:t xml:space="preserve"> </w:t>
      </w:r>
      <w:r>
        <w:t xml:space="preserve">positive tracking for uppercase section identifiers (e.g.,</w:t>
      </w:r>
      <w:r>
        <w:t xml:space="preserve"> </w:t>
      </w:r>
      <w:r>
        <w:t xml:space="preserve">“</w:t>
      </w:r>
      <w:r>
        <w:t xml:space="preserve">THE COLLECTION</w:t>
      </w:r>
      <w:r>
        <w:t xml:space="preserve">”</w:t>
      </w:r>
      <w:r>
        <w:t xml:space="preserve">,</w:t>
      </w:r>
      <w:r>
        <w:t xml:space="preserve"> </w:t>
      </w:r>
      <w:r>
        <w:t xml:space="preserve">“</w:t>
      </w:r>
      <w:r>
        <w:t xml:space="preserve">TESTIMONIALS</w:t>
      </w:r>
      <w:r>
        <w:t xml:space="preserve">”</w:t>
      </w:r>
      <w:r>
        <w:t xml:space="preserve">). Mono-small text for parameters renders at</w:t>
      </w:r>
      <w:r>
        <w:t xml:space="preserve"> </w:t>
      </w:r>
      <w:r>
        <w:rPr>
          <w:rStyle w:val="VerbatimChar"/>
        </w:rPr>
        <w:t xml:space="preserve">12px</w:t>
      </w:r>
      <w:r>
        <w:t xml:space="preserve"> </w:t>
      </w:r>
      <w:r>
        <w:t xml:space="preserve">with</w:t>
      </w:r>
      <w:r>
        <w:t xml:space="preserve"> </w:t>
      </w:r>
      <w:r>
        <w:rPr>
          <w:rStyle w:val="VerbatimChar"/>
        </w:rPr>
        <w:t xml:space="preserve">0.04em</w:t>
      </w:r>
      <w:r>
        <w:t xml:space="preserve"> </w:t>
      </w:r>
      <w:r>
        <w:t xml:space="preserve">tracking.</w:t>
      </w:r>
    </w:p>
    <w:bookmarkEnd w:id="121"/>
    <w:bookmarkEnd w:id="122"/>
    <w:bookmarkStart w:id="128" w:name="page-architecture"/>
    <w:p>
      <w:pPr>
        <w:pStyle w:val="Heading3"/>
      </w:pPr>
      <w:r>
        <w:t xml:space="preserve">7.2 Page Architecture</w:t>
      </w:r>
    </w:p>
    <w:p>
      <w:pPr>
        <w:pStyle w:val="FirstParagraph"/>
      </w:pPr>
      <w:r>
        <w:t xml:space="preserve">The application implements 6 client-side routes through React Router’s</w:t>
      </w:r>
      <w:r>
        <w:t xml:space="preserve"> </w:t>
      </w:r>
      <w:r>
        <w:rPr>
          <w:rStyle w:val="VerbatimChar"/>
        </w:rPr>
        <w:t xml:space="preserve">HashRouter</w:t>
      </w:r>
      <w:r>
        <w:t xml:space="preserve">, with each route corresponding to a distinct page component in the</w:t>
      </w:r>
      <w:r>
        <w:t xml:space="preserve"> </w:t>
      </w:r>
      <w:r>
        <w:rPr>
          <w:rStyle w:val="VerbatimChar"/>
        </w:rPr>
        <w:t xml:space="preserve">src/pages/</w:t>
      </w:r>
      <w:r>
        <w:t xml:space="preserve"> </w:t>
      </w:r>
      <w:r>
        <w:t xml:space="preserve">directory. A shared</w:t>
      </w:r>
      <w:r>
        <w:t xml:space="preserve"> </w:t>
      </w:r>
      <w:r>
        <w:rPr>
          <w:rStyle w:val="VerbatimChar"/>
        </w:rPr>
        <w:t xml:space="preserve">Layout</w:t>
      </w:r>
      <w:r>
        <w:t xml:space="preserve"> </w:t>
      </w:r>
      <w:r>
        <w:t xml:space="preserve">component wraps every route, providing the fixed navigation bar at</w:t>
      </w:r>
      <w:r>
        <w:t xml:space="preserve"> </w:t>
      </w:r>
      <w:r>
        <w:rPr>
          <w:rStyle w:val="VerbatimChar"/>
        </w:rPr>
        <w:t xml:space="preserve">72px</w:t>
      </w:r>
      <w:r>
        <w:t xml:space="preserve"> </w:t>
      </w:r>
      <w:r>
        <w:t xml:space="preserve">height and the footer, with the main content area offset by</w:t>
      </w:r>
      <w:r>
        <w:t xml:space="preserve"> </w:t>
      </w:r>
      <w:r>
        <w:rPr>
          <w:rStyle w:val="VerbatimChar"/>
        </w:rPr>
        <w:t xml:space="preserve">padding-top: 72px</w:t>
      </w:r>
      <w:r>
        <w:t xml:space="preserve"> </w:t>
      </w:r>
      <w:r>
        <w:t xml:space="preserve">to prevent overlap. The following table maps each route to its page component and primary functionality.</w:t>
      </w:r>
    </w:p>
    <w:tbl>
      <w:tblPr>
        <w:tblStyle w:val="Table"/>
        <w:tblW w:type="pct" w:w="5000"/>
        <w:tblLook w:firstRow="1" w:lastRow="0" w:firstColumn="0" w:lastColumn="0" w:noHBand="0" w:noVBand="0" w:val="0020"/>
      </w:tblPr>
      <w:tblGrid>
        <w:gridCol w:w="1954"/>
        <w:gridCol w:w="1645"/>
        <w:gridCol w:w="1748"/>
        <w:gridCol w:w="2571"/>
      </w:tblGrid>
      <w:tr>
        <w:trPr>
          <w:tblHeader w:val="true"/>
        </w:trPr>
        <w:tc>
          <w:tcPr/>
          <w:p>
            <w:pPr>
              <w:pStyle w:val="Compact"/>
              <w:jc w:val="left"/>
            </w:pPr>
            <w:r>
              <w:t xml:space="preserve">Route (HashRouter)</w:t>
            </w:r>
          </w:p>
        </w:tc>
        <w:tc>
          <w:tcPr/>
          <w:p>
            <w:pPr>
              <w:pStyle w:val="Compact"/>
              <w:jc w:val="left"/>
            </w:pPr>
            <w:r>
              <w:t xml:space="preserve">Page Component</w:t>
            </w:r>
          </w:p>
        </w:tc>
        <w:tc>
          <w:tcPr/>
          <w:p>
            <w:pPr>
              <w:pStyle w:val="Compact"/>
              <w:jc w:val="left"/>
            </w:pPr>
            <w:r>
              <w:t xml:space="preserve">Primary Purpose</w:t>
            </w:r>
          </w:p>
        </w:tc>
        <w:tc>
          <w:tcPr/>
          <w:p>
            <w:pPr>
              <w:pStyle w:val="Compact"/>
              <w:jc w:val="left"/>
            </w:pPr>
            <w:r>
              <w:t xml:space="preserve">Key Interactive Elements</w:t>
            </w:r>
          </w:p>
        </w:tc>
      </w:tr>
      <w:tr>
        <w:tc>
          <w:tcPr/>
          <w:p>
            <w:pPr>
              <w:pStyle w:val="Compact"/>
              <w:jc w:val="left"/>
            </w:pPr>
            <w:r>
              <w:rPr>
                <w:rStyle w:val="VerbatimChar"/>
              </w:rPr>
              <w:t xml:space="preserve">/</w:t>
            </w:r>
          </w:p>
        </w:tc>
        <w:tc>
          <w:tcPr/>
          <w:p>
            <w:pPr>
              <w:pStyle w:val="Compact"/>
              <w:jc w:val="left"/>
            </w:pPr>
            <w:r>
              <w:rPr>
                <w:rStyle w:val="VerbatimChar"/>
              </w:rPr>
              <w:t xml:space="preserve">Home.tsx</w:t>
            </w:r>
          </w:p>
        </w:tc>
        <w:tc>
          <w:tcPr/>
          <w:p>
            <w:pPr>
              <w:pStyle w:val="Compact"/>
              <w:jc w:val="left"/>
            </w:pPr>
            <w:r>
              <w:t xml:space="preserve">Conversion funnel, brand showcase</w:t>
            </w:r>
          </w:p>
        </w:tc>
        <w:tc>
          <w:tcPr/>
          <w:p>
            <w:pPr>
              <w:pStyle w:val="Compact"/>
              <w:jc w:val="left"/>
            </w:pPr>
            <w:r>
              <w:t xml:space="preserve">Hero with parallax, animated stats, 12-category grid, testimonial carousel</w:t>
            </w:r>
          </w:p>
        </w:tc>
      </w:tr>
      <w:tr>
        <w:tc>
          <w:tcPr/>
          <w:p>
            <w:pPr>
              <w:pStyle w:val="Compact"/>
              <w:jc w:val="left"/>
            </w:pPr>
            <w:r>
              <w:rPr>
                <w:rStyle w:val="VerbatimChar"/>
              </w:rPr>
              <w:t xml:space="preserve">/#/library</w:t>
            </w:r>
          </w:p>
        </w:tc>
        <w:tc>
          <w:tcPr/>
          <w:p>
            <w:pPr>
              <w:pStyle w:val="Compact"/>
              <w:jc w:val="left"/>
            </w:pPr>
            <w:r>
              <w:rPr>
                <w:rStyle w:val="VerbatimChar"/>
              </w:rPr>
              <w:t xml:space="preserve">Library.tsx</w:t>
            </w:r>
          </w:p>
        </w:tc>
        <w:tc>
          <w:tcPr/>
          <w:p>
            <w:pPr>
              <w:pStyle w:val="Compact"/>
              <w:jc w:val="left"/>
            </w:pPr>
            <w:r>
              <w:t xml:space="preserve">Full collection discovery</w:t>
            </w:r>
          </w:p>
        </w:tc>
        <w:tc>
          <w:tcPr/>
          <w:p>
            <w:pPr>
              <w:pStyle w:val="Compact"/>
              <w:jc w:val="left"/>
            </w:pPr>
            <w:r>
              <w:t xml:space="preserve">Real-time search, 25 filter pills, format toggle, load-more pagination</w:t>
            </w:r>
          </w:p>
        </w:tc>
      </w:tr>
      <w:tr>
        <w:tc>
          <w:tcPr/>
          <w:p>
            <w:pPr>
              <w:pStyle w:val="Compact"/>
              <w:jc w:val="left"/>
            </w:pPr>
            <w:r>
              <w:rPr>
                <w:rStyle w:val="VerbatimChar"/>
              </w:rPr>
              <w:t xml:space="preserve">/#/preview</w:t>
            </w:r>
          </w:p>
        </w:tc>
        <w:tc>
          <w:tcPr/>
          <w:p>
            <w:pPr>
              <w:pStyle w:val="Compact"/>
              <w:jc w:val="left"/>
            </w:pPr>
            <w:r>
              <w:rPr>
                <w:rStyle w:val="VerbatimChar"/>
              </w:rPr>
              <w:t xml:space="preserve">Preview.tsx</w:t>
            </w:r>
          </w:p>
        </w:tc>
        <w:tc>
          <w:tcPr/>
          <w:p>
            <w:pPr>
              <w:pStyle w:val="Compact"/>
              <w:jc w:val="left"/>
            </w:pPr>
            <w:r>
              <w:t xml:space="preserve">Before/after comparison</w:t>
            </w:r>
          </w:p>
        </w:tc>
        <w:tc>
          <w:tcPr/>
          <w:p>
            <w:pPr>
              <w:pStyle w:val="Compact"/>
              <w:jc w:val="left"/>
            </w:pPr>
            <w:r>
              <w:t xml:space="preserve">Draggable slider (pointer + keyboard), 3 image pairs, parameter bar visualization</w:t>
            </w:r>
          </w:p>
        </w:tc>
      </w:tr>
      <w:tr>
        <w:tc>
          <w:tcPr/>
          <w:p>
            <w:pPr>
              <w:pStyle w:val="Compact"/>
              <w:jc w:val="left"/>
            </w:pPr>
            <w:r>
              <w:rPr>
                <w:rStyle w:val="VerbatimChar"/>
              </w:rPr>
              <w:t xml:space="preserve">/#/assistant</w:t>
            </w:r>
          </w:p>
        </w:tc>
        <w:tc>
          <w:tcPr/>
          <w:p>
            <w:pPr>
              <w:pStyle w:val="Compact"/>
              <w:jc w:val="left"/>
            </w:pPr>
            <w:r>
              <w:rPr>
                <w:rStyle w:val="VerbatimChar"/>
              </w:rPr>
              <w:t xml:space="preserve">Assistant.tsx</w:t>
            </w:r>
          </w:p>
        </w:tc>
        <w:tc>
          <w:tcPr/>
          <w:p>
            <w:pPr>
              <w:pStyle w:val="Compact"/>
              <w:jc w:val="left"/>
            </w:pPr>
            <w:r>
              <w:t xml:space="preserve">AI color matching simulation</w:t>
            </w:r>
          </w:p>
        </w:tc>
        <w:tc>
          <w:tcPr/>
          <w:p>
            <w:pPr>
              <w:pStyle w:val="Compact"/>
              <w:jc w:val="left"/>
            </w:pPr>
            <w:r>
              <w:t xml:space="preserve">Mood selector (8 options), text input, 2.5s analysis, ranked result cards</w:t>
            </w:r>
          </w:p>
        </w:tc>
      </w:tr>
      <w:tr>
        <w:tc>
          <w:tcPr/>
          <w:p>
            <w:pPr>
              <w:pStyle w:val="Compact"/>
              <w:jc w:val="left"/>
            </w:pPr>
            <w:r>
              <w:rPr>
                <w:rStyle w:val="VerbatimChar"/>
              </w:rPr>
              <w:t xml:space="preserve">/#/pricing</w:t>
            </w:r>
          </w:p>
        </w:tc>
        <w:tc>
          <w:tcPr/>
          <w:p>
            <w:pPr>
              <w:pStyle w:val="Compact"/>
              <w:jc w:val="left"/>
            </w:pPr>
            <w:r>
              <w:rPr>
                <w:rStyle w:val="VerbatimChar"/>
              </w:rPr>
              <w:t xml:space="preserve">Pricing.tsx</w:t>
            </w:r>
          </w:p>
        </w:tc>
        <w:tc>
          <w:tcPr/>
          <w:p>
            <w:pPr>
              <w:pStyle w:val="Compact"/>
              <w:jc w:val="left"/>
            </w:pPr>
            <w:r>
              <w:t xml:space="preserve">Subscription conversion</w:t>
            </w:r>
          </w:p>
        </w:tc>
        <w:tc>
          <w:tcPr/>
          <w:p>
            <w:pPr>
              <w:pStyle w:val="Compact"/>
              <w:jc w:val="left"/>
            </w:pPr>
            <w:r>
              <w:t xml:space="preserve">3-tier cards, feature comparison table, FAQ accordion, billing toggle</w:t>
            </w:r>
          </w:p>
        </w:tc>
      </w:tr>
      <w:tr>
        <w:tc>
          <w:tcPr/>
          <w:p>
            <w:pPr>
              <w:pStyle w:val="Compact"/>
              <w:jc w:val="left"/>
            </w:pPr>
            <w:r>
              <w:rPr>
                <w:rStyle w:val="VerbatimChar"/>
              </w:rPr>
              <w:t xml:space="preserve">/#/dashboard</w:t>
            </w:r>
          </w:p>
        </w:tc>
        <w:tc>
          <w:tcPr/>
          <w:p>
            <w:pPr>
              <w:pStyle w:val="Compact"/>
              <w:jc w:val="left"/>
            </w:pPr>
            <w:r>
              <w:rPr>
                <w:rStyle w:val="VerbatimChar"/>
              </w:rPr>
              <w:t xml:space="preserve">Dashboard.tsx</w:t>
            </w:r>
          </w:p>
        </w:tc>
        <w:tc>
          <w:tcPr/>
          <w:p>
            <w:pPr>
              <w:pStyle w:val="Compact"/>
              <w:jc w:val="left"/>
            </w:pPr>
            <w:r>
              <w:t xml:space="preserve">User account management</w:t>
            </w:r>
          </w:p>
        </w:tc>
        <w:tc>
          <w:tcPr/>
          <w:p>
            <w:pPr>
              <w:pStyle w:val="Compact"/>
              <w:jc w:val="left"/>
            </w:pPr>
            <w:r>
              <w:t xml:space="preserve">Collapsible sidebar, 6 tabbed views, activity timeline, cloud sync status</w:t>
            </w:r>
          </w:p>
        </w:tc>
      </w:tr>
    </w:tbl>
    <w:p>
      <w:pPr>
        <w:pStyle w:val="BodyText"/>
      </w:pPr>
      <w:r>
        <w:t xml:space="preserve">The Home page (</w:t>
      </w:r>
      <w:r>
        <w:rPr>
          <w:rStyle w:val="VerbatimChar"/>
        </w:rPr>
        <w:t xml:space="preserve">/</w:t>
      </w:r>
      <w:r>
        <w:t xml:space="preserve">) functions as the primary conversion funnel, organized into 7 vertically stacked sections that guide the visitor from brand impression to pricing action.</w:t>
      </w:r>
    </w:p>
    <w:p>
      <w:pPr>
        <w:pStyle w:val="BodyText"/>
      </w:pPr>
      <w:r>
        <w:t xml:space="preserve">The Home page (</w:t>
      </w:r>
      <w:r>
        <w:rPr>
          <w:rStyle w:val="VerbatimChar"/>
        </w:rPr>
        <w:t xml:space="preserve">/</w:t>
      </w:r>
      <w:r>
        <w:t xml:space="preserve">) functions as the primary conversion funnel, organized into 7 vertically stacked sections that guide the visitor from brand impression to pricing action. The</w:t>
      </w:r>
      <w:r>
        <w:t xml:space="preserve"> </w:t>
      </w:r>
      <w:r>
        <w:rPr>
          <w:bCs/>
          <w:b/>
        </w:rPr>
        <w:t xml:space="preserve">Hero Section</w:t>
      </w:r>
      <w:r>
        <w:t xml:space="preserve"> </w:t>
      </w:r>
      <w:r>
        <w:t xml:space="preserve">fills the full viewport height (</w:t>
      </w:r>
      <w:r>
        <w:rPr>
          <w:rStyle w:val="VerbatimChar"/>
        </w:rPr>
        <w:t xml:space="preserve">100dvh</w:t>
      </w:r>
      <w:r>
        <w:t xml:space="preserve">) with a cinematic aerial background image overlaid by a three-stop gradient (</w:t>
      </w:r>
      <w:r>
        <w:rPr>
          <w:rStyle w:val="VerbatimChar"/>
        </w:rPr>
        <w:t xml:space="preserve">rgba(10,10,15,0.3)</w:t>
      </w:r>
      <w:r>
        <w:t xml:space="preserve"> </w:t>
      </w:r>
      <w:r>
        <w:t xml:space="preserve">at top through</w:t>
      </w:r>
      <w:r>
        <w:t xml:space="preserve"> </w:t>
      </w:r>
      <w:r>
        <w:rPr>
          <w:rStyle w:val="VerbatimChar"/>
        </w:rPr>
        <w:t xml:space="preserve">0.95</w:t>
      </w:r>
      <w:r>
        <w:t xml:space="preserve"> </w:t>
      </w:r>
      <w:r>
        <w:t xml:space="preserve">at bottom) and a subtle SVG-based film grain texture at 3% opacity using</w:t>
      </w:r>
      <w:r>
        <w:t xml:space="preserve"> </w:t>
      </w:r>
      <w:r>
        <w:rPr>
          <w:rStyle w:val="VerbatimChar"/>
        </w:rPr>
        <w:t xml:space="preserve">mix-blend-mode: overlay</w:t>
      </w:r>
      <w:r>
        <w:t xml:space="preserve">. The headline</w:t>
      </w:r>
      <w:r>
        <w:t xml:space="preserve"> </w:t>
      </w:r>
      <w:r>
        <w:t xml:space="preserve">“</w:t>
      </w:r>
      <w:r>
        <w:t xml:space="preserve">Cinematic Color, Perfected</w:t>
      </w:r>
      <w:r>
        <w:t xml:space="preserve">”</w:t>
      </w:r>
      <w:r>
        <w:t xml:space="preserve"> </w:t>
      </w:r>
      <w:r>
        <w:t xml:space="preserve">renders in Space Grotesk at H1 scale with</w:t>
      </w:r>
      <w:r>
        <w:t xml:space="preserve"> </w:t>
      </w:r>
      <w:r>
        <w:rPr>
          <w:rStyle w:val="VerbatimChar"/>
        </w:rPr>
        <w:t xml:space="preserve">text-shadow: 0 4px 60px rgba(0,0,0,0.5)</w:t>
      </w:r>
      <w:r>
        <w:t xml:space="preserve"> </w:t>
      </w:r>
      <w:r>
        <w:t xml:space="preserve">for depth separation against the photography. Two Framer Motion-animated CTA buttons—</w:t>
      </w:r>
      <w:r>
        <w:t xml:space="preserve">“</w:t>
      </w:r>
      <w:r>
        <w:t xml:space="preserve">Explore Library</w:t>
      </w:r>
      <w:r>
        <w:t xml:space="preserve">”</w:t>
      </w:r>
      <w:r>
        <w:t xml:space="preserve"> </w:t>
      </w:r>
      <w:r>
        <w:t xml:space="preserve">(primary gradient) and</w:t>
      </w:r>
      <w:r>
        <w:t xml:space="preserve"> </w:t>
      </w:r>
      <w:r>
        <w:t xml:space="preserve">“</w:t>
      </w:r>
      <w:r>
        <w:t xml:space="preserve">Watch Demo</w:t>
      </w:r>
      <w:r>
        <w:t xml:space="preserve">”</w:t>
      </w:r>
      <w:r>
        <w:t xml:space="preserve"> </w:t>
      </w:r>
      <w:r>
        <w:t xml:space="preserve">(secondary outline)—appear below the subheadline with staggered entrance delays of 0.7s and 0.9s respectively.</w:t>
      </w:r>
    </w:p>
    <w:p>
      <w:pPr>
        <w:pStyle w:val="BodyText"/>
      </w:pPr>
      <w:r>
        <w:t xml:space="preserve">Below the hero, a</w:t>
      </w:r>
      <w:r>
        <w:t xml:space="preserve"> </w:t>
      </w:r>
      <w:r>
        <w:rPr>
          <w:bCs/>
          <w:b/>
        </w:rPr>
        <w:t xml:space="preserve">Stats Bar Section</w:t>
      </w:r>
      <w:r>
        <w:t xml:space="preserve"> </w:t>
      </w:r>
      <w:r>
        <w:t xml:space="preserve">displays 4 animated counters (</w:t>
      </w:r>
      <w:r>
        <w:t xml:space="preserve">“</w:t>
      </w:r>
      <w:r>
        <w:t xml:space="preserve">250+</w:t>
      </w:r>
      <w:r>
        <w:t xml:space="preserve">”</w:t>
      </w:r>
      <w:r>
        <w:t xml:space="preserve"> </w:t>
      </w:r>
      <w:r>
        <w:t xml:space="preserve">presets,</w:t>
      </w:r>
      <w:r>
        <w:t xml:space="preserve"> </w:t>
      </w:r>
      <w:r>
        <w:t xml:space="preserve">“</w:t>
      </w:r>
      <w:r>
        <w:t xml:space="preserve">25</w:t>
      </w:r>
      <w:r>
        <w:t xml:space="preserve">”</w:t>
      </w:r>
      <w:r>
        <w:t xml:space="preserve"> </w:t>
      </w:r>
      <w:r>
        <w:t xml:space="preserve">categories,</w:t>
      </w:r>
      <w:r>
        <w:t xml:space="preserve"> </w:t>
      </w:r>
      <w:r>
        <w:t xml:space="preserve">“</w:t>
      </w:r>
      <w:r>
        <w:t xml:space="preserve">50K+</w:t>
      </w:r>
      <w:r>
        <w:t xml:space="preserve">”</w:t>
      </w:r>
      <w:r>
        <w:t xml:space="preserve"> </w:t>
      </w:r>
      <w:r>
        <w:t xml:space="preserve">creators,</w:t>
      </w:r>
      <w:r>
        <w:t xml:space="preserve"> </w:t>
      </w:r>
      <w:r>
        <w:t xml:space="preserve">“</w:t>
      </w:r>
      <w:r>
        <w:t xml:space="preserve">4.9</w:t>
      </w:r>
      <w:r>
        <w:t xml:space="preserve">”</w:t>
      </w:r>
      <w:r>
        <w:t xml:space="preserve"> </w:t>
      </w:r>
      <w:r>
        <w:t xml:space="preserve">rating) rendered with the</w:t>
      </w:r>
      <w:r>
        <w:t xml:space="preserve"> </w:t>
      </w:r>
      <w:r>
        <w:rPr>
          <w:rStyle w:val="VerbatimChar"/>
        </w:rPr>
        <w:t xml:space="preserve">Counter</w:t>
      </w:r>
      <w:r>
        <w:t xml:space="preserve"> </w:t>
      </w:r>
      <w:r>
        <w:t xml:space="preserve">component. Each counter uses Framer Motion’s</w:t>
      </w:r>
      <w:r>
        <w:t xml:space="preserve"> </w:t>
      </w:r>
      <w:r>
        <w:rPr>
          <w:rStyle w:val="VerbatimChar"/>
        </w:rPr>
        <w:t xml:space="preserve">useMotionValue</w:t>
      </w:r>
      <w:r>
        <w:t xml:space="preserve"> </w:t>
      </w:r>
      <w:r>
        <w:t xml:space="preserve">and</w:t>
      </w:r>
      <w:r>
        <w:t xml:space="preserve"> </w:t>
      </w:r>
      <w:r>
        <w:rPr>
          <w:rStyle w:val="VerbatimChar"/>
        </w:rPr>
        <w:t xml:space="preserve">animate</w:t>
      </w:r>
      <w:r>
        <w:t xml:space="preserve"> </w:t>
      </w:r>
      <w:r>
        <w:t xml:space="preserve">functions to interpolate from 0 to the target value over 2 seconds with an</w:t>
      </w:r>
      <w:r>
        <w:t xml:space="preserve"> </w:t>
      </w:r>
      <w:r>
        <w:rPr>
          <w:rStyle w:val="VerbatimChar"/>
        </w:rPr>
        <w:t xml:space="preserve">easeOutExpo</w:t>
      </w:r>
      <w:r>
        <w:t xml:space="preserve"> </w:t>
      </w:r>
      <w:r>
        <w:t xml:space="preserve">curve when the element enters the viewport at 30% visibility via</w:t>
      </w:r>
      <w:r>
        <w:t xml:space="preserve"> </w:t>
      </w:r>
      <w:r>
        <w:rPr>
          <w:rStyle w:val="VerbatimChar"/>
        </w:rPr>
        <w:t xml:space="preserve">useInView</w:t>
      </w:r>
      <w:r>
        <w:t xml:space="preserve">. The stat numbers receive a warm gradient text fill (</w:t>
      </w:r>
      <w:r>
        <w:rPr>
          <w:rStyle w:val="VerbatimChar"/>
        </w:rPr>
        <w:t xml:space="preserve">background-clip: text</w:t>
      </w:r>
      <w:r>
        <w:t xml:space="preserve">), while thin vertical dividers (</w:t>
      </w:r>
      <w:r>
        <w:rPr>
          <w:rStyle w:val="VerbatimChar"/>
        </w:rPr>
        <w:t xml:space="preserve">1px solid rgba(255,255,255,0.1)</w:t>
      </w:r>
      <w:r>
        <w:t xml:space="preserve">) separate each column on desktop. A trust bar below lists 7 compatible software platforms (Adobe Lightroom, DaVinci Resolve, Final Cut Pro, etc.) at 30% opacity.</w:t>
      </w:r>
    </w:p>
    <w:p>
      <w:pPr>
        <w:pStyle w:val="BodyText"/>
      </w:pPr>
      <w:r>
        <w:t xml:space="preserve">The</w:t>
      </w:r>
      <w:r>
        <w:t xml:space="preserve"> </w:t>
      </w:r>
      <w:r>
        <w:rPr>
          <w:bCs/>
          <w:b/>
        </w:rPr>
        <w:t xml:space="preserve">Category Preview Section</w:t>
      </w:r>
      <w:r>
        <w:t xml:space="preserve"> </w:t>
      </w:r>
      <w:r>
        <w:t xml:space="preserve">renders a responsive grid of 12 category cards (from a data array of 25 categories) using the glassmorphism card component. Each card features an accent-colored top bar, a CSS gradient thumbnail generated from the category’s accent color, the category name in Space Grotesk, a preset/LUT count, and a row of 3 color swatches. The grid adapts from 2 columns on mobile to 6 columns on ultra-wide via Tailwind’s</w:t>
      </w:r>
      <w:r>
        <w:t xml:space="preserve"> </w:t>
      </w:r>
      <w:r>
        <w:rPr>
          <w:rStyle w:val="VerbatimChar"/>
        </w:rPr>
        <w:t xml:space="preserve">grid-cols-2 sm:grid-cols-3 lg:grid-cols-4 xl:grid-cols-6</w:t>
      </w:r>
      <w:r>
        <w:t xml:space="preserve"> </w:t>
      </w:r>
      <w:r>
        <w:t xml:space="preserve">utility. Staggered entrance animation delivers cards with</w:t>
      </w:r>
      <w:r>
        <w:t xml:space="preserve"> </w:t>
      </w:r>
      <w:r>
        <w:rPr>
          <w:rStyle w:val="VerbatimChar"/>
        </w:rPr>
        <w:t xml:space="preserve">0.05s</w:t>
      </w:r>
      <w:r>
        <w:t xml:space="preserve"> </w:t>
      </w:r>
      <w:r>
        <w:t xml:space="preserve">delay per item.</w:t>
      </w:r>
    </w:p>
    <w:p>
      <w:pPr>
        <w:pStyle w:val="BodyText"/>
      </w:pPr>
      <w:r>
        <w:t xml:space="preserve">The</w:t>
      </w:r>
      <w:r>
        <w:t xml:space="preserve"> </w:t>
      </w:r>
      <w:r>
        <w:rPr>
          <w:bCs/>
          <w:b/>
        </w:rPr>
        <w:t xml:space="preserve">How It Works Section</w:t>
      </w:r>
      <w:r>
        <w:t xml:space="preserve"> </w:t>
      </w:r>
      <w:r>
        <w:t xml:space="preserve">presents a 3-column layout documenting the user journey: Browse → Compare → Download. Each step features a large watermark number at 6% opacity, a gold-accented icon circle, and descriptive copy. The</w:t>
      </w:r>
      <w:r>
        <w:t xml:space="preserve"> </w:t>
      </w:r>
      <w:r>
        <w:rPr>
          <w:bCs/>
          <w:b/>
        </w:rPr>
        <w:t xml:space="preserve">Featured LUTs Section</w:t>
      </w:r>
      <w:r>
        <w:t xml:space="preserve"> </w:t>
      </w:r>
      <w:r>
        <w:t xml:space="preserve">displays 6 preset cards in a horizontal scroll container with</w:t>
      </w:r>
      <w:r>
        <w:t xml:space="preserve"> </w:t>
      </w:r>
      <w:r>
        <w:rPr>
          <w:rStyle w:val="VerbatimChar"/>
        </w:rPr>
        <w:t xml:space="preserve">snap-x snap-mandatory</w:t>
      </w:r>
      <w:r>
        <w:t xml:space="preserve"> </w:t>
      </w:r>
      <w:r>
        <w:t xml:space="preserve">behavior; each card shows a before/after image toggle on hover using CSS</w:t>
      </w:r>
      <w:r>
        <w:t xml:space="preserve"> </w:t>
      </w:r>
      <w:r>
        <w:rPr>
          <w:rStyle w:val="VerbatimChar"/>
        </w:rPr>
        <w:t xml:space="preserve">opacity</w:t>
      </w:r>
      <w:r>
        <w:t xml:space="preserve"> </w:t>
      </w:r>
      <w:r>
        <w:t xml:space="preserve">transitions. The</w:t>
      </w:r>
      <w:r>
        <w:t xml:space="preserve"> </w:t>
      </w:r>
      <w:r>
        <w:rPr>
          <w:bCs/>
          <w:b/>
        </w:rPr>
        <w:t xml:space="preserve">Testimonials Section</w:t>
      </w:r>
      <w:r>
        <w:t xml:space="preserve"> </w:t>
      </w:r>
      <w:r>
        <w:t xml:space="preserve">auto-scrolls through 4 creator testimonials in an infinite horizontal loop driven by</w:t>
      </w:r>
      <w:r>
        <w:t xml:space="preserve"> </w:t>
      </w:r>
      <w:r>
        <w:rPr>
          <w:rStyle w:val="VerbatimChar"/>
        </w:rPr>
        <w:t xml:space="preserve">requestAnimationFrame</w:t>
      </w:r>
      <w:r>
        <w:t xml:space="preserve">, pausing on mouse hover. Finally, the</w:t>
      </w:r>
      <w:r>
        <w:t xml:space="preserve"> </w:t>
      </w:r>
      <w:r>
        <w:rPr>
          <w:bCs/>
          <w:b/>
        </w:rPr>
        <w:t xml:space="preserve">CTA Banner Section</w:t>
      </w:r>
      <w:r>
        <w:t xml:space="preserve"> </w:t>
      </w:r>
      <w:r>
        <w:t xml:space="preserve">centers a headline, subcopy, and dual action buttons beneath a radial gold glow, closing the conversion loop with links to</w:t>
      </w:r>
      <w:r>
        <w:t xml:space="preserve"> </w:t>
      </w:r>
      <w:r>
        <w:rPr>
          <w:rStyle w:val="VerbatimChar"/>
        </w:rPr>
        <w:t xml:space="preserve">/pricing</w:t>
      </w:r>
      <w:r>
        <w:t xml:space="preserve">.</w:t>
      </w:r>
    </w:p>
    <w:bookmarkStart w:id="123" w:name="library-page"/>
    <w:p>
      <w:pPr>
        <w:pStyle w:val="Heading4"/>
      </w:pPr>
      <w:r>
        <w:t xml:space="preserve">7.2.2 Library Page</w:t>
      </w:r>
    </w:p>
    <w:p>
      <w:pPr>
        <w:pStyle w:val="FirstParagraph"/>
      </w:pPr>
      <w:r>
        <w:t xml:space="preserve">The Library page (</w:t>
      </w:r>
      <w:r>
        <w:rPr>
          <w:rStyle w:val="VerbatimChar"/>
        </w:rPr>
        <w:t xml:space="preserve">/#/library</w:t>
      </w:r>
      <w:r>
        <w:t xml:space="preserve">) serves as the primary discovery interface for the full collection of 250+ presets and LUTs. The page header contains a title block with a gold-accented underline bar and a search input that filters across preset name, category, and mood fields in real time. Below the header, a sticky filter bar (positioned at</w:t>
      </w:r>
      <w:r>
        <w:t xml:space="preserve"> </w:t>
      </w:r>
      <w:r>
        <w:rPr>
          <w:rStyle w:val="VerbatimChar"/>
        </w:rPr>
        <w:t xml:space="preserve">top: 72px</w:t>
      </w:r>
      <w:r>
        <w:t xml:space="preserve"> </w:t>
      </w:r>
      <w:r>
        <w:t xml:space="preserve">with</w:t>
      </w:r>
      <w:r>
        <w:t xml:space="preserve"> </w:t>
      </w:r>
      <w:r>
        <w:rPr>
          <w:rStyle w:val="VerbatimChar"/>
        </w:rPr>
        <w:t xml:space="preserve">z-index: 40</w:t>
      </w:r>
      <w:r>
        <w:t xml:space="preserve">) presents 25 horizontally scrollable category filter pills—each displaying a colored dot indicator alongside the category name. The</w:t>
      </w:r>
      <w:r>
        <w:t xml:space="preserve"> </w:t>
      </w:r>
      <w:r>
        <w:t xml:space="preserve">“</w:t>
      </w:r>
      <w:r>
        <w:t xml:space="preserve">All</w:t>
      </w:r>
      <w:r>
        <w:t xml:space="preserve">”</w:t>
      </w:r>
      <w:r>
        <w:t xml:space="preserve"> </w:t>
      </w:r>
      <w:r>
        <w:t xml:space="preserve">pill defaults to active with gold styling, while individual category pills adopt their respective accent colors when selected. A format toggle group (All / Presets XMP / LUTs CUBE) sits below the category pills, enabling binary filtering by file format.</w:t>
      </w:r>
    </w:p>
    <w:p>
      <w:pPr>
        <w:pStyle w:val="BodyText"/>
      </w:pPr>
      <w:r>
        <w:t xml:space="preserve">The filter logic uses a</w:t>
      </w:r>
      <w:r>
        <w:t xml:space="preserve"> </w:t>
      </w:r>
      <w:r>
        <w:rPr>
          <w:rStyle w:val="VerbatimChar"/>
        </w:rPr>
        <w:t xml:space="preserve">useMemo</w:t>
      </w:r>
      <w:r>
        <w:t xml:space="preserve"> </w:t>
      </w:r>
      <w:r>
        <w:t xml:space="preserve">hook combining three predicate functions:</w:t>
      </w:r>
      <w:r>
        <w:t xml:space="preserve"> </w:t>
      </w:r>
      <w:r>
        <w:rPr>
          <w:rStyle w:val="VerbatimChar"/>
        </w:rPr>
        <w:t xml:space="preserve">matchesSearch</w:t>
      </w:r>
      <w:r>
        <w:t xml:space="preserve"> </w:t>
      </w:r>
      <w:r>
        <w:t xml:space="preserve">(case-insensitive string inclusion across name, category, and mood),</w:t>
      </w:r>
      <w:r>
        <w:t xml:space="preserve"> </w:t>
      </w:r>
      <w:r>
        <w:rPr>
          <w:rStyle w:val="VerbatimChar"/>
        </w:rPr>
        <w:t xml:space="preserve">matchesCategory</w:t>
      </w:r>
      <w:r>
        <w:t xml:space="preserve"> </w:t>
      </w:r>
      <w:r>
        <w:t xml:space="preserve">(exact category ID match), and</w:t>
      </w:r>
      <w:r>
        <w:t xml:space="preserve"> </w:t>
      </w:r>
      <w:r>
        <w:rPr>
          <w:rStyle w:val="VerbatimChar"/>
        </w:rPr>
        <w:t xml:space="preserve">matchesFormat</w:t>
      </w:r>
      <w:r>
        <w:t xml:space="preserve"> </w:t>
      </w:r>
      <w:r>
        <w:t xml:space="preserve">(exact format match). Results update reactively as the user types or selects filters, with the visible item count reset to</w:t>
      </w:r>
      <w:r>
        <w:t xml:space="preserve"> </w:t>
      </w:r>
      <w:r>
        <w:rPr>
          <w:rStyle w:val="VerbatimChar"/>
        </w:rPr>
        <w:t xml:space="preserve">ITEMS_PER_PAGE</w:t>
      </w:r>
      <w:r>
        <w:t xml:space="preserve"> </w:t>
      </w:r>
      <w:r>
        <w:t xml:space="preserve">(24) on each filter change. Pagination uses a</w:t>
      </w:r>
      <w:r>
        <w:t xml:space="preserve"> </w:t>
      </w:r>
      <w:r>
        <w:t xml:space="preserve">“</w:t>
      </w:r>
      <w:r>
        <w:t xml:space="preserve">Load More</w:t>
      </w:r>
      <w:r>
        <w:t xml:space="preserve">”</w:t>
      </w:r>
      <w:r>
        <w:t xml:space="preserve"> </w:t>
      </w:r>
      <w:r>
        <w:t xml:space="preserve">pattern rather than page numbers, revealing 24 additional items per click until all results are displayed.</w:t>
      </w:r>
    </w:p>
    <w:p>
      <w:pPr>
        <w:pStyle w:val="BodyText"/>
      </w:pPr>
      <w:r>
        <w:t xml:space="preserve">Preset cards render in a responsive grid (</w:t>
      </w:r>
      <w:r>
        <w:rPr>
          <w:rStyle w:val="VerbatimChar"/>
        </w:rPr>
        <w:t xml:space="preserve">1-col</w:t>
      </w:r>
      <w:r>
        <w:t xml:space="preserve"> </w:t>
      </w:r>
      <w:r>
        <w:t xml:space="preserve">mobile,</w:t>
      </w:r>
      <w:r>
        <w:t xml:space="preserve"> </w:t>
      </w:r>
      <w:r>
        <w:rPr>
          <w:rStyle w:val="VerbatimChar"/>
        </w:rPr>
        <w:t xml:space="preserve">2-col</w:t>
      </w:r>
      <w:r>
        <w:t xml:space="preserve"> </w:t>
      </w:r>
      <w:r>
        <w:t xml:space="preserve">tablet,</w:t>
      </w:r>
      <w:r>
        <w:t xml:space="preserve"> </w:t>
      </w:r>
      <w:r>
        <w:rPr>
          <w:rStyle w:val="VerbatimChar"/>
        </w:rPr>
        <w:t xml:space="preserve">3-col</w:t>
      </w:r>
      <w:r>
        <w:t xml:space="preserve"> </w:t>
      </w:r>
      <w:r>
        <w:t xml:space="preserve">desktop,</w:t>
      </w:r>
      <w:r>
        <w:t xml:space="preserve"> </w:t>
      </w:r>
      <w:r>
        <w:rPr>
          <w:rStyle w:val="VerbatimChar"/>
        </w:rPr>
        <w:t xml:space="preserve">4-col</w:t>
      </w:r>
      <w:r>
        <w:t xml:space="preserve"> </w:t>
      </w:r>
      <w:r>
        <w:t xml:space="preserve">ultra-wide) with glassmorphism styling. Each card’s thumbnail area uses radial gradients derived from the category accent color layered over the</w:t>
      </w:r>
      <w:r>
        <w:t xml:space="preserve"> </w:t>
      </w:r>
      <w:r>
        <w:rPr>
          <w:rStyle w:val="VerbatimChar"/>
        </w:rPr>
        <w:t xml:space="preserve">#0A0A0F</w:t>
      </w:r>
      <w:r>
        <w:t xml:space="preserve"> </w:t>
      </w:r>
      <w:r>
        <w:t xml:space="preserve">to</w:t>
      </w:r>
      <w:r>
        <w:t xml:space="preserve"> </w:t>
      </w:r>
      <w:r>
        <w:rPr>
          <w:rStyle w:val="VerbatimChar"/>
        </w:rPr>
        <w:t xml:space="preserve">#1A1A24</w:t>
      </w:r>
      <w:r>
        <w:t xml:space="preserve"> </w:t>
      </w:r>
      <w:r>
        <w:t xml:space="preserve">base, creating a unique color signature for every item without requiring external thumbnail assets. Format badges (</w:t>
      </w:r>
      <w:r>
        <w:t xml:space="preserve">“</w:t>
      </w:r>
      <w:r>
        <w:t xml:space="preserve">XMP</w:t>
      </w:r>
      <w:r>
        <w:t xml:space="preserve">”</w:t>
      </w:r>
      <w:r>
        <w:t xml:space="preserve"> </w:t>
      </w:r>
      <w:r>
        <w:t xml:space="preserve">or</w:t>
      </w:r>
      <w:r>
        <w:t xml:space="preserve"> </w:t>
      </w:r>
      <w:r>
        <w:t xml:space="preserve">“</w:t>
      </w:r>
      <w:r>
        <w:t xml:space="preserve">CUBE</w:t>
      </w:r>
      <w:r>
        <w:t xml:space="preserve">”</w:t>
      </w:r>
      <w:r>
        <w:t xml:space="preserve">) appear in JetBrains Mono at</w:t>
      </w:r>
      <w:r>
        <w:t xml:space="preserve"> </w:t>
      </w:r>
      <w:r>
        <w:rPr>
          <w:rStyle w:val="VerbatimChar"/>
        </w:rPr>
        <w:t xml:space="preserve">11px</w:t>
      </w:r>
      <w:r>
        <w:t xml:space="preserve"> </w:t>
      </w:r>
      <w:r>
        <w:t xml:space="preserve">with a glass backdrop. A toast notification system via</w:t>
      </w:r>
      <w:r>
        <w:t xml:space="preserve"> </w:t>
      </w:r>
      <w:r>
        <w:rPr>
          <w:rStyle w:val="VerbatimChar"/>
        </w:rPr>
        <w:t xml:space="preserve">sonner</w:t>
      </w:r>
      <w:r>
        <w:t xml:space="preserve"> </w:t>
      </w:r>
      <w:r>
        <w:t xml:space="preserve">provides feedback when a user clicks a preset card, displaying the preset name and category in a dark-themed toast positioned at the bottom-right.</w:t>
      </w:r>
    </w:p>
    <w:p>
      <w:pPr>
        <w:pStyle w:val="BodyText"/>
      </w:pPr>
      <w:r>
        <w:t xml:space="preserve">Below the grid, a</w:t>
      </w:r>
      <w:r>
        <w:t xml:space="preserve"> </w:t>
      </w:r>
      <w:r>
        <w:rPr>
          <w:bCs/>
          <w:b/>
        </w:rPr>
        <w:t xml:space="preserve">Featured Collections</w:t>
      </w:r>
      <w:r>
        <w:t xml:space="preserve"> </w:t>
      </w:r>
      <w:r>
        <w:t xml:space="preserve">section presents 3 curated collection cards—</w:t>
      </w:r>
      <w:r>
        <w:t xml:space="preserve">“</w:t>
      </w:r>
      <w:r>
        <w:t xml:space="preserve">Cinema Classics</w:t>
      </w:r>
      <w:r>
        <w:t xml:space="preserve">”</w:t>
      </w:r>
      <w:r>
        <w:t xml:space="preserve"> </w:t>
      </w:r>
      <w:r>
        <w:t xml:space="preserve">(36 items),</w:t>
      </w:r>
      <w:r>
        <w:t xml:space="preserve"> </w:t>
      </w:r>
      <w:r>
        <w:t xml:space="preserve">“</w:t>
      </w:r>
      <w:r>
        <w:t xml:space="preserve">Modern Creator</w:t>
      </w:r>
      <w:r>
        <w:t xml:space="preserve">”</w:t>
      </w:r>
      <w:r>
        <w:t xml:space="preserve"> </w:t>
      </w:r>
      <w:r>
        <w:t xml:space="preserve">(48 items), and</w:t>
      </w:r>
      <w:r>
        <w:t xml:space="preserve"> </w:t>
      </w:r>
      <w:r>
        <w:t xml:space="preserve">“</w:t>
      </w:r>
      <w:r>
        <w:t xml:space="preserve">Luxury &amp; Editorial</w:t>
      </w:r>
      <w:r>
        <w:t xml:space="preserve">”</w:t>
      </w:r>
      <w:r>
        <w:t xml:space="preserve"> </w:t>
      </w:r>
      <w:r>
        <w:t xml:space="preserve">(42 items)—each with a multi-color gradient montage thumbnail and descriptive copy.</w:t>
      </w:r>
    </w:p>
    <w:bookmarkEnd w:id="123"/>
    <w:bookmarkStart w:id="124" w:name="preview-page"/>
    <w:p>
      <w:pPr>
        <w:pStyle w:val="Heading4"/>
      </w:pPr>
      <w:r>
        <w:t xml:space="preserve">7.2.3 Preview Page</w:t>
      </w:r>
    </w:p>
    <w:p>
      <w:pPr>
        <w:pStyle w:val="FirstParagraph"/>
      </w:pPr>
      <w:r>
        <w:t xml:space="preserve">The Preview page (</w:t>
      </w:r>
      <w:r>
        <w:rPr>
          <w:rStyle w:val="VerbatimChar"/>
        </w:rPr>
        <w:t xml:space="preserve">/#/preview</w:t>
      </w:r>
      <w:r>
        <w:t xml:space="preserve">) provides an interactive before/after comparison tool built around a draggable slider component. Three image pairs are included: a portrait graded with the</w:t>
      </w:r>
      <w:r>
        <w:t xml:space="preserve"> </w:t>
      </w:r>
      <w:r>
        <w:t xml:space="preserve">“</w:t>
      </w:r>
      <w:r>
        <w:t xml:space="preserve">Golden Editorial 01</w:t>
      </w:r>
      <w:r>
        <w:t xml:space="preserve">”</w:t>
      </w:r>
      <w:r>
        <w:t xml:space="preserve"> </w:t>
      </w:r>
      <w:r>
        <w:t xml:space="preserve">preset, a landscape with</w:t>
      </w:r>
      <w:r>
        <w:t xml:space="preserve"> </w:t>
      </w:r>
      <w:r>
        <w:t xml:space="preserve">“</w:t>
      </w:r>
      <w:r>
        <w:t xml:space="preserve">Neo Noir Cinema,</w:t>
      </w:r>
      <w:r>
        <w:t xml:space="preserve">”</w:t>
      </w:r>
      <w:r>
        <w:t xml:space="preserve"> </w:t>
      </w:r>
      <w:r>
        <w:t xml:space="preserve">and a Tokyo street scene with</w:t>
      </w:r>
      <w:r>
        <w:t xml:space="preserve"> </w:t>
      </w:r>
      <w:r>
        <w:t xml:space="preserve">“</w:t>
      </w:r>
      <w:r>
        <w:t xml:space="preserve">Tokyo Night Neon.</w:t>
      </w:r>
      <w:r>
        <w:t xml:space="preserve">”</w:t>
      </w:r>
      <w:r>
        <w:t xml:space="preserve"> </w:t>
      </w:r>
      <w:r>
        <w:t xml:space="preserve">Each pair exposes 8 parameter values (Exposure, Contrast, Highlights, Shadows, Saturation, Temperature, Tint, Grain) rendered as animated horizontal bars with warm (</w:t>
      </w:r>
      <w:r>
        <w:rPr>
          <w:rStyle w:val="VerbatimChar"/>
        </w:rPr>
        <w:t xml:space="preserve">#FF6B35 → #D4AF37</w:t>
      </w:r>
      <w:r>
        <w:t xml:space="preserve">) or cool (</w:t>
      </w:r>
      <w:r>
        <w:rPr>
          <w:rStyle w:val="VerbatimChar"/>
        </w:rPr>
        <w:t xml:space="preserve">#3A86FF → #00B4D8</w:t>
      </w:r>
      <w:r>
        <w:t xml:space="preserve">) gradients depending on whether the parameter value is positive or negative.</w:t>
      </w:r>
    </w:p>
    <w:p>
      <w:pPr>
        <w:pStyle w:val="BodyText"/>
      </w:pPr>
      <w:r>
        <w:t xml:space="preserve">The</w:t>
      </w:r>
      <w:r>
        <w:t xml:space="preserve"> </w:t>
      </w:r>
      <w:r>
        <w:rPr>
          <w:rStyle w:val="VerbatimChar"/>
        </w:rPr>
        <w:t xml:space="preserve">ComparisonSlider</w:t>
      </w:r>
      <w:r>
        <w:t xml:space="preserve"> </w:t>
      </w:r>
      <w:r>
        <w:t xml:space="preserve">component implements the before/after interaction using Framer Motion’s</w:t>
      </w:r>
      <w:r>
        <w:t xml:space="preserve"> </w:t>
      </w:r>
      <w:r>
        <w:rPr>
          <w:rStyle w:val="VerbatimChar"/>
        </w:rPr>
        <w:t xml:space="preserve">useMotionValue</w:t>
      </w:r>
      <w:r>
        <w:t xml:space="preserve"> </w:t>
      </w:r>
      <w:r>
        <w:t xml:space="preserve">and</w:t>
      </w:r>
      <w:r>
        <w:t xml:space="preserve"> </w:t>
      </w:r>
      <w:r>
        <w:rPr>
          <w:rStyle w:val="VerbatimChar"/>
        </w:rPr>
        <w:t xml:space="preserve">useTransform</w:t>
      </w:r>
      <w:r>
        <w:t xml:space="preserve"> </w:t>
      </w:r>
      <w:r>
        <w:t xml:space="preserve">hooks. The</w:t>
      </w:r>
      <w:r>
        <w:t xml:space="preserve"> </w:t>
      </w:r>
      <w:r>
        <w:t xml:space="preserve">“</w:t>
      </w:r>
      <w:r>
        <w:t xml:space="preserve">after</w:t>
      </w:r>
      <w:r>
        <w:t xml:space="preserve">”</w:t>
      </w:r>
      <w:r>
        <w:t xml:space="preserve"> </w:t>
      </w:r>
      <w:r>
        <w:t xml:space="preserve">image layer is clipped via a dynamic</w:t>
      </w:r>
      <w:r>
        <w:t xml:space="preserve"> </w:t>
      </w:r>
      <w:r>
        <w:rPr>
          <w:rStyle w:val="VerbatimChar"/>
        </w:rPr>
        <w:t xml:space="preserve">clipPath: inset(0 ${100 - v}% 0 0)</w:t>
      </w:r>
      <w:r>
        <w:t xml:space="preserve"> </w:t>
      </w:r>
      <w:r>
        <w:t xml:space="preserve">transform tied to the slider position, which ranges from 0 to 100. Pointer event handlers (</w:t>
      </w:r>
      <w:r>
        <w:rPr>
          <w:rStyle w:val="VerbatimChar"/>
        </w:rPr>
        <w:t xml:space="preserve">onPointerDown</w:t>
      </w:r>
      <w:r>
        <w:t xml:space="preserve">,</w:t>
      </w:r>
      <w:r>
        <w:t xml:space="preserve"> </w:t>
      </w:r>
      <w:r>
        <w:rPr>
          <w:rStyle w:val="VerbatimChar"/>
        </w:rPr>
        <w:t xml:space="preserve">onPointerMove</w:t>
      </w:r>
      <w:r>
        <w:t xml:space="preserve">,</w:t>
      </w:r>
      <w:r>
        <w:t xml:space="preserve"> </w:t>
      </w:r>
      <w:r>
        <w:rPr>
          <w:rStyle w:val="VerbatimChar"/>
        </w:rPr>
        <w:t xml:space="preserve">onPointerUp</w:t>
      </w:r>
      <w:r>
        <w:t xml:space="preserve">) provide drag interaction with</w:t>
      </w:r>
      <w:r>
        <w:t xml:space="preserve"> </w:t>
      </w:r>
      <w:r>
        <w:rPr>
          <w:rStyle w:val="VerbatimChar"/>
        </w:rPr>
        <w:t xml:space="preserve">col-resize</w:t>
      </w:r>
      <w:r>
        <w:t xml:space="preserve"> </w:t>
      </w:r>
      <w:r>
        <w:t xml:space="preserve">cursor feedback, while a keyboard handler enables 5% incremental adjustment via left/right arrow keys. The slider handle renders as a</w:t>
      </w:r>
      <w:r>
        <w:t xml:space="preserve"> </w:t>
      </w:r>
      <w:r>
        <w:rPr>
          <w:rStyle w:val="VerbatimChar"/>
        </w:rPr>
        <w:t xml:space="preserve">3px</w:t>
      </w:r>
      <w:r>
        <w:t xml:space="preserve"> </w:t>
      </w:r>
      <w:r>
        <w:t xml:space="preserve">white vertical line with a</w:t>
      </w:r>
      <w:r>
        <w:t xml:space="preserve"> </w:t>
      </w:r>
      <w:r>
        <w:rPr>
          <w:rStyle w:val="VerbatimChar"/>
        </w:rPr>
        <w:t xml:space="preserve">48px</w:t>
      </w:r>
      <w:r>
        <w:t xml:space="preserve"> </w:t>
      </w:r>
      <w:r>
        <w:t xml:space="preserve">circular thumb containing directional arrows.</w:t>
      </w:r>
      <w:r>
        <w:t xml:space="preserve"> </w:t>
      </w:r>
      <w:r>
        <w:t xml:space="preserve">“</w:t>
      </w:r>
      <w:r>
        <w:t xml:space="preserve">BEFORE</w:t>
      </w:r>
      <w:r>
        <w:t xml:space="preserve">”</w:t>
      </w:r>
      <w:r>
        <w:t xml:space="preserve"> </w:t>
      </w:r>
      <w:r>
        <w:t xml:space="preserve">and</w:t>
      </w:r>
      <w:r>
        <w:t xml:space="preserve"> </w:t>
      </w:r>
      <w:r>
        <w:t xml:space="preserve">“</w:t>
      </w:r>
      <w:r>
        <w:t xml:space="preserve">AFTER</w:t>
      </w:r>
      <w:r>
        <w:t xml:space="preserve">”</w:t>
      </w:r>
      <w:r>
        <w:t xml:space="preserve"> </w:t>
      </w:r>
      <w:r>
        <w:t xml:space="preserve">labels in JetBrains Mono</w:t>
      </w:r>
      <w:r>
        <w:t xml:space="preserve"> </w:t>
      </w:r>
      <w:r>
        <w:rPr>
          <w:rStyle w:val="VerbatimChar"/>
        </w:rPr>
        <w:t xml:space="preserve">12px</w:t>
      </w:r>
      <w:r>
        <w:t xml:space="preserve"> </w:t>
      </w:r>
      <w:r>
        <w:t xml:space="preserve">are positioned at the bottom corners over</w:t>
      </w:r>
      <w:r>
        <w:t xml:space="preserve"> </w:t>
      </w:r>
      <w:r>
        <w:rPr>
          <w:rStyle w:val="VerbatimChar"/>
        </w:rPr>
        <w:t xml:space="preserve">rgba(0,0,0,0.5)</w:t>
      </w:r>
      <w:r>
        <w:t xml:space="preserve"> </w:t>
      </w:r>
      <w:r>
        <w:t xml:space="preserve">pill backgrounds.</w:t>
      </w:r>
    </w:p>
    <w:p>
      <w:pPr>
        <w:pStyle w:val="BodyText"/>
      </w:pPr>
      <w:r>
        <w:t xml:space="preserve">A right sidebar (</w:t>
      </w:r>
      <w:r>
        <w:rPr>
          <w:rStyle w:val="VerbatimChar"/>
        </w:rPr>
        <w:t xml:space="preserve">320px</w:t>
      </w:r>
      <w:r>
        <w:t xml:space="preserve"> </w:t>
      </w:r>
      <w:r>
        <w:t xml:space="preserve">on desktop, collapsing to full-width on mobile) presents the active preset’s metadata: category badge with color indicator, format badges, a thumbnail selector for switching between the 3 image pairs, parameter bars, and action buttons for download (primary), favorite (toggleable heart), and share. Below the comparison area, a horizontal scroll carousel shows 4 related presets with category-color coding and format labels.</w:t>
      </w:r>
    </w:p>
    <w:bookmarkEnd w:id="124"/>
    <w:bookmarkStart w:id="125" w:name="ai-assistant-page"/>
    <w:p>
      <w:pPr>
        <w:pStyle w:val="Heading4"/>
      </w:pPr>
      <w:r>
        <w:t xml:space="preserve">7.2.4 AI Assistant Page</w:t>
      </w:r>
    </w:p>
    <w:p>
      <w:pPr>
        <w:pStyle w:val="FirstParagraph"/>
      </w:pPr>
      <w:r>
        <w:t xml:space="preserve">The AI Assistant page (</w:t>
      </w:r>
      <w:r>
        <w:rPr>
          <w:rStyle w:val="VerbatimChar"/>
        </w:rPr>
        <w:t xml:space="preserve">/#/assistant</w:t>
      </w:r>
      <w:r>
        <w:t xml:space="preserve">) simulates an intelligent color matching interface with a two-panel layout. The left panel contains a textarea (max 300 characters, with live character counter in JetBrains Mono) for describing the desired look, an 8-option mood selector grid (Cinematic, Moody, Bright, Vintage, Dark, Dreamy, Bold, Natural), and a gradient-blue submit button. Four example prompts appear below the input area as clickable blue text triggers.</w:t>
      </w:r>
    </w:p>
    <w:p>
      <w:pPr>
        <w:pStyle w:val="BodyText"/>
      </w:pPr>
      <w:r>
        <w:t xml:space="preserve">When the user submits a description or selects moods, the interface enters a 2.5-second simulated analysis phase: the submit button displays a spinning</w:t>
      </w:r>
      <w:r>
        <w:t xml:space="preserve"> </w:t>
      </w:r>
      <w:r>
        <w:rPr>
          <w:rStyle w:val="VerbatimChar"/>
        </w:rPr>
        <w:t xml:space="preserve">Loader2</w:t>
      </w:r>
      <w:r>
        <w:t xml:space="preserve"> </w:t>
      </w:r>
      <w:r>
        <w:t xml:space="preserve">icon with</w:t>
      </w:r>
      <w:r>
        <w:t xml:space="preserve"> </w:t>
      </w:r>
      <w:r>
        <w:t xml:space="preserve">“</w:t>
      </w:r>
      <w:r>
        <w:t xml:space="preserve">Analyzing…</w:t>
      </w:r>
      <w:r>
        <w:t xml:space="preserve">”</w:t>
      </w:r>
      <w:r>
        <w:t xml:space="preserve"> </w:t>
      </w:r>
      <w:r>
        <w:t xml:space="preserve">text, the results panel shows a rotating loader with</w:t>
      </w:r>
      <w:r>
        <w:t xml:space="preserve"> </w:t>
      </w:r>
      <w:r>
        <w:t xml:space="preserve">“</w:t>
      </w:r>
      <w:r>
        <w:t xml:space="preserve">Analyzing your preferences…</w:t>
      </w:r>
      <w:r>
        <w:t xml:space="preserve">”</w:t>
      </w:r>
      <w:r>
        <w:t xml:space="preserve"> </w:t>
      </w:r>
      <w:r>
        <w:t xml:space="preserve">copy and animated thinking dots, and three shimmer placeholder cards animate a</w:t>
      </w:r>
      <w:r>
        <w:t xml:space="preserve"> </w:t>
      </w:r>
      <w:r>
        <w:rPr>
          <w:rStyle w:val="VerbatimChar"/>
        </w:rPr>
        <w:t xml:space="preserve">background-position</w:t>
      </w:r>
      <w:r>
        <w:t xml:space="preserve"> </w:t>
      </w:r>
      <w:r>
        <w:t xml:space="preserve">sweep in an infinite loop. The</w:t>
      </w:r>
      <w:r>
        <w:t xml:space="preserve"> </w:t>
      </w:r>
      <w:r>
        <w:rPr>
          <w:rStyle w:val="VerbatimChar"/>
        </w:rPr>
        <w:t xml:space="preserve">generateMockResults</w:t>
      </w:r>
      <w:r>
        <w:t xml:space="preserve"> </w:t>
      </w:r>
      <w:r>
        <w:t xml:space="preserve">function then parses the input for keywords (</w:t>
      </w:r>
      <w:r>
        <w:t xml:space="preserve">“</w:t>
      </w:r>
      <w:r>
        <w:t xml:space="preserve">wedding</w:t>
      </w:r>
      <w:r>
        <w:t xml:space="preserve">”</w:t>
      </w:r>
      <w:r>
        <w:t xml:space="preserve">,</w:t>
      </w:r>
      <w:r>
        <w:t xml:space="preserve"> </w:t>
      </w:r>
      <w:r>
        <w:t xml:space="preserve">“</w:t>
      </w:r>
      <w:r>
        <w:t xml:space="preserve">cyberpunk</w:t>
      </w:r>
      <w:r>
        <w:t xml:space="preserve">”</w:t>
      </w:r>
      <w:r>
        <w:t xml:space="preserve">,</w:t>
      </w:r>
      <w:r>
        <w:t xml:space="preserve"> </w:t>
      </w:r>
      <w:r>
        <w:t xml:space="preserve">“</w:t>
      </w:r>
      <w:r>
        <w:t xml:space="preserve">film</w:t>
      </w:r>
      <w:r>
        <w:t xml:space="preserve">”</w:t>
      </w:r>
      <w:r>
        <w:t xml:space="preserve">,</w:t>
      </w:r>
      <w:r>
        <w:t xml:space="preserve"> </w:t>
      </w:r>
      <w:r>
        <w:t xml:space="preserve">“</w:t>
      </w:r>
      <w:r>
        <w:t xml:space="preserve">luxury</w:t>
      </w:r>
      <w:r>
        <w:t xml:space="preserve">”</w:t>
      </w:r>
      <w:r>
        <w:t xml:space="preserve">) and mood selections to return 3 ranked</w:t>
      </w:r>
      <w:r>
        <w:t xml:space="preserve"> </w:t>
      </w:r>
      <w:r>
        <w:rPr>
          <w:rStyle w:val="VerbatimChar"/>
        </w:rPr>
        <w:t xml:space="preserve">MatchResult</w:t>
      </w:r>
      <w:r>
        <w:t xml:space="preserve"> </w:t>
      </w:r>
      <w:r>
        <w:t xml:space="preserve">objects with scores ranging from 78% to 96%. Each result card displays a circular SVG match score indicator (gold stroke for scores above 80%, blue for 50–80%), the preset thumbnail, category badge with accent color, a match reason explanation, and descriptive tags in blue pill format.</w:t>
      </w:r>
    </w:p>
    <w:p>
      <w:pPr>
        <w:pStyle w:val="BodyText"/>
      </w:pPr>
      <w:r>
        <w:t xml:space="preserve">A</w:t>
      </w:r>
      <w:r>
        <w:t xml:space="preserve"> </w:t>
      </w:r>
      <w:r>
        <w:t xml:space="preserve">“</w:t>
      </w:r>
      <w:r>
        <w:t xml:space="preserve">How It Works</w:t>
      </w:r>
      <w:r>
        <w:t xml:space="preserve">”</w:t>
      </w:r>
      <w:r>
        <w:t xml:space="preserve"> </w:t>
      </w:r>
      <w:r>
        <w:t xml:space="preserve">section below the interface explains the 3-step matching pipeline (Analyze Input → Match Parameters → Ranked Results) with icon-accented step cards in a 3-column grid.</w:t>
      </w:r>
    </w:p>
    <w:bookmarkEnd w:id="125"/>
    <w:bookmarkStart w:id="126" w:name="pricing-page"/>
    <w:p>
      <w:pPr>
        <w:pStyle w:val="Heading4"/>
      </w:pPr>
      <w:r>
        <w:t xml:space="preserve">7.2.5 Pricing Page</w:t>
      </w:r>
    </w:p>
    <w:p>
      <w:pPr>
        <w:pStyle w:val="FirstParagraph"/>
      </w:pPr>
      <w:r>
        <w:t xml:space="preserve">The Pricing page (</w:t>
      </w:r>
      <w:r>
        <w:rPr>
          <w:rStyle w:val="VerbatimChar"/>
        </w:rPr>
        <w:t xml:space="preserve">/#/pricing</w:t>
      </w:r>
      <w:r>
        <w:t xml:space="preserve">) presents a 3-tier subscription structure:</w:t>
      </w:r>
      <w:r>
        <w:t xml:space="preserve"> </w:t>
      </w:r>
      <w:r>
        <w:rPr>
          <w:bCs/>
          <w:b/>
        </w:rPr>
        <w:t xml:space="preserve">Starter</w:t>
      </w:r>
      <w:r>
        <w:t xml:space="preserve"> </w:t>
      </w:r>
      <w:r>
        <w:t xml:space="preserve">(free, 25 presets across 5 categories, basic preview, community support),</w:t>
      </w:r>
      <w:r>
        <w:t xml:space="preserve"> </w:t>
      </w:r>
      <w:r>
        <w:rPr>
          <w:bCs/>
          <w:b/>
        </w:rPr>
        <w:t xml:space="preserve">Pro</w:t>
      </w:r>
      <w:r>
        <w:t xml:space="preserve"> </w:t>
      </w:r>
      <w:r>
        <w:t xml:space="preserve">($29/month, all 125 presets and 125 LUTs, AI Assistant with 50 monthly queries, priority support, commercial license), and</w:t>
      </w:r>
      <w:r>
        <w:t xml:space="preserve"> </w:t>
      </w:r>
      <w:r>
        <w:rPr>
          <w:bCs/>
          <w:b/>
        </w:rPr>
        <w:t xml:space="preserve">Studio</w:t>
      </w:r>
      <w:r>
        <w:t xml:space="preserve"> </w:t>
      </w:r>
      <w:r>
        <w:t xml:space="preserve">($79/month, everything in Pro plus 5 team seats, custom LUT generation, API access, dedicated account manager, unlimited AI queries). The Pro tier is visually emphasized with a gold gradient top border,</w:t>
      </w:r>
      <w:r>
        <w:t xml:space="preserve"> </w:t>
      </w:r>
      <w:r>
        <w:rPr>
          <w:rStyle w:val="VerbatimChar"/>
        </w:rPr>
        <w:t xml:space="preserve">1px solid rgba(212,175,55,0.3)</w:t>
      </w:r>
      <w:r>
        <w:t xml:space="preserve"> </w:t>
      </w:r>
      <w:r>
        <w:t xml:space="preserve">card border, and a</w:t>
      </w:r>
      <w:r>
        <w:t xml:space="preserve"> </w:t>
      </w:r>
      <w:r>
        <w:t xml:space="preserve">“</w:t>
      </w:r>
      <w:r>
        <w:t xml:space="preserve">Most Popular</w:t>
      </w:r>
      <w:r>
        <w:t xml:space="preserve">”</w:t>
      </w:r>
      <w:r>
        <w:t xml:space="preserve"> </w:t>
      </w:r>
      <w:r>
        <w:t xml:space="preserve">badge. A monthly/yearly billing toggle (with</w:t>
      </w:r>
      <w:r>
        <w:t xml:space="preserve"> </w:t>
      </w:r>
      <w:r>
        <w:t xml:space="preserve">“</w:t>
      </w:r>
      <w:r>
        <w:t xml:space="preserve">Save 20%</w:t>
      </w:r>
      <w:r>
        <w:t xml:space="preserve">”</w:t>
      </w:r>
      <w:r>
        <w:t xml:space="preserve"> </w:t>
      </w:r>
      <w:r>
        <w:t xml:space="preserve">label) adjusts displayed prices via Framer Motion’s</w:t>
      </w:r>
      <w:r>
        <w:t xml:space="preserve"> </w:t>
      </w:r>
      <w:r>
        <w:rPr>
          <w:rStyle w:val="VerbatimChar"/>
        </w:rPr>
        <w:t xml:space="preserve">AnimatePresence</w:t>
      </w:r>
      <w:r>
        <w:t xml:space="preserve">.</w:t>
      </w:r>
    </w:p>
    <w:p>
      <w:pPr>
        <w:pStyle w:val="BodyText"/>
      </w:pPr>
      <w:r>
        <w:t xml:space="preserve">Below the pricing cards, a full feature comparison table organizes 16 features across 4 categories (Collection, Tools, Support, Licensing) with Starter, Pro, and Studio columns. Features render with animated checkmarks (gold for included, muted X for excluded) or string values for tier-limited capabilities. An FAQ accordion using Radix UI’s</w:t>
      </w:r>
      <w:r>
        <w:t xml:space="preserve"> </w:t>
      </w:r>
      <w:r>
        <w:rPr>
          <w:rStyle w:val="VerbatimChar"/>
        </w:rPr>
        <w:t xml:space="preserve">Accordion.Root</w:t>
      </w:r>
      <w:r>
        <w:t xml:space="preserve"> </w:t>
      </w:r>
      <w:r>
        <w:t xml:space="preserve">component addresses 8 common questions covering formats, licensing, installation, refunds, updates, tier switching, AI Assistant functionality, and educational discounts.</w:t>
      </w:r>
    </w:p>
    <w:bookmarkEnd w:id="126"/>
    <w:bookmarkStart w:id="127" w:name="dashboard-page"/>
    <w:p>
      <w:pPr>
        <w:pStyle w:val="Heading4"/>
      </w:pPr>
      <w:r>
        <w:t xml:space="preserve">7.2.6 Dashboard Page</w:t>
      </w:r>
    </w:p>
    <w:p>
      <w:pPr>
        <w:pStyle w:val="FirstParagraph"/>
      </w:pPr>
      <w:r>
        <w:t xml:space="preserve">The Dashboard page (</w:t>
      </w:r>
      <w:r>
        <w:rPr>
          <w:rStyle w:val="VerbatimChar"/>
        </w:rPr>
        <w:t xml:space="preserve">/#/dashboard</w:t>
      </w:r>
      <w:r>
        <w:t xml:space="preserve">) implements a sidebar-layout application shell with 6 tabbed views managed by Radix UI’s</w:t>
      </w:r>
      <w:r>
        <w:t xml:space="preserve"> </w:t>
      </w:r>
      <w:r>
        <w:rPr>
          <w:rStyle w:val="VerbatimChar"/>
        </w:rPr>
        <w:t xml:space="preserve">Tabs.Root</w:t>
      </w:r>
      <w:r>
        <w:t xml:space="preserve">. The</w:t>
      </w:r>
      <w:r>
        <w:t xml:space="preserve"> </w:t>
      </w:r>
      <w:r>
        <w:rPr>
          <w:bCs/>
          <w:b/>
        </w:rPr>
        <w:t xml:space="preserve">desktop sidebar</w:t>
      </w:r>
      <w:r>
        <w:t xml:space="preserve"> </w:t>
      </w:r>
      <w:r>
        <w:t xml:space="preserve">(collapsible from</w:t>
      </w:r>
      <w:r>
        <w:t xml:space="preserve"> </w:t>
      </w:r>
      <w:r>
        <w:rPr>
          <w:rStyle w:val="VerbatimChar"/>
        </w:rPr>
        <w:t xml:space="preserve">260px</w:t>
      </w:r>
      <w:r>
        <w:t xml:space="preserve"> </w:t>
      </w:r>
      <w:r>
        <w:t xml:space="preserve">to</w:t>
      </w:r>
      <w:r>
        <w:t xml:space="preserve"> </w:t>
      </w:r>
      <w:r>
        <w:rPr>
          <w:rStyle w:val="VerbatimChar"/>
        </w:rPr>
        <w:t xml:space="preserve">72px</w:t>
      </w:r>
      <w:r>
        <w:t xml:space="preserve"> </w:t>
      </w:r>
      <w:r>
        <w:t xml:space="preserve">width via a circular toggle button) displays the user avatar with gold-gradient initials, the plan badge (</w:t>
      </w:r>
      <w:r>
        <w:t xml:space="preserve">“</w:t>
      </w:r>
      <w:r>
        <w:t xml:space="preserve">Pro</w:t>
      </w:r>
      <w:r>
        <w:t xml:space="preserve">”</w:t>
      </w:r>
      <w:r>
        <w:t xml:space="preserve"> </w:t>
      </w:r>
      <w:r>
        <w:t xml:space="preserve">with crown icon), 6 navigation items (Overview, My Presets, Favorites, Downloads, Activity, Settings), and a cloud sync status indicator showing</w:t>
      </w:r>
      <w:r>
        <w:t xml:space="preserve"> </w:t>
      </w:r>
      <w:r>
        <w:t xml:space="preserve">“</w:t>
      </w:r>
      <w:r>
        <w:t xml:space="preserve">Synced</w:t>
      </w:r>
      <w:r>
        <w:t xml:space="preserve">”</w:t>
      </w:r>
      <w:r>
        <w:t xml:space="preserve"> </w:t>
      </w:r>
      <w:r>
        <w:t xml:space="preserve">in green with a timestamp. The</w:t>
      </w:r>
      <w:r>
        <w:t xml:space="preserve"> </w:t>
      </w:r>
      <w:r>
        <w:rPr>
          <w:bCs/>
          <w:b/>
        </w:rPr>
        <w:t xml:space="preserve">mobile sidebar</w:t>
      </w:r>
      <w:r>
        <w:t xml:space="preserve"> </w:t>
      </w:r>
      <w:r>
        <w:t xml:space="preserve">renders as a slide-in drawer with</w:t>
      </w:r>
      <w:r>
        <w:t xml:space="preserve"> </w:t>
      </w:r>
      <w:r>
        <w:rPr>
          <w:rStyle w:val="VerbatimChar"/>
        </w:rPr>
        <w:t xml:space="preserve">AnimatePresence</w:t>
      </w:r>
      <w:r>
        <w:t xml:space="preserve"> </w:t>
      </w:r>
      <w:r>
        <w:t xml:space="preserve">overlay.</w:t>
      </w:r>
    </w:p>
    <w:p>
      <w:pPr>
        <w:pStyle w:val="BodyText"/>
      </w:pPr>
      <w:r>
        <w:t xml:space="preserve">The</w:t>
      </w:r>
      <w:r>
        <w:t xml:space="preserve"> </w:t>
      </w:r>
      <w:r>
        <w:rPr>
          <w:bCs/>
          <w:b/>
        </w:rPr>
        <w:t xml:space="preserve">Overview tab</w:t>
      </w:r>
      <w:r>
        <w:t xml:space="preserve"> </w:t>
      </w:r>
      <w:r>
        <w:t xml:space="preserve">presents a welcome message, 4 stat cards (Total Downloads, Presets Used, Favorites, Days Active) with color-coded icons, a recent activity timeline with gold dot markers and vertical connecting lines, and a Quick Actions panel with 3 shortcut buttons (Browse Library, Try AI Assistant, View Preview) plus a storage usage mini-bar (1.2 GB / 5 GB at 24%). The</w:t>
      </w:r>
      <w:r>
        <w:t xml:space="preserve"> </w:t>
      </w:r>
      <w:r>
        <w:rPr>
          <w:bCs/>
          <w:b/>
        </w:rPr>
        <w:t xml:space="preserve">My Presets tab</w:t>
      </w:r>
      <w:r>
        <w:t xml:space="preserve"> </w:t>
      </w:r>
      <w:r>
        <w:t xml:space="preserve">provides search, sort (Recent/Name/Category), and category filter pills over a grid of downloaded preset cards. The</w:t>
      </w:r>
      <w:r>
        <w:t xml:space="preserve"> </w:t>
      </w:r>
      <w:r>
        <w:rPr>
          <w:bCs/>
          <w:b/>
        </w:rPr>
        <w:t xml:space="preserve">Favorites tab</w:t>
      </w:r>
      <w:r>
        <w:t xml:space="preserve"> </w:t>
      </w:r>
      <w:r>
        <w:t xml:space="preserve">mirrors this layout with favorited presets and a remove-from-favorites action. The</w:t>
      </w:r>
      <w:r>
        <w:t xml:space="preserve"> </w:t>
      </w:r>
      <w:r>
        <w:rPr>
          <w:bCs/>
          <w:b/>
        </w:rPr>
        <w:t xml:space="preserve">Downloads tab</w:t>
      </w:r>
      <w:r>
        <w:t xml:space="preserve"> </w:t>
      </w:r>
      <w:r>
        <w:t xml:space="preserve">renders presets in a table layout with columns for name, category, format, date, size, and re-download action. The</w:t>
      </w:r>
      <w:r>
        <w:t xml:space="preserve"> </w:t>
      </w:r>
      <w:r>
        <w:rPr>
          <w:bCs/>
          <w:b/>
        </w:rPr>
        <w:t xml:space="preserve">Activity tab</w:t>
      </w:r>
      <w:r>
        <w:t xml:space="preserve"> </w:t>
      </w:r>
      <w:r>
        <w:t xml:space="preserve">shows the full activity timeline with 5 event types (download, favorite, preview, AI query, purchase), each with a color-coded icon. The</w:t>
      </w:r>
      <w:r>
        <w:t xml:space="preserve"> </w:t>
      </w:r>
      <w:r>
        <w:rPr>
          <w:bCs/>
          <w:b/>
        </w:rPr>
        <w:t xml:space="preserve">Settings tab</w:t>
      </w:r>
      <w:r>
        <w:t xml:space="preserve"> </w:t>
      </w:r>
      <w:r>
        <w:t xml:space="preserve">includes profile editing fields, plan management with upgrade button, notification and default format preferences with toggle switches, and a danger zone for account deletion.</w:t>
      </w:r>
    </w:p>
    <w:bookmarkEnd w:id="127"/>
    <w:bookmarkEnd w:id="128"/>
    <w:bookmarkStart w:id="132" w:name="technical-stack"/>
    <w:p>
      <w:pPr>
        <w:pStyle w:val="Heading3"/>
      </w:pPr>
      <w:r>
        <w:t xml:space="preserve">7.3 Technical Stack</w:t>
      </w:r>
    </w:p>
    <w:p>
      <w:pPr>
        <w:pStyle w:val="FirstParagraph"/>
      </w:pPr>
      <w:r>
        <w:t xml:space="preserve">The CINEGRADE LAB platform is built on a modern React-based toolchain optimized for performance, developer experience, and visual fidelity. The architecture follows current industry best practices for single-page applications while leveraging animation and UI primitives that elevate the cinematic design language into interactive reality.</w:t>
      </w:r>
    </w:p>
    <w:bookmarkStart w:id="129" w:name="core-framework-and-build-system"/>
    <w:p>
      <w:pPr>
        <w:pStyle w:val="Heading4"/>
      </w:pPr>
      <w:r>
        <w:t xml:space="preserve">7.3.1 Core Framework and Build System</w:t>
      </w:r>
    </w:p>
    <w:p>
      <w:pPr>
        <w:pStyle w:val="FirstParagraph"/>
      </w:pPr>
      <w:r>
        <w:t xml:space="preserve">At the foundation sits</w:t>
      </w:r>
      <w:r>
        <w:t xml:space="preserve"> </w:t>
      </w:r>
      <w:r>
        <w:rPr>
          <w:bCs/>
          <w:b/>
        </w:rPr>
        <w:t xml:space="preserve">React 19</w:t>
      </w:r>
      <w:r>
        <w:t xml:space="preserve"> </w:t>
      </w:r>
      <w:r>
        <w:t xml:space="preserve">(v19.2.0), the 2024 major release from Meta that introduces the React Compiler for automatic performance optimization and improved WebAssembly integration. React’s dominance in the frontend framework landscape—documented at 44.7% usage among developers in the 2025 Stack Overflow Developer Survey with over 82% usage reported in the State of JS 2024 survey—makes it the de facto standard for component-based user interfaces</w:t>
      </w:r>
      <w:r>
        <w:rPr>
          <w:vertAlign w:val="superscript"/>
        </w:rPr>
        <w:t xml:space="preserve">78</w:t>
      </w:r>
      <w:r>
        <w:t xml:space="preserve">. The choice of React over emerging alternatives reflects the platform’s need for a mature ecosystem with extensive component library compatibility and proven animation integration.</w:t>
      </w:r>
    </w:p>
    <w:p>
      <w:pPr>
        <w:pStyle w:val="BodyText"/>
      </w:pPr>
      <w:r>
        <w:rPr>
          <w:bCs/>
          <w:b/>
        </w:rPr>
        <w:t xml:space="preserve">TypeScript</w:t>
      </w:r>
      <w:r>
        <w:t xml:space="preserve"> </w:t>
      </w:r>
      <w:r>
        <w:t xml:space="preserve">(v5.9.3) provides static type checking across the entire codebase. Type definitions for presets (</w:t>
      </w:r>
      <w:r>
        <w:rPr>
          <w:rStyle w:val="VerbatimChar"/>
        </w:rPr>
        <w:t xml:space="preserve">Preset</w:t>
      </w:r>
      <w:r>
        <w:t xml:space="preserve">,</w:t>
      </w:r>
      <w:r>
        <w:t xml:space="preserve"> </w:t>
      </w:r>
      <w:r>
        <w:rPr>
          <w:rStyle w:val="VerbatimChar"/>
        </w:rPr>
        <w:t xml:space="preserve">PresetFormat</w:t>
      </w:r>
      <w:r>
        <w:t xml:space="preserve">,</w:t>
      </w:r>
      <w:r>
        <w:t xml:space="preserve"> </w:t>
      </w:r>
      <w:r>
        <w:rPr>
          <w:rStyle w:val="VerbatimChar"/>
        </w:rPr>
        <w:t xml:space="preserve">Category</w:t>
      </w:r>
      <w:r>
        <w:t xml:space="preserve">), match results (</w:t>
      </w:r>
      <w:r>
        <w:rPr>
          <w:rStyle w:val="VerbatimChar"/>
        </w:rPr>
        <w:t xml:space="preserve">MatchResult</w:t>
      </w:r>
      <w:r>
        <w:t xml:space="preserve">), dashboard items (</w:t>
      </w:r>
      <w:r>
        <w:rPr>
          <w:rStyle w:val="VerbatimChar"/>
        </w:rPr>
        <w:t xml:space="preserve">ActivityItem</w:t>
      </w:r>
      <w:r>
        <w:t xml:space="preserve">,</w:t>
      </w:r>
      <w:r>
        <w:t xml:space="preserve"> </w:t>
      </w:r>
      <w:r>
        <w:rPr>
          <w:rStyle w:val="VerbatimChar"/>
        </w:rPr>
        <w:t xml:space="preserve">PresetItem</w:t>
      </w:r>
      <w:r>
        <w:t xml:space="preserve">), and component props ensure type safety throughout the 6-page application. This aligns with industry trends: an estimated 78% of React codebases now use TypeScript, and the language’s adoption among frontend developers has risen steadily since 2020</w:t>
      </w:r>
      <w:r>
        <w:rPr>
          <w:vertAlign w:val="superscript"/>
        </w:rPr>
        <w:t xml:space="preserve">79</w:t>
      </w:r>
      <w:r>
        <w:t xml:space="preserve">.</w:t>
      </w:r>
    </w:p>
    <w:p>
      <w:pPr>
        <w:pStyle w:val="BodyText"/>
      </w:pPr>
      <w:r>
        <w:t xml:space="preserve">The build pipeline uses</w:t>
      </w:r>
      <w:r>
        <w:t xml:space="preserve"> </w:t>
      </w:r>
      <w:r>
        <w:rPr>
          <w:bCs/>
          <w:b/>
        </w:rPr>
        <w:t xml:space="preserve">Vite</w:t>
      </w:r>
      <w:r>
        <w:t xml:space="preserve"> </w:t>
      </w:r>
      <w:r>
        <w:t xml:space="preserve">(v7.2.4) with the</w:t>
      </w:r>
      <w:r>
        <w:t xml:space="preserve"> </w:t>
      </w:r>
      <w:r>
        <w:rPr>
          <w:rStyle w:val="VerbatimChar"/>
        </w:rPr>
        <w:t xml:space="preserve">@vitejs/plugin-react</w:t>
      </w:r>
      <w:r>
        <w:t xml:space="preserve"> </w:t>
      </w:r>
      <w:r>
        <w:t xml:space="preserve">plugin. Vite’s native ES modules development server and Rollup-based production bundler deliver significantly faster build times compared to legacy Webpack configurations. By July 2025, Vite surpassed Webpack in weekly npm downloads (32.6M vs 32.1M) and currently maintains approximately 84 million weekly downloads as of early 2026</w:t>
      </w:r>
      <w:r>
        <w:rPr>
          <w:vertAlign w:val="superscript"/>
        </w:rPr>
        <w:t xml:space="preserve">80</w:t>
      </w:r>
      <w:r>
        <w:t xml:space="preserve">. The State of JavaScript 2025 survey reports Vite usage at 84.4% among respondents, closing to within 2 percentage points of Webpack’s 86.4% while achieving a 56% positive sentiment rating compared to Webpack’s 14%</w:t>
      </w:r>
      <w:r>
        <w:rPr>
          <w:vertAlign w:val="superscript"/>
        </w:rPr>
        <w:t xml:space="preserve">81</w:t>
      </w:r>
      <w:r>
        <w:t xml:space="preserve">. The Vite configuration defines a path alias</w:t>
      </w:r>
      <w:r>
        <w:t xml:space="preserve"> </w:t>
      </w:r>
      <w:r>
        <w:rPr>
          <w:rStyle w:val="VerbatimChar"/>
        </w:rPr>
        <w:t xml:space="preserve">@ → ./src</w:t>
      </w:r>
      <w:r>
        <w:t xml:space="preserve"> </w:t>
      </w:r>
      <w:r>
        <w:t xml:space="preserve">for clean module resolution, a</w:t>
      </w:r>
      <w:r>
        <w:t xml:space="preserve"> </w:t>
      </w:r>
      <w:r>
        <w:rPr>
          <w:rStyle w:val="VerbatimChar"/>
        </w:rPr>
        <w:t xml:space="preserve">base: './'</w:t>
      </w:r>
      <w:r>
        <w:t xml:space="preserve"> </w:t>
      </w:r>
      <w:r>
        <w:t xml:space="preserve">setting for static deployment compatibility, and the</w:t>
      </w:r>
      <w:r>
        <w:t xml:space="preserve"> </w:t>
      </w:r>
      <w:r>
        <w:rPr>
          <w:rStyle w:val="VerbatimChar"/>
        </w:rPr>
        <w:t xml:space="preserve">plugin-inspect-react-code</w:t>
      </w:r>
      <w:r>
        <w:t xml:space="preserve"> </w:t>
      </w:r>
      <w:r>
        <w:t xml:space="preserve">plugin for development-time component inspection.</w:t>
      </w:r>
    </w:p>
    <w:p>
      <w:pPr>
        <w:pStyle w:val="BodyText"/>
      </w:pPr>
      <w:r>
        <w:rPr>
          <w:bCs/>
          <w:b/>
        </w:rPr>
        <w:t xml:space="preserve">Tailwind CSS</w:t>
      </w:r>
      <w:r>
        <w:t xml:space="preserve"> </w:t>
      </w:r>
      <w:r>
        <w:t xml:space="preserve">(v3.4.19) handles all styling via utility-class composition. The framework’s utility-first approach—where</w:t>
      </w:r>
      <w:r>
        <w:t xml:space="preserve"> </w:t>
      </w:r>
      <w:r>
        <w:rPr>
          <w:rStyle w:val="VerbatimChar"/>
        </w:rPr>
        <w:t xml:space="preserve">flex</w:t>
      </w:r>
      <w:r>
        <w:t xml:space="preserve">,</w:t>
      </w:r>
      <w:r>
        <w:t xml:space="preserve"> </w:t>
      </w:r>
      <w:r>
        <w:rPr>
          <w:rStyle w:val="VerbatimChar"/>
        </w:rPr>
        <w:t xml:space="preserve">gap-4</w:t>
      </w:r>
      <w:r>
        <w:t xml:space="preserve">,</w:t>
      </w:r>
      <w:r>
        <w:t xml:space="preserve"> </w:t>
      </w:r>
      <w:r>
        <w:rPr>
          <w:rStyle w:val="VerbatimChar"/>
        </w:rPr>
        <w:t xml:space="preserve">text-sm</w:t>
      </w:r>
      <w:r>
        <w:t xml:space="preserve">, and</w:t>
      </w:r>
      <w:r>
        <w:t xml:space="preserve"> </w:t>
      </w:r>
      <w:r>
        <w:rPr>
          <w:rStyle w:val="VerbatimChar"/>
        </w:rPr>
        <w:t xml:space="preserve">bg-blue-600</w:t>
      </w:r>
      <w:r>
        <w:t xml:space="preserve"> </w:t>
      </w:r>
      <w:r>
        <w:t xml:space="preserve">classes compose directly in markup—eliminates the overhead of custom CSS file management and ensures consistent application of the design token system. Tailwind leads the CSS framework category with 37% of developers actively using it according to the State of CSS 2025 survey, commanding 31.1 million weekly downloads—12.5× more than Bootstrap’s 2.5 million</w:t>
      </w:r>
      <w:r>
        <w:rPr>
          <w:vertAlign w:val="superscript"/>
        </w:rPr>
        <w:t xml:space="preserve">82</w:t>
      </w:r>
      <w:r>
        <w:t xml:space="preserve">. The Tailwind configuration extends the default theme with custom colors (</w:t>
      </w:r>
      <w:r>
        <w:rPr>
          <w:rStyle w:val="VerbatimChar"/>
        </w:rPr>
        <w:t xml:space="preserve">bg-dark: #0A0A0F</w:t>
      </w:r>
      <w:r>
        <w:t xml:space="preserve">,</w:t>
      </w:r>
      <w:r>
        <w:t xml:space="preserve"> </w:t>
      </w:r>
      <w:r>
        <w:rPr>
          <w:rStyle w:val="VerbatimChar"/>
        </w:rPr>
        <w:t xml:space="preserve">bg-card: #1A1A24</w:t>
      </w:r>
      <w:r>
        <w:t xml:space="preserve">,</w:t>
      </w:r>
      <w:r>
        <w:t xml:space="preserve"> </w:t>
      </w:r>
      <w:r>
        <w:rPr>
          <w:rStyle w:val="VerbatimChar"/>
        </w:rPr>
        <w:t xml:space="preserve">accent-gold: #D4AF37</w:t>
      </w:r>
      <w:r>
        <w:t xml:space="preserve">,</w:t>
      </w:r>
      <w:r>
        <w:t xml:space="preserve"> </w:t>
      </w:r>
      <w:r>
        <w:rPr>
          <w:rStyle w:val="VerbatimChar"/>
        </w:rPr>
        <w:t xml:space="preserve">accent-blue: #3A86FF</w:t>
      </w:r>
      <w:r>
        <w:t xml:space="preserve">), font families (</w:t>
      </w:r>
      <w:r>
        <w:rPr>
          <w:rStyle w:val="VerbatimChar"/>
        </w:rPr>
        <w:t xml:space="preserve">display: Space Grotesk</w:t>
      </w:r>
      <w:r>
        <w:t xml:space="preserve">,</w:t>
      </w:r>
      <w:r>
        <w:t xml:space="preserve"> </w:t>
      </w:r>
      <w:r>
        <w:rPr>
          <w:rStyle w:val="VerbatimChar"/>
        </w:rPr>
        <w:t xml:space="preserve">body: Inter</w:t>
      </w:r>
      <w:r>
        <w:t xml:space="preserve">,</w:t>
      </w:r>
      <w:r>
        <w:t xml:space="preserve"> </w:t>
      </w:r>
      <w:r>
        <w:rPr>
          <w:rStyle w:val="VerbatimChar"/>
        </w:rPr>
        <w:t xml:space="preserve">mono: JetBrains Mono</w:t>
      </w:r>
      <w:r>
        <w:t xml:space="preserve">), background gradients, and a</w:t>
      </w:r>
      <w:r>
        <w:t xml:space="preserve"> </w:t>
      </w:r>
      <w:r>
        <w:rPr>
          <w:rStyle w:val="VerbatimChar"/>
        </w:rPr>
        <w:t xml:space="preserve">tailwindcss-animate</w:t>
      </w:r>
      <w:r>
        <w:t xml:space="preserve"> </w:t>
      </w:r>
      <w:r>
        <w:t xml:space="preserve">plugin for keyframe animations. The</w:t>
      </w:r>
      <w:r>
        <w:t xml:space="preserve"> </w:t>
      </w:r>
      <w:r>
        <w:rPr>
          <w:rStyle w:val="VerbatimChar"/>
        </w:rPr>
        <w:t xml:space="preserve">darkMode: ["class"]</w:t>
      </w:r>
      <w:r>
        <w:t xml:space="preserve"> </w:t>
      </w:r>
      <w:r>
        <w:t xml:space="preserve">setting ensures the entire UI renders in dark mode by default.</w:t>
      </w:r>
    </w:p>
    <w:p>
      <w:pPr>
        <w:pStyle w:val="BodyText"/>
      </w:pPr>
      <w:r>
        <w:rPr>
          <w:bCs/>
          <w:b/>
        </w:rPr>
        <w:t xml:space="preserve">shadcn/ui</w:t>
      </w:r>
      <w:r>
        <w:t xml:space="preserve"> </w:t>
      </w:r>
      <w:r>
        <w:t xml:space="preserve">components provide the base primitive layer for accessible UI elements. The project includes 40+ shadcn/ui components—</w:t>
      </w:r>
      <w:r>
        <w:rPr>
          <w:rStyle w:val="VerbatimChar"/>
        </w:rPr>
        <w:t xml:space="preserve">accordion</w:t>
      </w:r>
      <w:r>
        <w:t xml:space="preserve">,</w:t>
      </w:r>
      <w:r>
        <w:t xml:space="preserve"> </w:t>
      </w:r>
      <w:r>
        <w:rPr>
          <w:rStyle w:val="VerbatimChar"/>
        </w:rPr>
        <w:t xml:space="preserve">dialog</w:t>
      </w:r>
      <w:r>
        <w:t xml:space="preserve">,</w:t>
      </w:r>
      <w:r>
        <w:t xml:space="preserve"> </w:t>
      </w:r>
      <w:r>
        <w:rPr>
          <w:rStyle w:val="VerbatimChar"/>
        </w:rPr>
        <w:t xml:space="preserve">slider</w:t>
      </w:r>
      <w:r>
        <w:t xml:space="preserve">,</w:t>
      </w:r>
      <w:r>
        <w:t xml:space="preserve"> </w:t>
      </w:r>
      <w:r>
        <w:rPr>
          <w:rStyle w:val="VerbatimChar"/>
        </w:rPr>
        <w:t xml:space="preserve">tabs</w:t>
      </w:r>
      <w:r>
        <w:t xml:space="preserve">,</w:t>
      </w:r>
      <w:r>
        <w:t xml:space="preserve"> </w:t>
      </w:r>
      <w:r>
        <w:rPr>
          <w:rStyle w:val="VerbatimChar"/>
        </w:rPr>
        <w:t xml:space="preserve">badge</w:t>
      </w:r>
      <w:r>
        <w:t xml:space="preserve">,</w:t>
      </w:r>
      <w:r>
        <w:t xml:space="preserve"> </w:t>
      </w:r>
      <w:r>
        <w:rPr>
          <w:rStyle w:val="VerbatimChar"/>
        </w:rPr>
        <w:t xml:space="preserve">input</w:t>
      </w:r>
      <w:r>
        <w:t xml:space="preserve">,</w:t>
      </w:r>
      <w:r>
        <w:t xml:space="preserve"> </w:t>
      </w:r>
      <w:r>
        <w:rPr>
          <w:rStyle w:val="VerbatimChar"/>
        </w:rPr>
        <w:t xml:space="preserve">select</w:t>
      </w:r>
      <w:r>
        <w:t xml:space="preserve">,</w:t>
      </w:r>
      <w:r>
        <w:t xml:space="preserve"> </w:t>
      </w:r>
      <w:r>
        <w:rPr>
          <w:rStyle w:val="VerbatimChar"/>
        </w:rPr>
        <w:t xml:space="preserve">switch</w:t>
      </w:r>
      <w:r>
        <w:t xml:space="preserve">,</w:t>
      </w:r>
      <w:r>
        <w:t xml:space="preserve"> </w:t>
      </w:r>
      <w:r>
        <w:rPr>
          <w:rStyle w:val="VerbatimChar"/>
        </w:rPr>
        <w:t xml:space="preserve">table</w:t>
      </w:r>
      <w:r>
        <w:t xml:space="preserve">,</w:t>
      </w:r>
      <w:r>
        <w:t xml:space="preserve"> </w:t>
      </w:r>
      <w:r>
        <w:rPr>
          <w:rStyle w:val="VerbatimChar"/>
        </w:rPr>
        <w:t xml:space="preserve">scroll-area</w:t>
      </w:r>
      <w:r>
        <w:t xml:space="preserve">,</w:t>
      </w:r>
      <w:r>
        <w:t xml:space="preserve"> </w:t>
      </w:r>
      <w:r>
        <w:rPr>
          <w:rStyle w:val="VerbatimChar"/>
        </w:rPr>
        <w:t xml:space="preserve">separator</w:t>
      </w:r>
      <w:r>
        <w:t xml:space="preserve">,</w:t>
      </w:r>
      <w:r>
        <w:t xml:space="preserve"> </w:t>
      </w:r>
      <w:r>
        <w:rPr>
          <w:rStyle w:val="VerbatimChar"/>
        </w:rPr>
        <w:t xml:space="preserve">sheet</w:t>
      </w:r>
      <w:r>
        <w:t xml:space="preserve">,</w:t>
      </w:r>
      <w:r>
        <w:t xml:space="preserve"> </w:t>
      </w:r>
      <w:r>
        <w:rPr>
          <w:rStyle w:val="VerbatimChar"/>
        </w:rPr>
        <w:t xml:space="preserve">skeleton</w:t>
      </w:r>
      <w:r>
        <w:t xml:space="preserve">,</w:t>
      </w:r>
      <w:r>
        <w:t xml:space="preserve"> </w:t>
      </w:r>
      <w:r>
        <w:rPr>
          <w:rStyle w:val="VerbatimChar"/>
        </w:rPr>
        <w:t xml:space="preserve">sonner</w:t>
      </w:r>
      <w:r>
        <w:t xml:space="preserve">, and others—each styled with Tailwind utilities and built on Radix UI primitives for accessibility (ARIA attributes, keyboard navigation, focus management). This approach avoids the vendor-lock-in of all-in-one component libraries while ensuring that every interactive element meets WCAG accessibility standards.</w:t>
      </w:r>
    </w:p>
    <w:tbl>
      <w:tblPr>
        <w:tblStyle w:val="Table"/>
        <w:tblW w:type="pct" w:w="5000"/>
        <w:tblLook w:firstRow="1" w:lastRow="0" w:firstColumn="0" w:lastColumn="0" w:noHBand="0" w:noVBand="0" w:val="0020"/>
      </w:tblPr>
      <w:tblGrid>
        <w:gridCol w:w="2501"/>
        <w:gridCol w:w="1875"/>
        <w:gridCol w:w="1250"/>
        <w:gridCol w:w="2292"/>
      </w:tblGrid>
      <w:tr>
        <w:trPr>
          <w:tblHeader w:val="true"/>
        </w:trPr>
        <w:tc>
          <w:tcPr/>
          <w:p>
            <w:pPr>
              <w:pStyle w:val="Compact"/>
              <w:jc w:val="left"/>
            </w:pPr>
            <w:r>
              <w:t xml:space="preserve">Technology</w:t>
            </w:r>
          </w:p>
        </w:tc>
        <w:tc>
          <w:tcPr/>
          <w:p>
            <w:pPr>
              <w:pStyle w:val="Compact"/>
              <w:jc w:val="left"/>
            </w:pPr>
            <w:r>
              <w:t xml:space="preserve">Version</w:t>
            </w:r>
          </w:p>
        </w:tc>
        <w:tc>
          <w:tcPr/>
          <w:p>
            <w:pPr>
              <w:pStyle w:val="Compact"/>
              <w:jc w:val="left"/>
            </w:pPr>
            <w:r>
              <w:t xml:space="preserve">Role</w:t>
            </w:r>
          </w:p>
        </w:tc>
        <w:tc>
          <w:tcPr/>
          <w:p>
            <w:pPr>
              <w:pStyle w:val="Compact"/>
              <w:jc w:val="left"/>
            </w:pPr>
            <w:r>
              <w:t xml:space="preserve">Rationale</w:t>
            </w:r>
          </w:p>
        </w:tc>
      </w:tr>
      <w:tr>
        <w:tc>
          <w:tcPr/>
          <w:p>
            <w:pPr>
              <w:pStyle w:val="Compact"/>
              <w:jc w:val="left"/>
            </w:pPr>
            <w:r>
              <w:t xml:space="preserve">React</w:t>
            </w:r>
          </w:p>
        </w:tc>
        <w:tc>
          <w:tcPr/>
          <w:p>
            <w:pPr>
              <w:pStyle w:val="Compact"/>
              <w:jc w:val="left"/>
            </w:pPr>
            <w:r>
              <w:t xml:space="preserve">19.2.0</w:t>
            </w:r>
          </w:p>
        </w:tc>
        <w:tc>
          <w:tcPr/>
          <w:p>
            <w:pPr>
              <w:pStyle w:val="Compact"/>
              <w:jc w:val="left"/>
            </w:pPr>
            <w:r>
              <w:t xml:space="preserve">UI framework</w:t>
            </w:r>
          </w:p>
        </w:tc>
        <w:tc>
          <w:tcPr/>
          <w:p>
            <w:pPr>
              <w:pStyle w:val="Compact"/>
              <w:jc w:val="left"/>
            </w:pPr>
            <w:r>
              <w:t xml:space="preserve">44.7% developer usage</w:t>
            </w:r>
            <w:r>
              <w:t xml:space="preserve"> </w:t>
            </w:r>
            <w:r>
              <w:rPr>
                <w:vertAlign w:val="superscript"/>
              </w:rPr>
              <w:t xml:space="preserve">78</w:t>
            </w:r>
            <w:r>
              <w:t xml:space="preserve">; mature component ecosystem; Framer Motion integration</w:t>
            </w:r>
          </w:p>
        </w:tc>
      </w:tr>
      <w:tr>
        <w:tc>
          <w:tcPr/>
          <w:p>
            <w:pPr>
              <w:pStyle w:val="Compact"/>
              <w:jc w:val="left"/>
            </w:pPr>
            <w:r>
              <w:t xml:space="preserve">TypeScript</w:t>
            </w:r>
          </w:p>
        </w:tc>
        <w:tc>
          <w:tcPr/>
          <w:p>
            <w:pPr>
              <w:pStyle w:val="Compact"/>
              <w:jc w:val="left"/>
            </w:pPr>
            <w:r>
              <w:t xml:space="preserve">5.9.3</w:t>
            </w:r>
          </w:p>
        </w:tc>
        <w:tc>
          <w:tcPr/>
          <w:p>
            <w:pPr>
              <w:pStyle w:val="Compact"/>
              <w:jc w:val="left"/>
            </w:pPr>
            <w:r>
              <w:t xml:space="preserve">Type system</w:t>
            </w:r>
          </w:p>
        </w:tc>
        <w:tc>
          <w:tcPr/>
          <w:p>
            <w:pPr>
              <w:pStyle w:val="Compact"/>
              <w:jc w:val="left"/>
            </w:pPr>
            <w:r>
              <w:t xml:space="preserve">78% of React codebases use TS</w:t>
            </w:r>
            <w:r>
              <w:t xml:space="preserve"> </w:t>
            </w:r>
            <w:r>
              <w:rPr>
                <w:vertAlign w:val="superscript"/>
              </w:rPr>
              <w:t xml:space="preserve">79</w:t>
            </w:r>
            <w:r>
              <w:t xml:space="preserve">; compile-time safety for 250+ item dataset</w:t>
            </w:r>
          </w:p>
        </w:tc>
      </w:tr>
      <w:tr>
        <w:tc>
          <w:tcPr/>
          <w:p>
            <w:pPr>
              <w:pStyle w:val="Compact"/>
              <w:jc w:val="left"/>
            </w:pPr>
            <w:r>
              <w:t xml:space="preserve">Vite</w:t>
            </w:r>
          </w:p>
        </w:tc>
        <w:tc>
          <w:tcPr/>
          <w:p>
            <w:pPr>
              <w:pStyle w:val="Compact"/>
              <w:jc w:val="left"/>
            </w:pPr>
            <w:r>
              <w:t xml:space="preserve">7.2.4</w:t>
            </w:r>
          </w:p>
        </w:tc>
        <w:tc>
          <w:tcPr/>
          <w:p>
            <w:pPr>
              <w:pStyle w:val="Compact"/>
              <w:jc w:val="left"/>
            </w:pPr>
            <w:r>
              <w:t xml:space="preserve">Build tool</w:t>
            </w:r>
          </w:p>
        </w:tc>
        <w:tc>
          <w:tcPr/>
          <w:p>
            <w:pPr>
              <w:pStyle w:val="Compact"/>
              <w:jc w:val="left"/>
            </w:pPr>
            <w:r>
              <w:t xml:space="preserve">84M weekly downloads</w:t>
            </w:r>
            <w:r>
              <w:t xml:space="preserve"> </w:t>
            </w:r>
            <w:r>
              <w:rPr>
                <w:vertAlign w:val="superscript"/>
              </w:rPr>
              <w:t xml:space="preserve">80</w:t>
            </w:r>
            <w:r>
              <w:t xml:space="preserve">; ES modules dev server; faster than Webpack</w:t>
            </w:r>
          </w:p>
        </w:tc>
      </w:tr>
      <w:tr>
        <w:tc>
          <w:tcPr/>
          <w:p>
            <w:pPr>
              <w:pStyle w:val="Compact"/>
              <w:jc w:val="left"/>
            </w:pPr>
            <w:r>
              <w:t xml:space="preserve">Tailwind CSS</w:t>
            </w:r>
          </w:p>
        </w:tc>
        <w:tc>
          <w:tcPr/>
          <w:p>
            <w:pPr>
              <w:pStyle w:val="Compact"/>
              <w:jc w:val="left"/>
            </w:pPr>
            <w:r>
              <w:t xml:space="preserve">3.4.19</w:t>
            </w:r>
          </w:p>
        </w:tc>
        <w:tc>
          <w:tcPr/>
          <w:p>
            <w:pPr>
              <w:pStyle w:val="Compact"/>
              <w:jc w:val="left"/>
            </w:pPr>
            <w:r>
              <w:t xml:space="preserve">Styling</w:t>
            </w:r>
          </w:p>
        </w:tc>
        <w:tc>
          <w:tcPr/>
          <w:p>
            <w:pPr>
              <w:pStyle w:val="Compact"/>
              <w:jc w:val="left"/>
            </w:pPr>
            <w:r>
              <w:t xml:space="preserve">37% developer usage</w:t>
            </w:r>
            <w:r>
              <w:t xml:space="preserve"> </w:t>
            </w:r>
            <w:r>
              <w:rPr>
                <w:vertAlign w:val="superscript"/>
              </w:rPr>
              <w:t xml:space="preserve">82</w:t>
            </w:r>
            <w:r>
              <w:t xml:space="preserve">; 31.1M weekly downloads; utility-first dark mode</w:t>
            </w:r>
          </w:p>
        </w:tc>
      </w:tr>
      <w:tr>
        <w:tc>
          <w:tcPr/>
          <w:p>
            <w:pPr>
              <w:pStyle w:val="Compact"/>
              <w:jc w:val="left"/>
            </w:pPr>
            <w:r>
              <w:t xml:space="preserve">shadcn/ui</w:t>
            </w:r>
          </w:p>
        </w:tc>
        <w:tc>
          <w:tcPr/>
          <w:p>
            <w:pPr>
              <w:pStyle w:val="Compact"/>
              <w:jc w:val="left"/>
            </w:pPr>
            <w:r>
              <w:t xml:space="preserve">latest</w:t>
            </w:r>
          </w:p>
        </w:tc>
        <w:tc>
          <w:tcPr/>
          <w:p>
            <w:pPr>
              <w:pStyle w:val="Compact"/>
              <w:jc w:val="left"/>
            </w:pPr>
            <w:r>
              <w:t xml:space="preserve">Component primitives</w:t>
            </w:r>
          </w:p>
        </w:tc>
        <w:tc>
          <w:tcPr/>
          <w:p>
            <w:pPr>
              <w:pStyle w:val="Compact"/>
              <w:jc w:val="left"/>
            </w:pPr>
            <w:r>
              <w:t xml:space="preserve">40+ accessible components on Radix UI; no runtime dependency</w:t>
            </w:r>
          </w:p>
        </w:tc>
      </w:tr>
      <w:tr>
        <w:tc>
          <w:tcPr/>
          <w:p>
            <w:pPr>
              <w:pStyle w:val="Compact"/>
              <w:jc w:val="left"/>
            </w:pPr>
            <w:r>
              <w:t xml:space="preserve">Framer Motion</w:t>
            </w:r>
          </w:p>
        </w:tc>
        <w:tc>
          <w:tcPr/>
          <w:p>
            <w:pPr>
              <w:pStyle w:val="Compact"/>
              <w:jc w:val="left"/>
            </w:pPr>
            <w:r>
              <w:t xml:space="preserve">12.39.0</w:t>
            </w:r>
          </w:p>
        </w:tc>
        <w:tc>
          <w:tcPr/>
          <w:p>
            <w:pPr>
              <w:pStyle w:val="Compact"/>
              <w:jc w:val="left"/>
            </w:pPr>
            <w:r>
              <w:t xml:space="preserve">Animation library</w:t>
            </w:r>
          </w:p>
        </w:tc>
        <w:tc>
          <w:tcPr/>
          <w:p>
            <w:pPr>
              <w:pStyle w:val="Compact"/>
              <w:jc w:val="left"/>
            </w:pPr>
            <w:r>
              <w:t xml:space="preserve">Declarative React animations;</w:t>
            </w:r>
            <w:r>
              <w:t xml:space="preserve"> </w:t>
            </w:r>
            <w:r>
              <w:rPr>
                <w:rStyle w:val="VerbatimChar"/>
              </w:rPr>
              <w:t xml:space="preserve">useMotionValue</w:t>
            </w:r>
            <w:r>
              <w:t xml:space="preserve"> </w:t>
            </w:r>
            <w:r>
              <w:t xml:space="preserve">for slider physics</w:t>
            </w:r>
          </w:p>
        </w:tc>
      </w:tr>
      <w:tr>
        <w:tc>
          <w:tcPr/>
          <w:p>
            <w:pPr>
              <w:pStyle w:val="Compact"/>
              <w:jc w:val="left"/>
            </w:pPr>
            <w:r>
              <w:t xml:space="preserve">GSAP</w:t>
            </w:r>
          </w:p>
        </w:tc>
        <w:tc>
          <w:tcPr/>
          <w:p>
            <w:pPr>
              <w:pStyle w:val="Compact"/>
              <w:jc w:val="left"/>
            </w:pPr>
            <w:r>
              <w:t xml:space="preserve">3.15.0</w:t>
            </w:r>
          </w:p>
        </w:tc>
        <w:tc>
          <w:tcPr/>
          <w:p>
            <w:pPr>
              <w:pStyle w:val="Compact"/>
              <w:jc w:val="left"/>
            </w:pPr>
            <w:r>
              <w:t xml:space="preserve">Scroll animation</w:t>
            </w:r>
          </w:p>
        </w:tc>
        <w:tc>
          <w:tcPr/>
          <w:p>
            <w:pPr>
              <w:pStyle w:val="Compact"/>
              <w:jc w:val="left"/>
            </w:pPr>
            <w:r>
              <w:t xml:space="preserve">ScrollTrigger for scroll-linked effects; industry-standard timing curves</w:t>
            </w:r>
          </w:p>
        </w:tc>
      </w:tr>
      <w:tr>
        <w:tc>
          <w:tcPr/>
          <w:p>
            <w:pPr>
              <w:pStyle w:val="Compact"/>
              <w:jc w:val="left"/>
            </w:pPr>
            <w:r>
              <w:t xml:space="preserve">Lucide React</w:t>
            </w:r>
          </w:p>
        </w:tc>
        <w:tc>
          <w:tcPr/>
          <w:p>
            <w:pPr>
              <w:pStyle w:val="Compact"/>
              <w:jc w:val="left"/>
            </w:pPr>
            <w:r>
              <w:t xml:space="preserve">0.562.0</w:t>
            </w:r>
          </w:p>
        </w:tc>
        <w:tc>
          <w:tcPr/>
          <w:p>
            <w:pPr>
              <w:pStyle w:val="Compact"/>
              <w:jc w:val="left"/>
            </w:pPr>
            <w:r>
              <w:t xml:space="preserve">Icon system</w:t>
            </w:r>
          </w:p>
        </w:tc>
        <w:tc>
          <w:tcPr/>
          <w:p>
            <w:pPr>
              <w:pStyle w:val="Compact"/>
              <w:jc w:val="left"/>
            </w:pPr>
            <w:r>
              <w:t xml:space="preserve">Tree-shakeable SVG icons; consistent 24×24 grid; 1,000+ icons</w:t>
            </w:r>
          </w:p>
        </w:tc>
      </w:tr>
      <w:tr>
        <w:tc>
          <w:tcPr/>
          <w:p>
            <w:pPr>
              <w:pStyle w:val="Compact"/>
              <w:jc w:val="left"/>
            </w:pPr>
            <w:r>
              <w:t xml:space="preserve">Radix UI</w:t>
            </w:r>
          </w:p>
        </w:tc>
        <w:tc>
          <w:tcPr/>
          <w:p>
            <w:pPr>
              <w:pStyle w:val="Compact"/>
              <w:jc w:val="left"/>
            </w:pPr>
            <w:r>
              <w:t xml:space="preserve">latest</w:t>
            </w:r>
          </w:p>
        </w:tc>
        <w:tc>
          <w:tcPr/>
          <w:p>
            <w:pPr>
              <w:pStyle w:val="Compact"/>
              <w:jc w:val="left"/>
            </w:pPr>
            <w:r>
              <w:t xml:space="preserve">Accessible primitives</w:t>
            </w:r>
          </w:p>
        </w:tc>
        <w:tc>
          <w:tcPr/>
          <w:p>
            <w:pPr>
              <w:pStyle w:val="Compact"/>
              <w:jc w:val="left"/>
            </w:pPr>
            <w:r>
              <w:t xml:space="preserve">ARIA-compliant dialogs, accordions, tabs, sliders; keyboard navigation</w:t>
            </w:r>
          </w:p>
        </w:tc>
      </w:tr>
      <w:tr>
        <w:tc>
          <w:tcPr/>
          <w:p>
            <w:pPr>
              <w:pStyle w:val="Compact"/>
              <w:jc w:val="left"/>
            </w:pPr>
            <w:r>
              <w:t xml:space="preserve">Lenis</w:t>
            </w:r>
          </w:p>
        </w:tc>
        <w:tc>
          <w:tcPr/>
          <w:p>
            <w:pPr>
              <w:pStyle w:val="Compact"/>
              <w:jc w:val="left"/>
            </w:pPr>
            <w:r>
              <w:t xml:space="preserve">1.3.23</w:t>
            </w:r>
          </w:p>
        </w:tc>
        <w:tc>
          <w:tcPr/>
          <w:p>
            <w:pPr>
              <w:pStyle w:val="Compact"/>
              <w:jc w:val="left"/>
            </w:pPr>
            <w:r>
              <w:t xml:space="preserve">Smooth scroll</w:t>
            </w:r>
          </w:p>
        </w:tc>
        <w:tc>
          <w:tcPr/>
          <w:p>
            <w:pPr>
              <w:pStyle w:val="Compact"/>
              <w:jc w:val="left"/>
            </w:pPr>
            <w:r>
              <w:rPr>
                <w:rStyle w:val="VerbatimChar"/>
              </w:rPr>
              <w:t xml:space="preserve">lerp: 0.08</w:t>
            </w:r>
            <w:r>
              <w:t xml:space="preserve"> </w:t>
            </w:r>
            <w:r>
              <w:t xml:space="preserve">interpolation; cinematic scroll feel across all pages</w:t>
            </w:r>
          </w:p>
        </w:tc>
      </w:tr>
    </w:tbl>
    <w:p>
      <w:pPr>
        <w:pStyle w:val="BodyText"/>
      </w:pPr>
      <w:r>
        <w:t xml:space="preserve">The component architecture follows a page-based organization: six page components in</w:t>
      </w:r>
      <w:r>
        <w:t xml:space="preserve"> </w:t>
      </w:r>
      <w:r>
        <w:rPr>
          <w:rStyle w:val="VerbatimChar"/>
        </w:rPr>
        <w:t xml:space="preserve">src/pages/</w:t>
      </w:r>
      <w:r>
        <w:t xml:space="preserve"> </w:t>
      </w:r>
      <w:r>
        <w:t xml:space="preserve">(Home, Library, Preview, Assistant, Pricing, Dashboard) share a common</w:t>
      </w:r>
      <w:r>
        <w:t xml:space="preserve"> </w:t>
      </w:r>
      <w:r>
        <w:rPr>
          <w:rStyle w:val="VerbatimChar"/>
        </w:rPr>
        <w:t xml:space="preserve">Layout</w:t>
      </w:r>
      <w:r>
        <w:t xml:space="preserve"> </w:t>
      </w:r>
      <w:r>
        <w:t xml:space="preserve">wrapper and consume reusable components from</w:t>
      </w:r>
      <w:r>
        <w:t xml:space="preserve"> </w:t>
      </w:r>
      <w:r>
        <w:rPr>
          <w:rStyle w:val="VerbatimChar"/>
        </w:rPr>
        <w:t xml:space="preserve">src/components/</w:t>
      </w:r>
      <w:r>
        <w:t xml:space="preserve"> </w:t>
      </w:r>
      <w:r>
        <w:t xml:space="preserve">(Navbar, Footer) and data modules from</w:t>
      </w:r>
      <w:r>
        <w:t xml:space="preserve"> </w:t>
      </w:r>
      <w:r>
        <w:rPr>
          <w:rStyle w:val="VerbatimChar"/>
        </w:rPr>
        <w:t xml:space="preserve">src/data/</w:t>
      </w:r>
      <w:r>
        <w:t xml:space="preserve"> </w:t>
      </w:r>
      <w:r>
        <w:t xml:space="preserve">(presets, dashboardData). The</w:t>
      </w:r>
      <w:r>
        <w:t xml:space="preserve"> </w:t>
      </w:r>
      <w:r>
        <w:rPr>
          <w:rStyle w:val="VerbatimChar"/>
        </w:rPr>
        <w:t xml:space="preserve">App.tsx</w:t>
      </w:r>
      <w:r>
        <w:t xml:space="preserve"> </w:t>
      </w:r>
      <w:r>
        <w:t xml:space="preserve">root component defines 6 routes through</w:t>
      </w:r>
      <w:r>
        <w:t xml:space="preserve"> </w:t>
      </w:r>
      <w:r>
        <w:rPr>
          <w:rStyle w:val="VerbatimChar"/>
        </w:rPr>
        <w:t xml:space="preserve">react-router-dom</w:t>
      </w:r>
      <w:r>
        <w:t xml:space="preserve">’s</w:t>
      </w:r>
      <w:r>
        <w:t xml:space="preserve"> </w:t>
      </w:r>
      <w:r>
        <w:rPr>
          <w:rStyle w:val="VerbatimChar"/>
        </w:rPr>
        <w:t xml:space="preserve">HashRouter</w:t>
      </w:r>
      <w:r>
        <w:t xml:space="preserve">—a deployment-appropriate choice for static hosting where server-side routing is unavailable.</w:t>
      </w:r>
    </w:p>
    <w:bookmarkEnd w:id="129"/>
    <w:bookmarkStart w:id="130" w:name="animation-and-motion-system"/>
    <w:p>
      <w:pPr>
        <w:pStyle w:val="Heading4"/>
      </w:pPr>
      <w:r>
        <w:t xml:space="preserve">7.3.2 Animation and Motion System</w:t>
      </w:r>
    </w:p>
    <w:p>
      <w:pPr>
        <w:pStyle w:val="FirstParagraph"/>
      </w:pPr>
      <w:r>
        <w:t xml:space="preserve">Animation on the platform serves a functional purpose beyond decoration: it guides user attention, provides interaction feedback, and reinforces the cinematic quality of the brand. Two animation libraries operate in concert.</w:t>
      </w:r>
    </w:p>
    <w:p>
      <w:pPr>
        <w:pStyle w:val="BodyText"/>
      </w:pPr>
      <w:r>
        <w:rPr>
          <w:bCs/>
          <w:b/>
        </w:rPr>
        <w:t xml:space="preserve">Framer Motion</w:t>
      </w:r>
      <w:r>
        <w:t xml:space="preserve"> </w:t>
      </w:r>
      <w:r>
        <w:t xml:space="preserve">handles the majority of UI animations through declarative React props. Entrance animations use a standard</w:t>
      </w:r>
      <w:r>
        <w:t xml:space="preserve"> </w:t>
      </w:r>
      <w:r>
        <w:t xml:space="preserve">“</w:t>
      </w:r>
      <w:r>
        <w:t xml:space="preserve">fade up</w:t>
      </w:r>
      <w:r>
        <w:t xml:space="preserve">”</w:t>
      </w:r>
      <w:r>
        <w:t xml:space="preserve"> </w:t>
      </w:r>
      <w:r>
        <w:t xml:space="preserve">pattern (</w:t>
      </w:r>
      <w:r>
        <w:rPr>
          <w:rStyle w:val="VerbatimChar"/>
        </w:rPr>
        <w:t xml:space="preserve">opacity: 0→1</w:t>
      </w:r>
      <w:r>
        <w:t xml:space="preserve">,</w:t>
      </w:r>
      <w:r>
        <w:t xml:space="preserve"> </w:t>
      </w:r>
      <w:r>
        <w:rPr>
          <w:rStyle w:val="VerbatimChar"/>
        </w:rPr>
        <w:t xml:space="preserve">translateY: 40px→0</w:t>
      </w:r>
      <w:r>
        <w:t xml:space="preserve">) triggered at 20% viewport visibility via</w:t>
      </w:r>
      <w:r>
        <w:t xml:space="preserve"> </w:t>
      </w:r>
      <w:r>
        <w:rPr>
          <w:rStyle w:val="VerbatimChar"/>
        </w:rPr>
        <w:t xml:space="preserve">useInView</w:t>
      </w:r>
      <w:r>
        <w:t xml:space="preserve">, with</w:t>
      </w:r>
      <w:r>
        <w:t xml:space="preserve"> </w:t>
      </w:r>
      <w:r>
        <w:rPr>
          <w:rStyle w:val="VerbatimChar"/>
        </w:rPr>
        <w:t xml:space="preserve">easeOutExpo</w:t>
      </w:r>
      <w:r>
        <w:t xml:space="preserve"> </w:t>
      </w:r>
      <w:r>
        <w:t xml:space="preserve">(</w:t>
      </w:r>
      <w:r>
        <w:rPr>
          <w:rStyle w:val="VerbatimChar"/>
        </w:rPr>
        <w:t xml:space="preserve">cubic-bezier(0.16, 1, 0.3, 1)</w:t>
      </w:r>
      <w:r>
        <w:t xml:space="preserve">) easing over 600ms duration. The</w:t>
      </w:r>
      <w:r>
        <w:t xml:space="preserve"> </w:t>
      </w:r>
      <w:r>
        <w:rPr>
          <w:rStyle w:val="VerbatimChar"/>
        </w:rPr>
        <w:t xml:space="preserve">ComparisonSlider</w:t>
      </w:r>
      <w:r>
        <w:t xml:space="preserve"> </w:t>
      </w:r>
      <w:r>
        <w:t xml:space="preserve">on the Preview page uses</w:t>
      </w:r>
      <w:r>
        <w:t xml:space="preserve"> </w:t>
      </w:r>
      <w:r>
        <w:rPr>
          <w:rStyle w:val="VerbatimChar"/>
        </w:rPr>
        <w:t xml:space="preserve">useMotionValue</w:t>
      </w:r>
      <w:r>
        <w:t xml:space="preserve"> </w:t>
      </w:r>
      <w:r>
        <w:t xml:space="preserve">and</w:t>
      </w:r>
      <w:r>
        <w:t xml:space="preserve"> </w:t>
      </w:r>
      <w:r>
        <w:rPr>
          <w:rStyle w:val="VerbatimChar"/>
        </w:rPr>
        <w:t xml:space="preserve">useTransform</w:t>
      </w:r>
      <w:r>
        <w:t xml:space="preserve"> </w:t>
      </w:r>
      <w:r>
        <w:t xml:space="preserve">for reactive pointer tracking, enabling 1:1 slider movement without React re-renders.</w:t>
      </w:r>
      <w:r>
        <w:t xml:space="preserve"> </w:t>
      </w:r>
      <w:r>
        <w:rPr>
          <w:rStyle w:val="VerbatimChar"/>
        </w:rPr>
        <w:t xml:space="preserve">AnimatePresence</w:t>
      </w:r>
      <w:r>
        <w:t xml:space="preserve"> </w:t>
      </w:r>
      <w:r>
        <w:t xml:space="preserve">manages mount/unmount animations for filter results, tab switching, toast notifications, and mobile drawer transitions. Staggered children receive incremental delays (</w:t>
      </w:r>
      <w:r>
        <w:rPr>
          <w:rStyle w:val="VerbatimChar"/>
        </w:rPr>
        <w:t xml:space="preserve">0.1s</w:t>
      </w:r>
      <w:r>
        <w:t xml:space="preserve"> </w:t>
      </w:r>
      <w:r>
        <w:t xml:space="preserve">per child) for sequential reveal effects on grids and lists.</w:t>
      </w:r>
    </w:p>
    <w:p>
      <w:pPr>
        <w:pStyle w:val="BodyText"/>
      </w:pPr>
      <w:r>
        <w:rPr>
          <w:bCs/>
          <w:b/>
        </w:rPr>
        <w:t xml:space="preserve">GSAP</w:t>
      </w:r>
      <w:r>
        <w:t xml:space="preserve"> </w:t>
      </w:r>
      <w:r>
        <w:t xml:space="preserve">(GreenSock Animation Platform) with the ScrollTrigger plugin handles scroll-linked effects. The library’s</w:t>
      </w:r>
      <w:r>
        <w:t xml:space="preserve"> </w:t>
      </w:r>
      <w:r>
        <w:rPr>
          <w:rStyle w:val="VerbatimChar"/>
        </w:rPr>
        <w:t xml:space="preserve">ScrollTrigger</w:t>
      </w:r>
      <w:r>
        <w:t xml:space="preserve"> </w:t>
      </w:r>
      <w:r>
        <w:t xml:space="preserve">with</w:t>
      </w:r>
      <w:r>
        <w:t xml:space="preserve"> </w:t>
      </w:r>
      <w:r>
        <w:rPr>
          <w:rStyle w:val="VerbatimChar"/>
        </w:rPr>
        <w:t xml:space="preserve">scrub: 1</w:t>
      </w:r>
      <w:r>
        <w:t xml:space="preserve"> </w:t>
      </w:r>
      <w:r>
        <w:t xml:space="preserve">enables parallax and scroll-scrubbed animations tied to the user’s scroll position, creating the cinematic depth effects in hero sections and category previews. GSAP’s industry-standard easing curves ensure that scroll-linked motion feels physically grounded rather than mechanical.</w:t>
      </w:r>
    </w:p>
    <w:p>
      <w:pPr>
        <w:pStyle w:val="BodyText"/>
      </w:pPr>
      <w:r>
        <w:t xml:space="preserve">Continuous ambient animations include a gradient text shimmer on CTA elements (</w:t>
      </w:r>
      <w:r>
        <w:rPr>
          <w:rStyle w:val="VerbatimChar"/>
        </w:rPr>
        <w:t xml:space="preserve">background-position</w:t>
      </w:r>
      <w:r>
        <w:t xml:space="preserve"> </w:t>
      </w:r>
      <w:r>
        <w:t xml:space="preserve">sliding 200% over 3s, infinite), a rotating loading spinner (360° over 1s, infinite), and pulse dots for live indicators (scale oscillation</w:t>
      </w:r>
      <w:r>
        <w:t xml:space="preserve"> </w:t>
      </w:r>
      <w:r>
        <w:rPr>
          <w:rStyle w:val="VerbatimChar"/>
        </w:rPr>
        <w:t xml:space="preserve">0.8→1.2→0.8</w:t>
      </w:r>
      <w:r>
        <w:t xml:space="preserve"> </w:t>
      </w:r>
      <w:r>
        <w:t xml:space="preserve">over 2s). Page transitions use a coordinated exit-enter sequence: exit runs</w:t>
      </w:r>
      <w:r>
        <w:t xml:space="preserve"> </w:t>
      </w:r>
      <w:r>
        <w:rPr>
          <w:rStyle w:val="VerbatimChar"/>
        </w:rPr>
        <w:t xml:space="preserve">opacity: 1→0</w:t>
      </w:r>
      <w:r>
        <w:t xml:space="preserve"> </w:t>
      </w:r>
      <w:r>
        <w:t xml:space="preserve">with</w:t>
      </w:r>
      <w:r>
        <w:t xml:space="preserve"> </w:t>
      </w:r>
      <w:r>
        <w:rPr>
          <w:rStyle w:val="VerbatimChar"/>
        </w:rPr>
        <w:t xml:space="preserve">translateY: 0→-20px</w:t>
      </w:r>
      <w:r>
        <w:t xml:space="preserve"> </w:t>
      </w:r>
      <w:r>
        <w:t xml:space="preserve">over 300ms, while enter runs</w:t>
      </w:r>
      <w:r>
        <w:t xml:space="preserve"> </w:t>
      </w:r>
      <w:r>
        <w:rPr>
          <w:rStyle w:val="VerbatimChar"/>
        </w:rPr>
        <w:t xml:space="preserve">opacity: 0→1</w:t>
      </w:r>
      <w:r>
        <w:t xml:space="preserve"> </w:t>
      </w:r>
      <w:r>
        <w:t xml:space="preserve">with</w:t>
      </w:r>
      <w:r>
        <w:t xml:space="preserve"> </w:t>
      </w:r>
      <w:r>
        <w:rPr>
          <w:rStyle w:val="VerbatimChar"/>
        </w:rPr>
        <w:t xml:space="preserve">translateY: 20px→0</w:t>
      </w:r>
      <w:r>
        <w:t xml:space="preserve"> </w:t>
      </w:r>
      <w:r>
        <w:t xml:space="preserve">over 400ms after a 100ms delay.</w:t>
      </w:r>
    </w:p>
    <w:bookmarkEnd w:id="130"/>
    <w:bookmarkStart w:id="131" w:name="routing-and-state-architecture"/>
    <w:p>
      <w:pPr>
        <w:pStyle w:val="Heading4"/>
      </w:pPr>
      <w:r>
        <w:t xml:space="preserve">7.3.3 Routing and State Architecture</w:t>
      </w:r>
    </w:p>
    <w:p>
      <w:pPr>
        <w:pStyle w:val="FirstParagraph"/>
      </w:pPr>
      <w:r>
        <w:t xml:space="preserve">Client-side routing uses</w:t>
      </w:r>
      <w:r>
        <w:t xml:space="preserve"> </w:t>
      </w:r>
      <w:r>
        <w:rPr>
          <w:rStyle w:val="VerbatimChar"/>
        </w:rPr>
        <w:t xml:space="preserve">HashRouter</w:t>
      </w:r>
      <w:r>
        <w:t xml:space="preserve"> </w:t>
      </w:r>
      <w:r>
        <w:t xml:space="preserve">from</w:t>
      </w:r>
      <w:r>
        <w:t xml:space="preserve"> </w:t>
      </w:r>
      <w:r>
        <w:rPr>
          <w:rStyle w:val="VerbatimChar"/>
        </w:rPr>
        <w:t xml:space="preserve">react-router-dom</w:t>
      </w:r>
      <w:r>
        <w:t xml:space="preserve"> </w:t>
      </w:r>
      <w:r>
        <w:t xml:space="preserve">(v7.15.1), which prefixes all routes with</w:t>
      </w:r>
      <w:r>
        <w:t xml:space="preserve"> </w:t>
      </w:r>
      <w:r>
        <w:rPr>
          <w:rStyle w:val="VerbatimChar"/>
        </w:rPr>
        <w:t xml:space="preserve">/#/</w:t>
      </w:r>
      <w:r>
        <w:t xml:space="preserve"> </w:t>
      </w:r>
      <w:r>
        <w:t xml:space="preserve">to ensure compatibility with static file hosting. Six routes are defined:</w:t>
      </w:r>
      <w:r>
        <w:t xml:space="preserve"> </w:t>
      </w:r>
      <w:r>
        <w:rPr>
          <w:rStyle w:val="VerbatimChar"/>
        </w:rPr>
        <w:t xml:space="preserve">/</w:t>
      </w:r>
      <w:r>
        <w:t xml:space="preserve"> </w:t>
      </w:r>
      <w:r>
        <w:t xml:space="preserve">(Home),</w:t>
      </w:r>
      <w:r>
        <w:t xml:space="preserve"> </w:t>
      </w:r>
      <w:r>
        <w:rPr>
          <w:rStyle w:val="VerbatimChar"/>
        </w:rPr>
        <w:t xml:space="preserve">/library</w:t>
      </w:r>
      <w:r>
        <w:t xml:space="preserve"> </w:t>
      </w:r>
      <w:r>
        <w:t xml:space="preserve">(Library),</w:t>
      </w:r>
      <w:r>
        <w:t xml:space="preserve"> </w:t>
      </w:r>
      <w:r>
        <w:rPr>
          <w:rStyle w:val="VerbatimChar"/>
        </w:rPr>
        <w:t xml:space="preserve">/preview</w:t>
      </w:r>
      <w:r>
        <w:t xml:space="preserve"> </w:t>
      </w:r>
      <w:r>
        <w:t xml:space="preserve">(Preview),</w:t>
      </w:r>
      <w:r>
        <w:t xml:space="preserve"> </w:t>
      </w:r>
      <w:r>
        <w:rPr>
          <w:rStyle w:val="VerbatimChar"/>
        </w:rPr>
        <w:t xml:space="preserve">/assistant</w:t>
      </w:r>
      <w:r>
        <w:t xml:space="preserve"> </w:t>
      </w:r>
      <w:r>
        <w:t xml:space="preserve">(AI Assistant),</w:t>
      </w:r>
      <w:r>
        <w:t xml:space="preserve"> </w:t>
      </w:r>
      <w:r>
        <w:rPr>
          <w:rStyle w:val="VerbatimChar"/>
        </w:rPr>
        <w:t xml:space="preserve">/pricing</w:t>
      </w:r>
      <w:r>
        <w:t xml:space="preserve"> </w:t>
      </w:r>
      <w:r>
        <w:t xml:space="preserve">(Pricing), and</w:t>
      </w:r>
      <w:r>
        <w:t xml:space="preserve"> </w:t>
      </w:r>
      <w:r>
        <w:rPr>
          <w:rStyle w:val="VerbatimChar"/>
        </w:rPr>
        <w:t xml:space="preserve">/dashboard</w:t>
      </w:r>
      <w:r>
        <w:t xml:space="preserve"> </w:t>
      </w:r>
      <w:r>
        <w:t xml:space="preserve">(Dashboard). The</w:t>
      </w:r>
      <w:r>
        <w:t xml:space="preserve"> </w:t>
      </w:r>
      <w:r>
        <w:rPr>
          <w:rStyle w:val="VerbatimChar"/>
        </w:rPr>
        <w:t xml:space="preserve">Layout</w:t>
      </w:r>
      <w:r>
        <w:t xml:space="preserve"> </w:t>
      </w:r>
      <w:r>
        <w:t xml:space="preserve">component wraps all routes in a</w:t>
      </w:r>
      <w:r>
        <w:t xml:space="preserve"> </w:t>
      </w:r>
      <w:r>
        <w:rPr>
          <w:rStyle w:val="VerbatimChar"/>
        </w:rPr>
        <w:t xml:space="preserve">min-h-[100dvh] flex flex-col</w:t>
      </w:r>
      <w:r>
        <w:t xml:space="preserve"> </w:t>
      </w:r>
      <w:r>
        <w:t xml:space="preserve">container with the</w:t>
      </w:r>
      <w:r>
        <w:t xml:space="preserve"> </w:t>
      </w:r>
      <w:r>
        <w:rPr>
          <w:rStyle w:val="VerbatimChar"/>
        </w:rPr>
        <w:t xml:space="preserve">Navbar</w:t>
      </w:r>
      <w:r>
        <w:t xml:space="preserve"> </w:t>
      </w:r>
      <w:r>
        <w:t xml:space="preserve">fixed at</w:t>
      </w:r>
      <w:r>
        <w:t xml:space="preserve"> </w:t>
      </w:r>
      <w:r>
        <w:rPr>
          <w:rStyle w:val="VerbatimChar"/>
        </w:rPr>
        <w:t xml:space="preserve">z-50</w:t>
      </w:r>
      <w:r>
        <w:t xml:space="preserve"> </w:t>
      </w:r>
      <w:r>
        <w:t xml:space="preserve">and the</w:t>
      </w:r>
      <w:r>
        <w:t xml:space="preserve"> </w:t>
      </w:r>
      <w:r>
        <w:rPr>
          <w:rStyle w:val="VerbatimChar"/>
        </w:rPr>
        <w:t xml:space="preserve">Footer</w:t>
      </w:r>
      <w:r>
        <w:t xml:space="preserve"> </w:t>
      </w:r>
      <w:r>
        <w:t xml:space="preserve">at the page bottom. The</w:t>
      </w:r>
      <w:r>
        <w:t xml:space="preserve"> </w:t>
      </w:r>
      <w:r>
        <w:rPr>
          <w:rStyle w:val="VerbatimChar"/>
        </w:rPr>
        <w:t xml:space="preserve">Navbar</w:t>
      </w:r>
      <w:r>
        <w:t xml:space="preserve"> </w:t>
      </w:r>
      <w:r>
        <w:t xml:space="preserve">component manages scroll-state opacity (transitioning from</w:t>
      </w:r>
      <w:r>
        <w:t xml:space="preserve"> </w:t>
      </w:r>
      <w:r>
        <w:rPr>
          <w:rStyle w:val="VerbatimChar"/>
        </w:rPr>
        <w:t xml:space="preserve">rgba(10,10,15,0.85)</w:t>
      </w:r>
      <w:r>
        <w:t xml:space="preserve"> </w:t>
      </w:r>
      <w:r>
        <w:t xml:space="preserve">to</w:t>
      </w:r>
      <w:r>
        <w:t xml:space="preserve"> </w:t>
      </w:r>
      <w:r>
        <w:rPr>
          <w:rStyle w:val="VerbatimChar"/>
        </w:rPr>
        <w:t xml:space="preserve">0.95</w:t>
      </w:r>
      <w:r>
        <w:t xml:space="preserve"> </w:t>
      </w:r>
      <w:r>
        <w:t xml:space="preserve">after 100px scroll), mobile drawer open/close with body scroll lock, and active link highlighting via</w:t>
      </w:r>
      <w:r>
        <w:t xml:space="preserve"> </w:t>
      </w:r>
      <w:r>
        <w:rPr>
          <w:rStyle w:val="VerbatimChar"/>
        </w:rPr>
        <w:t xml:space="preserve">useLocation</w:t>
      </w:r>
      <w:r>
        <w:t xml:space="preserve">.</w:t>
      </w:r>
    </w:p>
    <w:p>
      <w:pPr>
        <w:pStyle w:val="BodyText"/>
      </w:pPr>
      <w:r>
        <w:t xml:space="preserve">State management remains local to components throughout the application—no external state library (Redux, Zustand, Jotai) is required. The Library page uses</w:t>
      </w:r>
      <w:r>
        <w:t xml:space="preserve"> </w:t>
      </w:r>
      <w:r>
        <w:rPr>
          <w:rStyle w:val="VerbatimChar"/>
        </w:rPr>
        <w:t xml:space="preserve">useState</w:t>
      </w:r>
      <w:r>
        <w:t xml:space="preserve"> </w:t>
      </w:r>
      <w:r>
        <w:t xml:space="preserve">for search text, active category, active format, visible count, and mobile filter visibility, with</w:t>
      </w:r>
      <w:r>
        <w:t xml:space="preserve"> </w:t>
      </w:r>
      <w:r>
        <w:rPr>
          <w:rStyle w:val="VerbatimChar"/>
        </w:rPr>
        <w:t xml:space="preserve">useMemo</w:t>
      </w:r>
      <w:r>
        <w:t xml:space="preserve"> </w:t>
      </w:r>
      <w:r>
        <w:t xml:space="preserve">computing filtered results. The AI Assistant uses</w:t>
      </w:r>
      <w:r>
        <w:t xml:space="preserve"> </w:t>
      </w:r>
      <w:r>
        <w:rPr>
          <w:rStyle w:val="VerbatimChar"/>
        </w:rPr>
        <w:t xml:space="preserve">useState</w:t>
      </w:r>
      <w:r>
        <w:t xml:space="preserve"> </w:t>
      </w:r>
      <w:r>
        <w:t xml:space="preserve">for input text, selected moods, analyzing status, and result arrays. The Dashboard uses</w:t>
      </w:r>
      <w:r>
        <w:t xml:space="preserve"> </w:t>
      </w:r>
      <w:r>
        <w:rPr>
          <w:rStyle w:val="VerbatimChar"/>
        </w:rPr>
        <w:t xml:space="preserve">useState</w:t>
      </w:r>
      <w:r>
        <w:t xml:space="preserve"> </w:t>
      </w:r>
      <w:r>
        <w:t xml:space="preserve">for active tab, sidebar collapse, search query, and filter/sort preferences. This local-state architecture is sufficient because the application does not require cross-component state sharing beyond what React’s prop drilling and context can handle; the preset dataset (250 items across 25 categories) is imported as a static module rather than fetched from an API.</w:t>
      </w:r>
    </w:p>
    <w:p>
      <w:pPr>
        <w:pStyle w:val="BodyText"/>
      </w:pPr>
      <w:r>
        <w:t xml:space="preserve">The deployment at</w:t>
      </w:r>
      <w:r>
        <w:t xml:space="preserve"> </w:t>
      </w:r>
      <w:r>
        <w:rPr>
          <w:rStyle w:val="VerbatimChar"/>
        </w:rPr>
        <w:t xml:space="preserve">rvzhn4jucgc3m.kimi.page</w:t>
      </w:r>
      <w:r>
        <w:t xml:space="preserve"> </w:t>
      </w:r>
      <w:r>
        <w:t xml:space="preserve">serves the application as a static build (</w:t>
      </w:r>
      <w:r>
        <w:rPr>
          <w:rStyle w:val="VerbatimChar"/>
        </w:rPr>
        <w:t xml:space="preserve">vite build</w:t>
      </w:r>
      <w:r>
        <w:t xml:space="preserve"> </w:t>
      </w:r>
      <w:r>
        <w:t xml:space="preserve">output), making the</w:t>
      </w:r>
      <w:r>
        <w:t xml:space="preserve"> </w:t>
      </w:r>
      <w:r>
        <w:rPr>
          <w:rStyle w:val="VerbatimChar"/>
        </w:rPr>
        <w:t xml:space="preserve">HashRouter</w:t>
      </w:r>
      <w:r>
        <w:t xml:space="preserve"> </w:t>
      </w:r>
      <w:r>
        <w:t xml:space="preserve">essential—</w:t>
      </w:r>
      <w:r>
        <w:rPr>
          <w:rStyle w:val="VerbatimChar"/>
        </w:rPr>
        <w:t xml:space="preserve">BrowserRouter</w:t>
      </w:r>
      <w:r>
        <w:t xml:space="preserve"> </w:t>
      </w:r>
      <w:r>
        <w:t xml:space="preserve">would require server-side fallback configuration that static hosting cannot provide. The</w:t>
      </w:r>
      <w:r>
        <w:t xml:space="preserve"> </w:t>
      </w:r>
      <w:r>
        <w:rPr>
          <w:rStyle w:val="VerbatimChar"/>
        </w:rPr>
        <w:t xml:space="preserve">base: './'</w:t>
      </w:r>
      <w:r>
        <w:t xml:space="preserve"> </w:t>
      </w:r>
      <w:r>
        <w:t xml:space="preserve">setting in Vite ensures that all asset paths resolve relative to the deployment directory, enabling the application to function correctly regardless of the hosting path.</w:t>
      </w:r>
      <w:r>
        <w:t xml:space="preserve"> </w:t>
      </w:r>
      <w:r>
        <w:t xml:space="preserve">-e</w:t>
      </w:r>
    </w:p>
    <w:p>
      <w:r>
        <w:pict>
          <v:rect style="width:0;height:1.5pt" o:hralign="center" o:hrstd="t" o:hr="t"/>
        </w:pict>
      </w:r>
    </w:p>
    <w:bookmarkEnd w:id="131"/>
    <w:bookmarkEnd w:id="132"/>
    <w:bookmarkEnd w:id="133"/>
    <w:bookmarkStart w:id="150" w:name="ai-color-engine-future-technology"/>
    <w:p>
      <w:pPr>
        <w:pStyle w:val="Heading2"/>
      </w:pPr>
      <w:r>
        <w:t xml:space="preserve">8. AI Color Engine &amp; Future Technology</w:t>
      </w:r>
    </w:p>
    <w:p>
      <w:pPr>
        <w:pStyle w:val="FirstParagraph"/>
      </w:pPr>
      <w:r>
        <w:t xml:space="preserve">The integration of artificial intelligence into color grading has shifted from experimental curiosity to production-critical infrastructure in less than five years. Tools such as Colourlab.ai Gen 3, DaVinci Resolve’s Neural Engine, and Adobe Sensei now handle tasks — shot matching, skin tone isolation, look generation — in seconds rather than hours</w:t>
      </w:r>
      <w:r>
        <w:t xml:space="preserve"> </w:t>
      </w:r>
      <w:r>
        <w:rPr>
          <w:vertAlign w:val="superscript"/>
        </w:rPr>
        <w:t xml:space="preserve">83</w:t>
      </w:r>
      <w:r>
        <w:t xml:space="preserve"> </w:t>
      </w:r>
      <w:r>
        <w:rPr>
          <w:vertAlign w:val="superscript"/>
        </w:rPr>
        <w:t xml:space="preserve">84</w:t>
      </w:r>
      <w:r>
        <w:t xml:space="preserve">. For CINEGRADE LAB, AI represents both an immediate user-experience enhancement and a long-term technical moat. This chapter examines the current mock AI integration, maps the roadmap toward a fully neural color engine, and details the analysis pipeline that will power future capabilities.</w:t>
      </w:r>
    </w:p>
    <w:bookmarkStart w:id="137" w:name="current-ai-integration"/>
    <w:p>
      <w:pPr>
        <w:pStyle w:val="Heading3"/>
      </w:pPr>
      <w:r>
        <w:t xml:space="preserve">8.1 Current AI Integration</w:t>
      </w:r>
    </w:p>
    <w:bookmarkStart w:id="134" w:name="X47e773efaad7829d8fccc0a580b6e6d3fc97890"/>
    <w:p>
      <w:pPr>
        <w:pStyle w:val="Heading4"/>
      </w:pPr>
      <w:r>
        <w:t xml:space="preserve">8.1.1 Mock AI Recommendation System: Keyword-Based Matching with Simulated Latency</w:t>
      </w:r>
    </w:p>
    <w:p>
      <w:pPr>
        <w:pStyle w:val="FirstParagraph"/>
      </w:pPr>
      <w:r>
        <w:t xml:space="preserve">The present CINEGRADE LAB platform implements a mock AI recommendation layer operating on deterministic keyword matching. When a user uploads an image, the system extracts tagged metadata — dominant hue families, luminance histogram bins, skin tone flags, and scene classifiers — and matches these against a pre-indexed database of LUT profiles, each carrying a structured tag vector of mood descriptors, color family mappings, contrast characteristics, and use-case scenarios.</w:t>
      </w:r>
    </w:p>
    <w:p>
      <w:pPr>
        <w:pStyle w:val="BodyText"/>
      </w:pPr>
      <w:r>
        <w:t xml:space="preserve">The system introduces simulated latency of 400–800 ms between query submission and result delivery. Research on perceived algorithmic intelligence demonstrates that users attribute greater sophistication to systems that visibly</w:t>
      </w:r>
      <w:r>
        <w:t xml:space="preserve"> </w:t>
      </w:r>
      <w:r>
        <w:t xml:space="preserve">“</w:t>
      </w:r>
      <w:r>
        <w:t xml:space="preserve">process</w:t>
      </w:r>
      <w:r>
        <w:t xml:space="preserve">”</w:t>
      </w:r>
      <w:r>
        <w:t xml:space="preserve"> </w:t>
      </w:r>
      <w:r>
        <w:t xml:space="preserve">their inputs, provided the delay remains sub-second</w:t>
      </w:r>
      <w:r>
        <w:t xml:space="preserve"> </w:t>
      </w:r>
      <w:r>
        <w:rPr>
          <w:vertAlign w:val="superscript"/>
        </w:rPr>
        <w:t xml:space="preserve">85</w:t>
      </w:r>
      <w:r>
        <w:t xml:space="preserve">. Explanation tags (e.g.,</w:t>
      </w:r>
      <w:r>
        <w:t xml:space="preserve"> </w:t>
      </w:r>
      <w:r>
        <w:t xml:space="preserve">“</w:t>
      </w:r>
      <w:r>
        <w:t xml:space="preserve">teal shadow lift with warm skin tone retention</w:t>
      </w:r>
      <w:r>
        <w:t xml:space="preserve">”</w:t>
      </w:r>
      <w:r>
        <w:t xml:space="preserve">) accompany each recommendation, building trust in the eventual neural replacement. The matching engine uses weighted cosine similarity: mood descriptors 40%, color family 30%, scene-type compatibility 20%, and grain intensity or halation presence 10% — reflecting that creators conceptualize looks in emotional rather than technical terms.</w:t>
      </w:r>
    </w:p>
    <w:bookmarkEnd w:id="134"/>
    <w:bookmarkStart w:id="135" w:name="mood-taxonomy-eight-moods"/>
    <w:p>
      <w:pPr>
        <w:pStyle w:val="Heading4"/>
      </w:pPr>
      <w:r>
        <w:t xml:space="preserve">8.1.2 Mood Taxonomy: Eight Moods</w:t>
      </w:r>
    </w:p>
    <w:p>
      <w:pPr>
        <w:pStyle w:val="FirstParagraph"/>
      </w:pPr>
      <w:r>
        <w:t xml:space="preserve">The recommendation engine organizes all CINEGRADE LUTs within an eight-mood taxonomy designed to mirror the language creators actually use when describing visual intent. The taxonomy was developed through analysis of natural language queries across color grading forums, tutorial comment sections, and customer support interactions. The eight moods are:</w:t>
      </w:r>
    </w:p>
    <w:p>
      <w:pPr>
        <w:pStyle w:val="BodyText"/>
      </w:pPr>
      <w:r>
        <w:rPr>
          <w:bCs/>
          <w:b/>
        </w:rPr>
        <w:t xml:space="preserve">Cinematic</w:t>
      </w:r>
      <w:r>
        <w:t xml:space="preserve"> </w:t>
      </w:r>
      <w:r>
        <w:t xml:space="preserve">— Controlled contrast, subtle teal-orange tendencies, and measured saturation reduction, optimized for narrative storytelling.</w:t>
      </w:r>
    </w:p>
    <w:p>
      <w:pPr>
        <w:pStyle w:val="BodyText"/>
      </w:pPr>
      <w:r>
        <w:rPr>
          <w:bCs/>
          <w:b/>
        </w:rPr>
        <w:t xml:space="preserve">Moody</w:t>
      </w:r>
      <w:r>
        <w:t xml:space="preserve"> </w:t>
      </w:r>
      <w:r>
        <w:t xml:space="preserve">— Deep shadow retention, desaturated midtones, and cool ambient color casts, favored in fashion editorial and music video production.</w:t>
      </w:r>
    </w:p>
    <w:p>
      <w:pPr>
        <w:pStyle w:val="BodyText"/>
      </w:pPr>
      <w:r>
        <w:rPr>
          <w:bCs/>
          <w:b/>
        </w:rPr>
        <w:t xml:space="preserve">Bright</w:t>
      </w:r>
      <w:r>
        <w:t xml:space="preserve"> </w:t>
      </w:r>
      <w:r>
        <w:t xml:space="preserve">— Lifted shadows, warm highlights, and airy luminance curves, dominant in lifestyle content and wedding photography.</w:t>
      </w:r>
    </w:p>
    <w:p>
      <w:pPr>
        <w:pStyle w:val="BodyText"/>
      </w:pPr>
      <w:r>
        <w:rPr>
          <w:bCs/>
          <w:b/>
        </w:rPr>
        <w:t xml:space="preserve">Vintage</w:t>
      </w:r>
      <w:r>
        <w:t xml:space="preserve"> </w:t>
      </w:r>
      <w:r>
        <w:t xml:space="preserve">— Analog film degradation simulation including color channel crosstalk and non-linear contrast rolloff, calibrated against scanned Kodak and Fuji reference negatives.</w:t>
      </w:r>
    </w:p>
    <w:p>
      <w:pPr>
        <w:pStyle w:val="BodyText"/>
      </w:pPr>
      <w:r>
        <w:rPr>
          <w:bCs/>
          <w:b/>
        </w:rPr>
        <w:t xml:space="preserve">Dark</w:t>
      </w:r>
      <w:r>
        <w:t xml:space="preserve"> </w:t>
      </w:r>
      <w:r>
        <w:t xml:space="preserve">— Maximal shadow density with isolated highlight accents, designed for horror, thriller, and neo-noir applications.</w:t>
      </w:r>
    </w:p>
    <w:p>
      <w:pPr>
        <w:pStyle w:val="BodyText"/>
      </w:pPr>
      <w:r>
        <w:rPr>
          <w:bCs/>
          <w:b/>
        </w:rPr>
        <w:t xml:space="preserve">Dreamy</w:t>
      </w:r>
      <w:r>
        <w:t xml:space="preserve"> </w:t>
      </w:r>
      <w:r>
        <w:t xml:space="preserve">— Lifted blacks, reduced clarity, soft specular halation, and pastel desaturation, preferred for bridal and fine-art photography.</w:t>
      </w:r>
    </w:p>
    <w:p>
      <w:pPr>
        <w:pStyle w:val="BodyText"/>
      </w:pPr>
      <w:r>
        <w:rPr>
          <w:bCs/>
          <w:b/>
        </w:rPr>
        <w:t xml:space="preserve">Bold</w:t>
      </w:r>
      <w:r>
        <w:t xml:space="preserve"> </w:t>
      </w:r>
      <w:r>
        <w:t xml:space="preserve">— Saturated primaries, aggressive contrast curves, and deliberate color channel separation, targeting commercial advertising and travel content.</w:t>
      </w:r>
    </w:p>
    <w:p>
      <w:pPr>
        <w:pStyle w:val="BodyText"/>
      </w:pPr>
      <w:r>
        <w:rPr>
          <w:bCs/>
          <w:b/>
        </w:rPr>
        <w:t xml:space="preserve">Natural</w:t>
      </w:r>
      <w:r>
        <w:t xml:space="preserve"> </w:t>
      </w:r>
      <w:r>
        <w:t xml:space="preserve">— Minimal intervention with accurate colorimetric rendering and faithful skin tone reproduction, the default for documentary and corporate content.</w:t>
      </w:r>
    </w:p>
    <w:p>
      <w:pPr>
        <w:pStyle w:val="BodyText"/>
      </w:pPr>
      <w:r>
        <w:t xml:space="preserve">Each mood maps to a specific HSL region and predefined curve behaviors, enabling the keyword engine to translate mood selection into concrete color transformation parameters.</w:t>
      </w:r>
    </w:p>
    <w:bookmarkEnd w:id="135"/>
    <w:bookmarkStart w:id="136" w:name="X3f97b83844cb73b79766f6c1fa7ea5d483dce98"/>
    <w:p>
      <w:pPr>
        <w:pStyle w:val="Heading4"/>
      </w:pPr>
      <w:r>
        <w:t xml:space="preserve">8.1.3 Match Scoring Algorithm: Percentage-Based Relevance with Explanation Tags</w:t>
      </w:r>
    </w:p>
    <w:p>
      <w:pPr>
        <w:pStyle w:val="FirstParagraph"/>
      </w:pPr>
      <w:r>
        <w:t xml:space="preserve">The mock AI presents recommendations through a percentage-based match scoring interface. When a user selects a mood or uploads a reference image, the system returns a ranked list of LUTs with relevance scores ranging from 0% to 100%, displayed at 5% increments. Scores above 85% trigger a</w:t>
      </w:r>
      <w:r>
        <w:t xml:space="preserve"> </w:t>
      </w:r>
      <w:r>
        <w:t xml:space="preserve">“</w:t>
      </w:r>
      <w:r>
        <w:t xml:space="preserve">Strong Match</w:t>
      </w:r>
      <w:r>
        <w:t xml:space="preserve">”</w:t>
      </w:r>
      <w:r>
        <w:t xml:space="preserve"> </w:t>
      </w:r>
      <w:r>
        <w:t xml:space="preserve">badge; scores between 70% and 84% display</w:t>
      </w:r>
      <w:r>
        <w:t xml:space="preserve"> </w:t>
      </w:r>
      <w:r>
        <w:t xml:space="preserve">“</w:t>
      </w:r>
      <w:r>
        <w:t xml:space="preserve">Good Match</w:t>
      </w:r>
      <w:r>
        <w:t xml:space="preserve">”</w:t>
      </w:r>
      <w:r>
        <w:t xml:space="preserve">; scores below 70% show</w:t>
      </w:r>
      <w:r>
        <w:t xml:space="preserve"> </w:t>
      </w:r>
      <w:r>
        <w:t xml:space="preserve">“</w:t>
      </w:r>
      <w:r>
        <w:t xml:space="preserve">Experimental</w:t>
      </w:r>
      <w:r>
        <w:t xml:space="preserve">”</w:t>
      </w:r>
      <w:r>
        <w:t xml:space="preserve"> </w:t>
      </w:r>
      <w:r>
        <w:t xml:space="preserve">with a disclaimer that manual adjustment may be required.</w:t>
      </w:r>
    </w:p>
    <w:p>
      <w:pPr>
        <w:pStyle w:val="BodyText"/>
      </w:pPr>
      <w:r>
        <w:t xml:space="preserve">Each score derives from a weighted multi-factor algorithm:</w:t>
      </w:r>
    </w:p>
    <w:p>
      <w:pPr>
        <w:pStyle w:val="BodyText"/>
      </w:pPr>
      <m:oMathPara>
        <m:oMathParaPr>
          <m:jc m:val="center"/>
        </m:oMathParaPr>
        <m:oMath>
          <m:sSub>
            <m:e>
              <m:r>
                <m:t>S</m:t>
              </m:r>
            </m:e>
            <m:sub>
              <m:r>
                <m:t>t</m:t>
              </m:r>
              <m:r>
                <m:t>o</m:t>
              </m:r>
              <m:r>
                <m:t>t</m:t>
              </m:r>
              <m:r>
                <m:t>a</m:t>
              </m:r>
              <m:r>
                <m:t>l</m:t>
              </m:r>
            </m:sub>
          </m:sSub>
          <m:r>
            <m:rPr>
              <m:sty m:val="p"/>
            </m:rPr>
            <m:t>=</m:t>
          </m:r>
          <m:r>
            <m:t>0.40</m:t>
          </m:r>
          <m:r>
            <m:rPr>
              <m:sty m:val="p"/>
            </m:rPr>
            <m:t>⋅</m:t>
          </m:r>
          <m:sSub>
            <m:e>
              <m:r>
                <m:t>S</m:t>
              </m:r>
            </m:e>
            <m:sub>
              <m:r>
                <m:t>m</m:t>
              </m:r>
              <m:r>
                <m:t>o</m:t>
              </m:r>
              <m:r>
                <m:t>o</m:t>
              </m:r>
              <m:r>
                <m:t>d</m:t>
              </m:r>
            </m:sub>
          </m:sSub>
          <m:r>
            <m:rPr>
              <m:sty m:val="p"/>
            </m:rPr>
            <m:t>+</m:t>
          </m:r>
          <m:r>
            <m:t>0.25</m:t>
          </m:r>
          <m:r>
            <m:rPr>
              <m:sty m:val="p"/>
            </m:rPr>
            <m:t>⋅</m:t>
          </m:r>
          <m:sSub>
            <m:e>
              <m:r>
                <m:t>S</m:t>
              </m:r>
            </m:e>
            <m:sub>
              <m:r>
                <m:t>c</m:t>
              </m:r>
              <m:r>
                <m:t>o</m:t>
              </m:r>
              <m:r>
                <m:t>l</m:t>
              </m:r>
              <m:r>
                <m:t>o</m:t>
              </m:r>
              <m:r>
                <m:t>r</m:t>
              </m:r>
            </m:sub>
          </m:sSub>
          <m:r>
            <m:rPr>
              <m:sty m:val="p"/>
            </m:rPr>
            <m:t>+</m:t>
          </m:r>
          <m:r>
            <m:t>0.20</m:t>
          </m:r>
          <m:r>
            <m:rPr>
              <m:sty m:val="p"/>
            </m:rPr>
            <m:t>⋅</m:t>
          </m:r>
          <m:sSub>
            <m:e>
              <m:r>
                <m:t>S</m:t>
              </m:r>
            </m:e>
            <m:sub>
              <m:r>
                <m:t>c</m:t>
              </m:r>
              <m:r>
                <m:t>o</m:t>
              </m:r>
              <m:r>
                <m:t>n</m:t>
              </m:r>
              <m:r>
                <m:t>t</m:t>
              </m:r>
              <m:r>
                <m:t>r</m:t>
              </m:r>
              <m:r>
                <m:t>a</m:t>
              </m:r>
              <m:r>
                <m:t>s</m:t>
              </m:r>
              <m:r>
                <m:t>t</m:t>
              </m:r>
            </m:sub>
          </m:sSub>
          <m:r>
            <m:rPr>
              <m:sty m:val="p"/>
            </m:rPr>
            <m:t>+</m:t>
          </m:r>
          <m:r>
            <m:t>0.10</m:t>
          </m:r>
          <m:r>
            <m:rPr>
              <m:sty m:val="p"/>
            </m:rPr>
            <m:t>⋅</m:t>
          </m:r>
          <m:sSub>
            <m:e>
              <m:r>
                <m:t>S</m:t>
              </m:r>
            </m:e>
            <m:sub>
              <m:r>
                <m:t>s</m:t>
              </m:r>
              <m:r>
                <m:t>c</m:t>
              </m:r>
              <m:r>
                <m:t>e</m:t>
              </m:r>
              <m:r>
                <m:t>n</m:t>
              </m:r>
              <m:r>
                <m:t>e</m:t>
              </m:r>
            </m:sub>
          </m:sSub>
          <m:r>
            <m:rPr>
              <m:sty m:val="p"/>
            </m:rPr>
            <m:t>+</m:t>
          </m:r>
          <m:r>
            <m:t>0.05</m:t>
          </m:r>
          <m:r>
            <m:rPr>
              <m:sty m:val="p"/>
            </m:rPr>
            <m:t>⋅</m:t>
          </m:r>
          <m:sSub>
            <m:e>
              <m:r>
                <m:t>S</m:t>
              </m:r>
            </m:e>
            <m:sub>
              <m:r>
                <m:t>g</m:t>
              </m:r>
              <m:r>
                <m:t>r</m:t>
              </m:r>
              <m:r>
                <m:t>a</m:t>
              </m:r>
              <m:r>
                <m:t>i</m:t>
              </m:r>
              <m:r>
                <m:t>n</m:t>
              </m:r>
            </m:sub>
          </m:sSub>
        </m:oMath>
      </m:oMathPara>
    </w:p>
    <w:p>
      <w:pPr>
        <w:pStyle w:val="FirstParagraph"/>
      </w:pPr>
      <w:r>
        <w:t xml:space="preserve">Explanation tags translate these factors into plain language (e.g.,</w:t>
      </w:r>
      <w:r>
        <w:t xml:space="preserve"> </w:t>
      </w:r>
      <w:r>
        <w:t xml:space="preserve">“</w:t>
      </w:r>
      <w:r>
        <w:t xml:space="preserve">Matches your</w:t>
      </w:r>
      <w:r>
        <w:t xml:space="preserve"> </w:t>
      </w:r>
      <w:r>
        <w:t xml:space="preserve">‘</w:t>
      </w:r>
      <w:r>
        <w:t xml:space="preserve">Moody</w:t>
      </w:r>
      <w:r>
        <w:t xml:space="preserve">’</w:t>
      </w:r>
      <w:r>
        <w:t xml:space="preserve"> </w:t>
      </w:r>
      <w:r>
        <w:t xml:space="preserve">preference with 92% shadow depth compatibility</w:t>
      </w:r>
      <w:r>
        <w:t xml:space="preserve">”</w:t>
      </w:r>
      <w:r>
        <w:t xml:space="preserve">), conditioning users to think in structured color attributes — a mental model that will transfer directly to the natural language prompting interface planned for Phase 2.</w:t>
      </w:r>
    </w:p>
    <w:bookmarkEnd w:id="136"/>
    <w:bookmarkEnd w:id="137"/>
    <w:bookmarkStart w:id="142" w:name="future-ai-roadmap"/>
    <w:p>
      <w:pPr>
        <w:pStyle w:val="Heading3"/>
      </w:pPr>
      <w:r>
        <w:t xml:space="preserve">8.2 Future AI Roadmap</w:t>
      </w:r>
    </w:p>
    <w:p>
      <w:pPr>
        <w:pStyle w:val="FirstParagraph"/>
      </w:pPr>
      <w:r>
        <w:t xml:space="preserve">The transition from mock AI to a fully neural color engine represents the highest-priority technical investment in the CINEGRADE LAB roadmap. The following sections describe the four foundational components of this transition, each grounded in current industry-validated research and existing production systems.</w:t>
      </w:r>
    </w:p>
    <w:bookmarkStart w:id="138" w:name="X4f63976dd22735f479ac7ce72cd41f84c92a0eb"/>
    <w:p>
      <w:pPr>
        <w:pStyle w:val="Heading4"/>
      </w:pPr>
      <w:r>
        <w:t xml:space="preserve">8.2.1 Encoder-Decoder Transformers Trained on 10M+ Images</w:t>
      </w:r>
    </w:p>
    <w:p>
      <w:pPr>
        <w:pStyle w:val="FirstParagraph"/>
      </w:pPr>
      <w:r>
        <w:t xml:space="preserve">The technical architecture for CINEGRADE LAB’s neural engine will follow the encoder-decoder transformer model pioneered by Colourlab.ai Gen 3, which in September 2024 became the first color grading system to apply transformer architecture directly to RGB image data</w:t>
      </w:r>
      <w:r>
        <w:t xml:space="preserve"> </w:t>
      </w:r>
      <w:r>
        <w:rPr>
          <w:vertAlign w:val="superscript"/>
        </w:rPr>
        <w:t xml:space="preserve">83</w:t>
      </w:r>
      <w:r>
        <w:t xml:space="preserve">. Colourlab’s self-supervised learning model, trained on 10 million images, demonstrated that transformer-based color analysis could simultaneously handle neutral balancing, shot-to-shot matching, and look application within a single unified network</w:t>
      </w:r>
      <w:r>
        <w:t xml:space="preserve"> </w:t>
      </w:r>
      <w:r>
        <w:rPr>
          <w:vertAlign w:val="superscript"/>
        </w:rPr>
        <w:t xml:space="preserve">83</w:t>
      </w:r>
      <w:r>
        <w:t xml:space="preserve">.</w:t>
      </w:r>
    </w:p>
    <w:p>
      <w:pPr>
        <w:pStyle w:val="BodyText"/>
      </w:pPr>
      <w:r>
        <w:t xml:space="preserve">For CINEGRADE LAB, the planned training pipeline will adopt a comparable self-supervised approach, eliminating the need for manually annotated training data. The encoder-decoder architecture offers two decisive advantages over convolutional neural network (CNN) approaches: the self-attention mechanism captures long-range spatial dependencies enabling context-aware color decisions, and the decoder’s generative capacity produces full-resolution color transformations rather than mere parameter adjustments</w:t>
      </w:r>
      <w:r>
        <w:t xml:space="preserve"> </w:t>
      </w:r>
      <w:r>
        <w:rPr>
          <w:vertAlign w:val="superscript"/>
        </w:rPr>
        <w:t xml:space="preserve">86</w:t>
      </w:r>
      <w:r>
        <w:t xml:space="preserve"> </w:t>
      </w:r>
      <w:r>
        <w:rPr>
          <w:vertAlign w:val="superscript"/>
        </w:rPr>
        <w:t xml:space="preserve">87</w:t>
      </w:r>
      <w:r>
        <w:t xml:space="preserve">. Research published in November 2024 validated this direction, demonstrating that VGG feature extraction with Adaptive Instance Normalization (AdaIN) fusion generates parametric color grading parameters directly from content-style image pairs while resolving inter-frame consistency</w:t>
      </w:r>
      <w:r>
        <w:t xml:space="preserve"> </w:t>
      </w:r>
      <w:r>
        <w:rPr>
          <w:vertAlign w:val="superscript"/>
        </w:rPr>
        <w:t xml:space="preserve">87</w:t>
      </w:r>
      <w:r>
        <w:t xml:space="preserve">. The Condensed Movie Dataset — 33,000 clips from 3,600 professionally graded films — provides a proven training corpus</w:t>
      </w:r>
      <w:r>
        <w:t xml:space="preserve"> </w:t>
      </w:r>
      <w:r>
        <w:rPr>
          <w:vertAlign w:val="superscript"/>
        </w:rPr>
        <w:t xml:space="preserve">88</w:t>
      </w:r>
      <w:r>
        <w:t xml:space="preserve">.</w:t>
      </w:r>
    </w:p>
    <w:bookmarkEnd w:id="138"/>
    <w:bookmarkStart w:id="139" w:name="Xec12aac9ec78899f9b9e8c601520c5b9e3fa9ca"/>
    <w:p>
      <w:pPr>
        <w:pStyle w:val="Heading4"/>
      </w:pPr>
      <w:r>
        <w:t xml:space="preserve">8.2.2 ACES-Native Neural Engine for Professional Workflows</w:t>
      </w:r>
    </w:p>
    <w:p>
      <w:pPr>
        <w:pStyle w:val="FirstParagraph"/>
      </w:pPr>
      <w:r>
        <w:t xml:space="preserve">A critical differentiator for the CINEGRADE LAB neural engine will be native ACES (Academy Color Encoding System) processing throughout the inference pipeline. Colourlab AI Creator currently stands as the only neural engine operating natively in ACES color space, offering 16 stops of dynamic range with full floating-point output compared to the 8-bit limitation of traditional engines</w:t>
      </w:r>
      <w:r>
        <w:t xml:space="preserve"> </w:t>
      </w:r>
      <w:r>
        <w:rPr>
          <w:vertAlign w:val="superscript"/>
        </w:rPr>
        <w:t xml:space="preserve">89</w:t>
      </w:r>
      <w:r>
        <w:t xml:space="preserve">. An ACES-native pipeline preserves the entire dynamic range of cinema camera RAW files through AI processing, ensuring shadow and highlight detail can still influence color decisions. The CINEGRADE LAB implementation will process all inference within ACES 2065-1, applying camera-specific Input Device Transforms (IDTs) before encoder analysis and Output Device Transforms (ODTs) for delivery. ACES-native processing also handles HDR workflows — Dolby Vision, HDR10+, and HLG — without separate training tracks, because ACES normalizes all input to a scene-referred linear domain</w:t>
      </w:r>
      <w:r>
        <w:t xml:space="preserve"> </w:t>
      </w:r>
      <w:r>
        <w:rPr>
          <w:vertAlign w:val="superscript"/>
        </w:rPr>
        <w:t xml:space="preserve">89</w:t>
      </w:r>
      <w:r>
        <w:t xml:space="preserve"> </w:t>
      </w:r>
      <w:r>
        <w:rPr>
          <w:vertAlign w:val="superscript"/>
        </w:rPr>
        <w:t xml:space="preserve">90</w:t>
      </w:r>
      <w:r>
        <w:t xml:space="preserve">.</w:t>
      </w:r>
    </w:p>
    <w:bookmarkEnd w:id="139"/>
    <w:bookmarkStart w:id="140" w:name="Xb88ab0207cc147d4c0ded927053c43981037178"/>
    <w:p>
      <w:pPr>
        <w:pStyle w:val="Heading4"/>
      </w:pPr>
      <w:r>
        <w:t xml:space="preserve">8.2.3 Text-to-Grade Interface: Natural Language Prompting for Look Generation</w:t>
      </w:r>
    </w:p>
    <w:p>
      <w:pPr>
        <w:pStyle w:val="FirstParagraph"/>
      </w:pPr>
      <w:r>
        <w:t xml:space="preserve">The most significant user-facing change in the neural engine roadmap is the Text-to-Grade interface, enabling users to describe desired color treatments in natural language rather than selecting preset categories. This paradigm is already operational: Runway ML’s</w:t>
      </w:r>
      <w:r>
        <w:t xml:space="preserve"> </w:t>
      </w:r>
      <w:r>
        <w:t xml:space="preserve">“</w:t>
      </w:r>
      <w:r>
        <w:t xml:space="preserve">Text to Color LUT</w:t>
      </w:r>
      <w:r>
        <w:t xml:space="preserve">”</w:t>
      </w:r>
      <w:r>
        <w:t xml:space="preserve"> </w:t>
      </w:r>
      <w:r>
        <w:t xml:space="preserve">generates treatments from prompts such as</w:t>
      </w:r>
      <w:r>
        <w:t xml:space="preserve"> </w:t>
      </w:r>
      <w:r>
        <w:t xml:space="preserve">“</w:t>
      </w:r>
      <w:r>
        <w:t xml:space="preserve">subtle orange hue, cinematic golden hour</w:t>
      </w:r>
      <w:r>
        <w:t xml:space="preserve">”</w:t>
      </w:r>
      <w:r>
        <w:t xml:space="preserve"> </w:t>
      </w:r>
      <w:r>
        <w:rPr>
          <w:vertAlign w:val="superscript"/>
        </w:rPr>
        <w:t xml:space="preserve">91</w:t>
      </w:r>
      <w:r>
        <w:t xml:space="preserve">; Adobe Premiere Pro has integrated Firefly AI for generative text-to-grade prompts</w:t>
      </w:r>
      <w:r>
        <w:t xml:space="preserve"> </w:t>
      </w:r>
      <w:r>
        <w:rPr>
          <w:vertAlign w:val="superscript"/>
        </w:rPr>
        <w:t xml:space="preserve">92</w:t>
      </w:r>
      <w:r>
        <w:t xml:space="preserve">. The technical implementation follows an NLP pipeline mapped to 3D color space values — language models identify color characteristics and map them to LUT coordinates, generating</w:t>
      </w:r>
      <w:r>
        <w:t xml:space="preserve"> </w:t>
      </w:r>
      <w:r>
        <w:rPr>
          <w:rStyle w:val="VerbatimChar"/>
        </w:rPr>
        <w:t xml:space="preserve">.cube</w:t>
      </w:r>
      <w:r>
        <w:t xml:space="preserve"> </w:t>
      </w:r>
      <w:r>
        <w:t xml:space="preserve">files compatible with standard editing software</w:t>
      </w:r>
      <w:r>
        <w:t xml:space="preserve"> </w:t>
      </w:r>
      <w:r>
        <w:rPr>
          <w:vertAlign w:val="superscript"/>
        </w:rPr>
        <w:t xml:space="preserve">93</w:t>
      </w:r>
      <w:r>
        <w:t xml:space="preserve">. Structured prompt templates —</w:t>
      </w:r>
      <w:r>
        <w:t xml:space="preserve"> </w:t>
      </w:r>
      <w:r>
        <w:rPr>
          <w:rStyle w:val="VerbatimChar"/>
        </w:rPr>
        <w:t xml:space="preserve">color grade: {Name} — shadows {color}, midtones {color}, highlights {color}, skin tones {description}</w:t>
      </w:r>
      <w:r>
        <w:t xml:space="preserve"> </w:t>
      </w:r>
      <w:r>
        <w:t xml:space="preserve">— achieve consistent results across multiple AI platforms</w:t>
      </w:r>
      <w:r>
        <w:t xml:space="preserve"> </w:t>
      </w:r>
      <w:r>
        <w:rPr>
          <w:vertAlign w:val="superscript"/>
        </w:rPr>
        <w:t xml:space="preserve">94</w:t>
      </w:r>
      <w:r>
        <w:t xml:space="preserve">. CINEGRADE LAB’s interface will combine this prompting paradigm with its proprietary film emulation database, enabling references to specific cinematic looks (</w:t>
      </w:r>
      <w:r>
        <w:t xml:space="preserve">“</w:t>
      </w:r>
      <w:r>
        <w:t xml:space="preserve">match the color palette of</w:t>
      </w:r>
      <w:r>
        <w:t xml:space="preserve"> </w:t>
      </w:r>
      <w:r>
        <w:rPr>
          <w:iCs/>
          <w:i/>
        </w:rPr>
        <w:t xml:space="preserve">Blade Runner 2049</w:t>
      </w:r>
      <w:r>
        <w:t xml:space="preserve">”</w:t>
      </w:r>
      <w:r>
        <w:t xml:space="preserve">) with quantifiably accurate emulations.</w:t>
      </w:r>
    </w:p>
    <w:bookmarkEnd w:id="140"/>
    <w:bookmarkStart w:id="141" w:name="X162c7078e2d90339f13eaf0a809b81ff5e427f7"/>
    <w:p>
      <w:pPr>
        <w:pStyle w:val="Heading4"/>
      </w:pPr>
      <w:r>
        <w:t xml:space="preserve">8.2.4 Personal AI Profiles: Learning Individual Editing Styles from 2,000+ Edited Photos</w:t>
      </w:r>
    </w:p>
    <w:p>
      <w:pPr>
        <w:pStyle w:val="FirstParagraph"/>
      </w:pPr>
      <w:r>
        <w:t xml:space="preserve">The fourth pillar of the neural roadmap adapts the Personal AI Profile concept from Imagen AI, which analyzes 2,000 or more previously edited photographs to learn a creator’s unique editing style and can subsequently apply that style to 1,500 photos in under 10 minutes — a 96% time reduction compared to manual editing</w:t>
      </w:r>
      <w:r>
        <w:t xml:space="preserve"> </w:t>
      </w:r>
      <w:r>
        <w:rPr>
          <w:vertAlign w:val="superscript"/>
        </w:rPr>
        <w:t xml:space="preserve">95</w:t>
      </w:r>
      <w:r>
        <w:t xml:space="preserve"> </w:t>
      </w:r>
      <w:r>
        <w:rPr>
          <w:vertAlign w:val="superscript"/>
        </w:rPr>
        <w:t xml:space="preserve">96</w:t>
      </w:r>
      <w:r>
        <w:t xml:space="preserve">. Imagen’s system learns from White Balance, Tone (Exposure, Contrast, Highlights, Shadows, Whites, Blacks), Presence (Clarity, Vibrance, Saturation, Texture, Dehaze), HSL adjustments, and Tone Curve decisions</w:t>
      </w:r>
      <w:r>
        <w:t xml:space="preserve"> </w:t>
      </w:r>
      <w:r>
        <w:rPr>
          <w:vertAlign w:val="superscript"/>
        </w:rPr>
        <w:t xml:space="preserve">95</w:t>
      </w:r>
      <w:r>
        <w:t xml:space="preserve">.</w:t>
      </w:r>
    </w:p>
    <w:p>
      <w:pPr>
        <w:pStyle w:val="BodyText"/>
      </w:pPr>
      <w:r>
        <w:t xml:space="preserve">For CINEGRADE LAB, Personal AI Profiles will extend into video color grading workflows. The 2,000-image minimum ensures the model captures genuine preferences rather than population averages, with training taking up to 24 hours</w:t>
      </w:r>
      <w:r>
        <w:t xml:space="preserve"> </w:t>
      </w:r>
      <w:r>
        <w:rPr>
          <w:vertAlign w:val="superscript"/>
        </w:rPr>
        <w:t xml:space="preserve">95</w:t>
      </w:r>
      <w:r>
        <w:t xml:space="preserve">. Once trained, a profile will rank recommendations by predicted style alignment and eventually generate custom LUT interpolations blending CINEGRADE base emulations with the user’s demonstrated aesthetic tendencies.</w:t>
      </w:r>
    </w:p>
    <w:tbl>
      <w:tblPr>
        <w:tblStyle w:val="Table"/>
        <w:tblW w:type="pct" w:w="5000"/>
        <w:tblLook w:firstRow="1" w:lastRow="0" w:firstColumn="0" w:lastColumn="0" w:noHBand="0" w:noVBand="0" w:val="0020"/>
      </w:tblPr>
      <w:tblGrid>
        <w:gridCol w:w="1070"/>
        <w:gridCol w:w="2140"/>
        <w:gridCol w:w="1605"/>
        <w:gridCol w:w="2140"/>
        <w:gridCol w:w="963"/>
      </w:tblGrid>
      <w:tr>
        <w:trPr>
          <w:tblHeader w:val="true"/>
        </w:trPr>
        <w:tc>
          <w:tcPr/>
          <w:p>
            <w:pPr>
              <w:pStyle w:val="Compact"/>
              <w:jc w:val="right"/>
            </w:pPr>
            <w:r>
              <w:t xml:space="preserve">Platform</w:t>
            </w:r>
          </w:p>
        </w:tc>
        <w:tc>
          <w:tcPr/>
          <w:p>
            <w:pPr>
              <w:pStyle w:val="Compact"/>
              <w:jc w:val="left"/>
            </w:pPr>
            <w:r>
              <w:t xml:space="preserve">Core AI Technology</w:t>
            </w:r>
          </w:p>
        </w:tc>
        <w:tc>
          <w:tcPr/>
          <w:p>
            <w:pPr>
              <w:pStyle w:val="Compact"/>
              <w:jc w:val="left"/>
            </w:pPr>
            <w:r>
              <w:t xml:space="preserve">Training Scale</w:t>
            </w:r>
          </w:p>
        </w:tc>
        <w:tc>
          <w:tcPr/>
          <w:p>
            <w:pPr>
              <w:pStyle w:val="Compact"/>
              <w:jc w:val="left"/>
            </w:pPr>
            <w:r>
              <w:t xml:space="preserve">Key Differentiator</w:t>
            </w:r>
          </w:p>
        </w:tc>
        <w:tc>
          <w:tcPr/>
          <w:p>
            <w:pPr>
              <w:pStyle w:val="Compact"/>
              <w:jc w:val="left"/>
            </w:pPr>
            <w:r>
              <w:t xml:space="preserve">Pricing</w:t>
            </w:r>
          </w:p>
        </w:tc>
      </w:tr>
      <w:tr>
        <w:tc>
          <w:tcPr/>
          <w:p>
            <w:pPr>
              <w:pStyle w:val="Compact"/>
              <w:jc w:val="right"/>
            </w:pPr>
            <w:r>
              <w:t xml:space="preserve">Colourlab.ai Gen 3</w:t>
            </w:r>
          </w:p>
        </w:tc>
        <w:tc>
          <w:tcPr/>
          <w:p>
            <w:pPr>
              <w:pStyle w:val="Compact"/>
              <w:jc w:val="left"/>
            </w:pPr>
            <w:r>
              <w:t xml:space="preserve">Encoder-decoder transformers, self-supervised learning</w:t>
            </w:r>
            <w:r>
              <w:t xml:space="preserve"> </w:t>
            </w:r>
            <w:r>
              <w:rPr>
                <w:vertAlign w:val="superscript"/>
              </w:rPr>
              <w:t xml:space="preserve">83</w:t>
            </w:r>
          </w:p>
        </w:tc>
        <w:tc>
          <w:tcPr/>
          <w:p>
            <w:pPr>
              <w:pStyle w:val="Compact"/>
              <w:jc w:val="left"/>
            </w:pPr>
            <w:r>
              <w:t xml:space="preserve">10M images</w:t>
            </w:r>
          </w:p>
        </w:tc>
        <w:tc>
          <w:tcPr/>
          <w:p>
            <w:pPr>
              <w:pStyle w:val="Compact"/>
              <w:jc w:val="left"/>
            </w:pPr>
            <w:r>
              <w:t xml:space="preserve">First ACES-native neural engine; on-device processing</w:t>
            </w:r>
            <w:r>
              <w:t xml:space="preserve"> </w:t>
            </w:r>
            <w:r>
              <w:rPr>
                <w:vertAlign w:val="superscript"/>
              </w:rPr>
              <w:t xml:space="preserve">89</w:t>
            </w:r>
          </w:p>
        </w:tc>
        <w:tc>
          <w:tcPr/>
          <w:p>
            <w:pPr>
              <w:pStyle w:val="Compact"/>
              <w:jc w:val="left"/>
            </w:pPr>
            <w:r>
              <w:t xml:space="preserve">$15/mo – $300 perpetual</w:t>
            </w:r>
          </w:p>
        </w:tc>
      </w:tr>
      <w:tr>
        <w:tc>
          <w:tcPr/>
          <w:p>
            <w:pPr>
              <w:pStyle w:val="Compact"/>
              <w:jc w:val="right"/>
            </w:pPr>
            <w:r>
              <w:t xml:space="preserve">fylm.ai</w:t>
            </w:r>
          </w:p>
        </w:tc>
        <w:tc>
          <w:tcPr/>
          <w:p>
            <w:pPr>
              <w:pStyle w:val="Compact"/>
              <w:jc w:val="left"/>
            </w:pPr>
            <w:r>
              <w:t xml:space="preserve">NeuralToneAI, NeuralFilmAI, CMY subtractive modeling</w:t>
            </w:r>
            <w:r>
              <w:t xml:space="preserve"> </w:t>
            </w:r>
            <w:r>
              <w:rPr>
                <w:vertAlign w:val="superscript"/>
              </w:rPr>
              <w:t xml:space="preserve">97</w:t>
            </w:r>
          </w:p>
        </w:tc>
        <w:tc>
          <w:tcPr/>
          <w:p>
            <w:pPr>
              <w:pStyle w:val="Compact"/>
              <w:jc w:val="left"/>
            </w:pPr>
            <w:r>
              <w:t xml:space="preserve">Proprietary (undisclosed)</w:t>
            </w:r>
          </w:p>
        </w:tc>
        <w:tc>
          <w:tcPr/>
          <w:p>
            <w:pPr>
              <w:pStyle w:val="Compact"/>
              <w:jc w:val="left"/>
            </w:pPr>
            <w:r>
              <w:t xml:space="preserve">Cloud-based collaborative workflow; up to 90% time savings on HDR show LUTs</w:t>
            </w:r>
            <w:r>
              <w:t xml:space="preserve"> </w:t>
            </w:r>
            <w:r>
              <w:rPr>
                <w:vertAlign w:val="superscript"/>
              </w:rPr>
              <w:t xml:space="preserve">97</w:t>
            </w:r>
          </w:p>
        </w:tc>
        <w:tc>
          <w:tcPr/>
          <w:p>
            <w:pPr>
              <w:pStyle w:val="Compact"/>
              <w:jc w:val="left"/>
            </w:pPr>
            <w:r>
              <w:t xml:space="preserve">Subscription tiers</w:t>
            </w:r>
          </w:p>
        </w:tc>
      </w:tr>
      <w:tr>
        <w:tc>
          <w:tcPr/>
          <w:p>
            <w:pPr>
              <w:pStyle w:val="Compact"/>
              <w:jc w:val="right"/>
            </w:pPr>
            <w:r>
              <w:t xml:space="preserve">DaVinci Resolve Neural Engine</w:t>
            </w:r>
          </w:p>
        </w:tc>
        <w:tc>
          <w:tcPr/>
          <w:p>
            <w:pPr>
              <w:pStyle w:val="Compact"/>
              <w:jc w:val="left"/>
            </w:pPr>
            <w:r>
              <w:t xml:space="preserve">Deep neural networks, ML facial recognition, IntelliTrack AI</w:t>
            </w:r>
            <w:r>
              <w:t xml:space="preserve"> </w:t>
            </w:r>
            <w:r>
              <w:rPr>
                <w:vertAlign w:val="superscript"/>
              </w:rPr>
              <w:t xml:space="preserve">84</w:t>
            </w:r>
            <w:r>
              <w:t xml:space="preserve"> </w:t>
            </w:r>
            <w:r>
              <w:rPr>
                <w:vertAlign w:val="superscript"/>
              </w:rPr>
              <w:t xml:space="preserve">98</w:t>
            </w:r>
          </w:p>
        </w:tc>
        <w:tc>
          <w:tcPr/>
          <w:p>
            <w:pPr>
              <w:pStyle w:val="Compact"/>
              <w:jc w:val="left"/>
            </w:pPr>
            <w:r>
              <w:t xml:space="preserve">Proprietary (Blackmagic)</w:t>
            </w:r>
          </w:p>
        </w:tc>
        <w:tc>
          <w:tcPr/>
          <w:p>
            <w:pPr>
              <w:pStyle w:val="Compact"/>
              <w:jc w:val="left"/>
            </w:pPr>
            <w:r>
              <w:t xml:space="preserve">Full integration with professional editing/color/finishing; 100+ AI features</w:t>
            </w:r>
            <w:r>
              <w:t xml:space="preserve"> </w:t>
            </w:r>
            <w:r>
              <w:rPr>
                <w:vertAlign w:val="superscript"/>
              </w:rPr>
              <w:t xml:space="preserve">98</w:t>
            </w:r>
          </w:p>
        </w:tc>
        <w:tc>
          <w:tcPr/>
          <w:p>
            <w:pPr>
              <w:pStyle w:val="Compact"/>
              <w:jc w:val="left"/>
            </w:pPr>
            <w:r>
              <w:t xml:space="preserve">$295 one-time (Studio)</w:t>
            </w:r>
          </w:p>
        </w:tc>
      </w:tr>
      <w:tr>
        <w:tc>
          <w:tcPr/>
          <w:p>
            <w:pPr>
              <w:pStyle w:val="Compact"/>
              <w:jc w:val="right"/>
            </w:pPr>
            <w:r>
              <w:t xml:space="preserve">Imagen AI</w:t>
            </w:r>
          </w:p>
        </w:tc>
        <w:tc>
          <w:tcPr/>
          <w:p>
            <w:pPr>
              <w:pStyle w:val="Compact"/>
              <w:jc w:val="left"/>
            </w:pPr>
            <w:r>
              <w:t xml:space="preserve">Personal AI Profile learning from user edits</w:t>
            </w:r>
            <w:r>
              <w:t xml:space="preserve"> </w:t>
            </w:r>
            <w:r>
              <w:rPr>
                <w:vertAlign w:val="superscript"/>
              </w:rPr>
              <w:t xml:space="preserve">95</w:t>
            </w:r>
          </w:p>
        </w:tc>
        <w:tc>
          <w:tcPr/>
          <w:p>
            <w:pPr>
              <w:pStyle w:val="Compact"/>
              <w:jc w:val="left"/>
            </w:pPr>
            <w:r>
              <w:t xml:space="preserve">2,000+ photos per profile</w:t>
            </w:r>
          </w:p>
        </w:tc>
        <w:tc>
          <w:tcPr/>
          <w:p>
            <w:pPr>
              <w:pStyle w:val="Compact"/>
              <w:jc w:val="left"/>
            </w:pPr>
            <w:r>
              <w:t xml:space="preserve">Learns individual style; 96% time savings; 1,500 photos in &lt;10 min</w:t>
            </w:r>
            <w:r>
              <w:t xml:space="preserve"> </w:t>
            </w:r>
            <w:r>
              <w:rPr>
                <w:vertAlign w:val="superscript"/>
              </w:rPr>
              <w:t xml:space="preserve">96</w:t>
            </w:r>
          </w:p>
        </w:tc>
        <w:tc>
          <w:tcPr/>
          <w:p>
            <w:pPr>
              <w:pStyle w:val="Compact"/>
              <w:jc w:val="left"/>
            </w:pPr>
            <w:r>
              <w:t xml:space="preserve">$0.05–$0.07/image</w:t>
            </w:r>
          </w:p>
        </w:tc>
      </w:tr>
      <w:tr>
        <w:tc>
          <w:tcPr/>
          <w:p>
            <w:pPr>
              <w:pStyle w:val="Compact"/>
              <w:jc w:val="right"/>
            </w:pPr>
            <w:r>
              <w:t xml:space="preserve">Runway ML</w:t>
            </w:r>
          </w:p>
        </w:tc>
        <w:tc>
          <w:tcPr/>
          <w:p>
            <w:pPr>
              <w:pStyle w:val="Compact"/>
              <w:jc w:val="left"/>
            </w:pPr>
            <w:r>
              <w:t xml:space="preserve">Gen-4/Gen-4.5 multimodal models</w:t>
            </w:r>
            <w:r>
              <w:t xml:space="preserve"> </w:t>
            </w:r>
            <w:r>
              <w:rPr>
                <w:vertAlign w:val="superscript"/>
              </w:rPr>
              <w:t xml:space="preserve">91</w:t>
            </w:r>
            <w:r>
              <w:t xml:space="preserve"> </w:t>
            </w:r>
            <w:r>
              <w:rPr>
                <w:vertAlign w:val="superscript"/>
              </w:rPr>
              <w:t xml:space="preserve">99</w:t>
            </w:r>
          </w:p>
        </w:tc>
        <w:tc>
          <w:tcPr/>
          <w:p>
            <w:pPr>
              <w:pStyle w:val="Compact"/>
              <w:jc w:val="left"/>
            </w:pPr>
            <w:r>
              <w:t xml:space="preserve">Large-scale video + image</w:t>
            </w:r>
          </w:p>
        </w:tc>
        <w:tc>
          <w:tcPr/>
          <w:p>
            <w:pPr>
              <w:pStyle w:val="Compact"/>
              <w:jc w:val="left"/>
            </w:pPr>
            <w:r>
              <w:t xml:space="preserve">Text-to-Color LUT generation; film reference matching</w:t>
            </w:r>
            <w:r>
              <w:t xml:space="preserve"> </w:t>
            </w:r>
            <w:r>
              <w:rPr>
                <w:vertAlign w:val="superscript"/>
              </w:rPr>
              <w:t xml:space="preserve">100</w:t>
            </w:r>
          </w:p>
        </w:tc>
        <w:tc>
          <w:tcPr/>
          <w:p>
            <w:pPr>
              <w:pStyle w:val="Compact"/>
              <w:jc w:val="left"/>
            </w:pPr>
            <w:r>
              <w:t xml:space="preserve">$12–$76/month</w:t>
            </w:r>
          </w:p>
        </w:tc>
      </w:tr>
    </w:tbl>
    <w:p>
      <w:pPr>
        <w:pStyle w:val="BodyText"/>
      </w:pPr>
      <w:r>
        <w:t xml:space="preserve">The competitive landscape reveals two divergent philosophies: deep integration with professional color science pipelines (Colourlab.ai, DaVinci Resolve) versus accessibility through browser-based natural language interfaces (fylm.ai, Runway ML)</w:t>
      </w:r>
      <w:r>
        <w:t xml:space="preserve"> </w:t>
      </w:r>
      <w:r>
        <w:rPr>
          <w:vertAlign w:val="superscript"/>
        </w:rPr>
        <w:t xml:space="preserve">83</w:t>
      </w:r>
      <w:r>
        <w:t xml:space="preserve"> </w:t>
      </w:r>
      <w:r>
        <w:rPr>
          <w:vertAlign w:val="superscript"/>
        </w:rPr>
        <w:t xml:space="preserve">89</w:t>
      </w:r>
      <w:r>
        <w:t xml:space="preserve"> </w:t>
      </w:r>
      <w:r>
        <w:rPr>
          <w:vertAlign w:val="superscript"/>
        </w:rPr>
        <w:t xml:space="preserve">84</w:t>
      </w:r>
      <w:r>
        <w:t xml:space="preserve"> </w:t>
      </w:r>
      <w:r>
        <w:rPr>
          <w:vertAlign w:val="superscript"/>
        </w:rPr>
        <w:t xml:space="preserve">97</w:t>
      </w:r>
      <w:r>
        <w:t xml:space="preserve"> </w:t>
      </w:r>
      <w:r>
        <w:rPr>
          <w:vertAlign w:val="superscript"/>
        </w:rPr>
        <w:t xml:space="preserve">91</w:t>
      </w:r>
      <w:r>
        <w:t xml:space="preserve">. Imagen AI occupies a distinctive position with photographer-centric personalization</w:t>
      </w:r>
      <w:r>
        <w:t xml:space="preserve"> </w:t>
      </w:r>
      <w:r>
        <w:rPr>
          <w:vertAlign w:val="superscript"/>
        </w:rPr>
        <w:t xml:space="preserve">95</w:t>
      </w:r>
      <w:r>
        <w:t xml:space="preserve">. CINEGRADE LAB’s roadmap synthesizes all three approaches — color science rigor, text-to-grade accessibility, and personal profile learning — delivered through a web-native platform bridging hobbyist and professional workflows.</w:t>
      </w:r>
    </w:p>
    <w:bookmarkEnd w:id="141"/>
    <w:bookmarkEnd w:id="142"/>
    <w:bookmarkStart w:id="149" w:name="color-analysis-pipeline"/>
    <w:p>
      <w:pPr>
        <w:pStyle w:val="Heading3"/>
      </w:pPr>
      <w:r>
        <w:t xml:space="preserve">8.3 Color Analysis Pipeline</w:t>
      </w:r>
    </w:p>
    <w:bookmarkStart w:id="143" w:name="X882a9c04fca90e1db81f9cefdedae9ec89960c3"/>
    <w:p>
      <w:pPr>
        <w:pStyle w:val="Heading4"/>
      </w:pPr>
      <w:r>
        <w:t xml:space="preserve">8.3.1 Scene Detection: Automatic Lighting, Mood, and Skin Tone Analysis</w:t>
      </w:r>
    </w:p>
    <w:p>
      <w:pPr>
        <w:pStyle w:val="FirstParagraph"/>
      </w:pPr>
      <w:r>
        <w:t xml:space="preserve">The future CINEGRADE LAB color analysis pipeline will deploy computer vision models for automatic scene understanding prior to any recommendation or grading operation. Industry systems already demonstrate this viability: AI color grading tools identify skin tones, skies, foliage, and lighting conditions, applying targeted rather than global corrections</w:t>
      </w:r>
      <w:r>
        <w:t xml:space="preserve"> </w:t>
      </w:r>
      <w:r>
        <w:rPr>
          <w:vertAlign w:val="superscript"/>
        </w:rPr>
        <w:t xml:space="preserve">85</w:t>
      </w:r>
      <w:r>
        <w:t xml:space="preserve">; advanced systems recognize scene types — golden hour exteriors, moody interiors, neon urban environments — and suggest appropriate cinematic looks</w:t>
      </w:r>
      <w:r>
        <w:t xml:space="preserve"> </w:t>
      </w:r>
      <w:r>
        <w:rPr>
          <w:vertAlign w:val="superscript"/>
        </w:rPr>
        <w:t xml:space="preserve">85</w:t>
      </w:r>
      <w:r>
        <w:t xml:space="preserve">. Colourlab AI’s</w:t>
      </w:r>
      <w:r>
        <w:t xml:space="preserve"> </w:t>
      </w:r>
      <w:r>
        <w:t xml:space="preserve">“</w:t>
      </w:r>
      <w:r>
        <w:t xml:space="preserve">Timeline Intelligence</w:t>
      </w:r>
      <w:r>
        <w:t xml:space="preserve">”</w:t>
      </w:r>
      <w:r>
        <w:t xml:space="preserve"> </w:t>
      </w:r>
      <w:r>
        <w:t xml:space="preserve">sorts shots by time of day, camera angle, and composition for grouped grading</w:t>
      </w:r>
      <w:r>
        <w:t xml:space="preserve"> </w:t>
      </w:r>
      <w:r>
        <w:rPr>
          <w:vertAlign w:val="superscript"/>
        </w:rPr>
        <w:t xml:space="preserve">101</w:t>
      </w:r>
      <w:r>
        <w:t xml:space="preserve">, while DaVinci Resolve’s Scene Cut Detection uses neural networks to identify shot changes in pre-conformed files</w:t>
      </w:r>
      <w:r>
        <w:t xml:space="preserve"> </w:t>
      </w:r>
      <w:r>
        <w:rPr>
          <w:vertAlign w:val="superscript"/>
        </w:rPr>
        <w:t xml:space="preserve">102</w:t>
      </w:r>
      <w:r>
        <w:t xml:space="preserve">.</w:t>
      </w:r>
    </w:p>
    <w:p>
      <w:pPr>
        <w:pStyle w:val="BodyText"/>
      </w:pPr>
      <w:r>
        <w:t xml:space="preserve">The CINEGRADE LAB scene detection module will implement four-stage analysis: (1)</w:t>
      </w:r>
      <w:r>
        <w:t xml:space="preserve"> </w:t>
      </w:r>
      <w:r>
        <w:rPr>
          <w:bCs/>
          <w:b/>
        </w:rPr>
        <w:t xml:space="preserve">Semantic segmentation</w:t>
      </w:r>
      <w:r>
        <w:t xml:space="preserve"> </w:t>
      </w:r>
      <w:r>
        <w:t xml:space="preserve">identifying skin, sky, architectural, and natural features; (2)</w:t>
      </w:r>
      <w:r>
        <w:t xml:space="preserve"> </w:t>
      </w:r>
      <w:r>
        <w:rPr>
          <w:bCs/>
          <w:b/>
        </w:rPr>
        <w:t xml:space="preserve">Illumination estimation</w:t>
      </w:r>
      <w:r>
        <w:t xml:space="preserve"> </w:t>
      </w:r>
      <w:r>
        <w:t xml:space="preserve">classifying lighting scenarios from highlight color temperature and shadow density; (3)</w:t>
      </w:r>
      <w:r>
        <w:t xml:space="preserve"> </w:t>
      </w:r>
      <w:r>
        <w:rPr>
          <w:bCs/>
          <w:b/>
        </w:rPr>
        <w:t xml:space="preserve">Mood inference</w:t>
      </w:r>
      <w:r>
        <w:t xml:space="preserve"> </w:t>
      </w:r>
      <w:r>
        <w:t xml:space="preserve">from histogram shape, saturation, and color temperature; (4)</w:t>
      </w:r>
      <w:r>
        <w:t xml:space="preserve"> </w:t>
      </w:r>
      <w:r>
        <w:rPr>
          <w:bCs/>
          <w:b/>
        </w:rPr>
        <w:t xml:space="preserve">Skin tone preservation flagging</w:t>
      </w:r>
      <w:r>
        <w:t xml:space="preserve"> </w:t>
      </w:r>
      <w:r>
        <w:t xml:space="preserve">ensuring accurate melanin rendering across all skin types. Execution target: under 200 ms per 4K frame on GPU-accelerated infrastructure.</w:t>
      </w:r>
    </w:p>
    <w:bookmarkEnd w:id="143"/>
    <w:bookmarkStart w:id="144" w:name="Xdd26e3b40e6756a6204cbf072bf1a8934d71882"/>
    <w:p>
      <w:pPr>
        <w:pStyle w:val="Heading4"/>
      </w:pPr>
      <w:r>
        <w:t xml:space="preserve">8.3.2 Recommendation Engine: Collaborative Filtering + Content-Based Hybrid Approach</w:t>
      </w:r>
    </w:p>
    <w:p>
      <w:pPr>
        <w:pStyle w:val="FirstParagraph"/>
      </w:pPr>
      <w:r>
        <w:t xml:space="preserve">The production recommendation engine will replace keyword matching with a hybrid model combining collaborative filtering and content-based recommendation. Collaborative filtering identifies patterns across the user base — LUTs downloaded together, mood-to-LUT satisfaction mappings, and segment-specific trends. Content-based filtering analyzes uploaded image characteristics — histogram shape, hue families, edge contrast, face detection — matching against LUT profiles using learned feature embeddings rather than manual tag vectors.</w:t>
      </w:r>
    </w:p>
    <w:p>
      <w:pPr>
        <w:pStyle w:val="BodyText"/>
      </w:pPr>
      <w:r>
        <w:t xml:space="preserve">This hybrid addresses the cold-start problem: new users receive relevant recommendations through content-based analysis, while returning users benefit from progressively refined suggestions. The system will also incorporate negative signals — LUTs explicitly rejected or rapidly replaced — to avoid repetitive unwanted suggestions.</w:t>
      </w:r>
    </w:p>
    <w:tbl>
      <w:tblPr>
        <w:tblStyle w:val="Table"/>
        <w:tblW w:type="pct" w:w="5000"/>
        <w:tblLook w:firstRow="1" w:lastRow="0" w:firstColumn="0" w:lastColumn="0" w:noHBand="0" w:noVBand="0" w:val="0020"/>
      </w:tblPr>
      <w:tblGrid>
        <w:gridCol w:w="838"/>
        <w:gridCol w:w="2236"/>
        <w:gridCol w:w="3261"/>
        <w:gridCol w:w="1584"/>
      </w:tblGrid>
      <w:tr>
        <w:trPr>
          <w:tblHeader w:val="true"/>
        </w:trPr>
        <w:tc>
          <w:tcPr/>
          <w:p>
            <w:pPr>
              <w:pStyle w:val="Compact"/>
              <w:jc w:val="left"/>
            </w:pPr>
            <w:r>
              <w:t xml:space="preserve">Feature</w:t>
            </w:r>
          </w:p>
        </w:tc>
        <w:tc>
          <w:tcPr/>
          <w:p>
            <w:pPr>
              <w:pStyle w:val="Compact"/>
              <w:jc w:val="left"/>
            </w:pPr>
            <w:r>
              <w:t xml:space="preserve">Current Mock AI (2025)</w:t>
            </w:r>
          </w:p>
        </w:tc>
        <w:tc>
          <w:tcPr/>
          <w:p>
            <w:pPr>
              <w:pStyle w:val="Compact"/>
              <w:jc w:val="left"/>
            </w:pPr>
            <w:r>
              <w:t xml:space="preserve">Planned Neural Engine (2026–2027)</w:t>
            </w:r>
          </w:p>
        </w:tc>
        <w:tc>
          <w:tcPr/>
          <w:p>
            <w:pPr>
              <w:pStyle w:val="Compact"/>
              <w:jc w:val="left"/>
            </w:pPr>
            <w:r>
              <w:t xml:space="preserve">Technical Basis</w:t>
            </w:r>
          </w:p>
        </w:tc>
      </w:tr>
      <w:tr>
        <w:tc>
          <w:tcPr/>
          <w:p>
            <w:pPr>
              <w:pStyle w:val="Compact"/>
              <w:jc w:val="left"/>
            </w:pPr>
            <w:r>
              <w:t xml:space="preserve">Core matching</w:t>
            </w:r>
          </w:p>
        </w:tc>
        <w:tc>
          <w:tcPr/>
          <w:p>
            <w:pPr>
              <w:pStyle w:val="Compact"/>
              <w:jc w:val="left"/>
            </w:pPr>
            <w:r>
              <w:t xml:space="preserve">Keyword tag vectors, weighted cosine similarity</w:t>
            </w:r>
          </w:p>
        </w:tc>
        <w:tc>
          <w:tcPr/>
          <w:p>
            <w:pPr>
              <w:pStyle w:val="Compact"/>
              <w:jc w:val="left"/>
            </w:pPr>
            <w:r>
              <w:t xml:space="preserve">Encoder-decoder transformer embeddings</w:t>
            </w:r>
            <w:r>
              <w:t xml:space="preserve"> </w:t>
            </w:r>
            <w:r>
              <w:rPr>
                <w:vertAlign w:val="superscript"/>
              </w:rPr>
              <w:t xml:space="preserve">83</w:t>
            </w:r>
          </w:p>
        </w:tc>
        <w:tc>
          <w:tcPr/>
          <w:p>
            <w:pPr>
              <w:pStyle w:val="Compact"/>
              <w:jc w:val="left"/>
            </w:pPr>
            <w:r>
              <w:t xml:space="preserve">Self-supervised learning on 10M+ images</w:t>
            </w:r>
          </w:p>
        </w:tc>
      </w:tr>
      <w:tr>
        <w:tc>
          <w:tcPr/>
          <w:p>
            <w:pPr>
              <w:pStyle w:val="Compact"/>
              <w:jc w:val="left"/>
            </w:pPr>
            <w:r>
              <w:t xml:space="preserve">Color space processing</w:t>
            </w:r>
          </w:p>
        </w:tc>
        <w:tc>
          <w:tcPr/>
          <w:p>
            <w:pPr>
              <w:pStyle w:val="Compact"/>
              <w:jc w:val="left"/>
            </w:pPr>
            <w:r>
              <w:t xml:space="preserve">Rec.709 8-bit LUT application</w:t>
            </w:r>
          </w:p>
        </w:tc>
        <w:tc>
          <w:tcPr/>
          <w:p>
            <w:pPr>
              <w:pStyle w:val="Compact"/>
              <w:jc w:val="left"/>
            </w:pPr>
            <w:r>
              <w:t xml:space="preserve">ACES-native 16-stop float pipeline</w:t>
            </w:r>
            <w:r>
              <w:t xml:space="preserve"> </w:t>
            </w:r>
            <w:r>
              <w:rPr>
                <w:vertAlign w:val="superscript"/>
              </w:rPr>
              <w:t xml:space="preserve">89</w:t>
            </w:r>
          </w:p>
        </w:tc>
        <w:tc>
          <w:tcPr/>
          <w:p>
            <w:pPr>
              <w:pStyle w:val="Compact"/>
              <w:jc w:val="left"/>
            </w:pPr>
            <w:r>
              <w:t xml:space="preserve">ACES 2065-1 with camera-specific IDTs</w:t>
            </w:r>
          </w:p>
        </w:tc>
      </w:tr>
      <w:tr>
        <w:tc>
          <w:tcPr/>
          <w:p>
            <w:pPr>
              <w:pStyle w:val="Compact"/>
              <w:jc w:val="left"/>
            </w:pPr>
            <w:r>
              <w:t xml:space="preserve">User input</w:t>
            </w:r>
          </w:p>
        </w:tc>
        <w:tc>
          <w:tcPr/>
          <w:p>
            <w:pPr>
              <w:pStyle w:val="Compact"/>
              <w:jc w:val="left"/>
            </w:pPr>
            <w:r>
              <w:t xml:space="preserve">Dropdown mood selection + file upload</w:t>
            </w:r>
          </w:p>
        </w:tc>
        <w:tc>
          <w:tcPr/>
          <w:p>
            <w:pPr>
              <w:pStyle w:val="Compact"/>
              <w:jc w:val="left"/>
            </w:pPr>
            <w:r>
              <w:t xml:space="preserve">Natural language text prompts</w:t>
            </w:r>
            <w:r>
              <w:t xml:space="preserve"> </w:t>
            </w:r>
            <w:r>
              <w:rPr>
                <w:vertAlign w:val="superscript"/>
              </w:rPr>
              <w:t xml:space="preserve">93</w:t>
            </w:r>
            <w:r>
              <w:t xml:space="preserve"> </w:t>
            </w:r>
            <w:r>
              <w:rPr>
                <w:vertAlign w:val="superscript"/>
              </w:rPr>
              <w:t xml:space="preserve">91</w:t>
            </w:r>
          </w:p>
        </w:tc>
        <w:tc>
          <w:tcPr/>
          <w:p>
            <w:pPr>
              <w:pStyle w:val="Compact"/>
              <w:jc w:val="left"/>
            </w:pPr>
            <w:r>
              <w:t xml:space="preserve">NLP-to-3D-LUT-space mapping</w:t>
            </w:r>
          </w:p>
        </w:tc>
      </w:tr>
      <w:tr>
        <w:tc>
          <w:tcPr/>
          <w:p>
            <w:pPr>
              <w:pStyle w:val="Compact"/>
              <w:jc w:val="left"/>
            </w:pPr>
            <w:r>
              <w:t xml:space="preserve">Personalization</w:t>
            </w:r>
          </w:p>
        </w:tc>
        <w:tc>
          <w:tcPr/>
          <w:p>
            <w:pPr>
              <w:pStyle w:val="Compact"/>
              <w:jc w:val="left"/>
            </w:pPr>
            <w:r>
              <w:t xml:space="preserve">None (generic recommendations)</w:t>
            </w:r>
          </w:p>
        </w:tc>
        <w:tc>
          <w:tcPr/>
          <w:p>
            <w:pPr>
              <w:pStyle w:val="Compact"/>
              <w:jc w:val="left"/>
            </w:pPr>
            <w:r>
              <w:t xml:space="preserve">Personal AI Profile from 2,000+ graded images</w:t>
            </w:r>
            <w:r>
              <w:t xml:space="preserve"> </w:t>
            </w:r>
            <w:r>
              <w:rPr>
                <w:vertAlign w:val="superscript"/>
              </w:rPr>
              <w:t xml:space="preserve">95</w:t>
            </w:r>
          </w:p>
        </w:tc>
        <w:tc>
          <w:tcPr/>
          <w:p>
            <w:pPr>
              <w:pStyle w:val="Compact"/>
              <w:jc w:val="left"/>
            </w:pPr>
            <w:r>
              <w:t xml:space="preserve">Style extraction via user edit history</w:t>
            </w:r>
          </w:p>
        </w:tc>
      </w:tr>
      <w:tr>
        <w:tc>
          <w:tcPr/>
          <w:p>
            <w:pPr>
              <w:pStyle w:val="Compact"/>
              <w:jc w:val="left"/>
            </w:pPr>
            <w:r>
              <w:t xml:space="preserve">Scene analysis</w:t>
            </w:r>
          </w:p>
        </w:tc>
        <w:tc>
          <w:tcPr/>
          <w:p>
            <w:pPr>
              <w:pStyle w:val="Compact"/>
              <w:jc w:val="left"/>
            </w:pPr>
            <w:r>
              <w:t xml:space="preserve">Manual metadata tagging</w:t>
            </w:r>
          </w:p>
        </w:tc>
        <w:tc>
          <w:tcPr/>
          <w:p>
            <w:pPr>
              <w:pStyle w:val="Compact"/>
              <w:jc w:val="left"/>
            </w:pPr>
            <w:r>
              <w:t xml:space="preserve">Automatic semantic segmentation + illumination estimation</w:t>
            </w:r>
            <w:r>
              <w:t xml:space="preserve"> </w:t>
            </w:r>
            <w:r>
              <w:rPr>
                <w:vertAlign w:val="superscript"/>
              </w:rPr>
              <w:t xml:space="preserve">85</w:t>
            </w:r>
            <w:r>
              <w:t xml:space="preserve"> </w:t>
            </w:r>
            <w:r>
              <w:rPr>
                <w:vertAlign w:val="superscript"/>
              </w:rPr>
              <w:t xml:space="preserve">101</w:t>
            </w:r>
          </w:p>
        </w:tc>
        <w:tc>
          <w:tcPr/>
          <w:p>
            <w:pPr>
              <w:pStyle w:val="Compact"/>
              <w:jc w:val="left"/>
            </w:pPr>
            <w:r>
              <w:t xml:space="preserve">Multi-task CNN + illumination classifier</w:t>
            </w:r>
          </w:p>
        </w:tc>
      </w:tr>
      <w:tr>
        <w:tc>
          <w:tcPr/>
          <w:p>
            <w:pPr>
              <w:pStyle w:val="Compact"/>
              <w:jc w:val="left"/>
            </w:pPr>
            <w:r>
              <w:t xml:space="preserve">Recommendation type</w:t>
            </w:r>
          </w:p>
        </w:tc>
        <w:tc>
          <w:tcPr/>
          <w:p>
            <w:pPr>
              <w:pStyle w:val="Compact"/>
              <w:jc w:val="left"/>
            </w:pPr>
            <w:r>
              <w:t xml:space="preserve">Content-based (tag matching only)</w:t>
            </w:r>
          </w:p>
        </w:tc>
        <w:tc>
          <w:tcPr/>
          <w:p>
            <w:pPr>
              <w:pStyle w:val="Compact"/>
              <w:jc w:val="left"/>
            </w:pPr>
            <w:r>
              <w:t xml:space="preserve">Hybrid: collaborative filtering + content-based + personal profile</w:t>
            </w:r>
          </w:p>
        </w:tc>
        <w:tc>
          <w:tcPr/>
          <w:p>
            <w:pPr>
              <w:pStyle w:val="Compact"/>
              <w:jc w:val="left"/>
            </w:pPr>
            <w:r>
              <w:t xml:space="preserve">Multi-factor scoring with temporal decay</w:t>
            </w:r>
          </w:p>
        </w:tc>
      </w:tr>
      <w:tr>
        <w:tc>
          <w:tcPr/>
          <w:p>
            <w:pPr>
              <w:pStyle w:val="Compact"/>
              <w:jc w:val="left"/>
            </w:pPr>
            <w:r>
              <w:t xml:space="preserve">Preview performance</w:t>
            </w:r>
          </w:p>
        </w:tc>
        <w:tc>
          <w:tcPr/>
          <w:p>
            <w:pPr>
              <w:pStyle w:val="Compact"/>
              <w:jc w:val="left"/>
            </w:pPr>
            <w:r>
              <w:t xml:space="preserve">Client-side LUT application (~2s for 4K)</w:t>
            </w:r>
          </w:p>
        </w:tc>
        <w:tc>
          <w:tcPr/>
          <w:p>
            <w:pPr>
              <w:pStyle w:val="Compact"/>
              <w:jc w:val="left"/>
            </w:pPr>
            <w:r>
              <w:t xml:space="preserve">GPU-accelerated real-time preview (5x+ CPU speed)</w:t>
            </w:r>
            <w:r>
              <w:t xml:space="preserve"> </w:t>
            </w:r>
            <w:r>
              <w:rPr>
                <w:vertAlign w:val="superscript"/>
              </w:rPr>
              <w:t xml:space="preserve">103</w:t>
            </w:r>
            <w:r>
              <w:t xml:space="preserve"> </w:t>
            </w:r>
            <w:r>
              <w:rPr>
                <w:vertAlign w:val="superscript"/>
              </w:rPr>
              <w:t xml:space="preserve">90</w:t>
            </w:r>
          </w:p>
        </w:tc>
        <w:tc>
          <w:tcPr/>
          <w:p>
            <w:pPr>
              <w:pStyle w:val="Compact"/>
              <w:jc w:val="left"/>
            </w:pPr>
            <w:r>
              <w:t xml:space="preserve">CUDA/Metal kernels with NPU fallback</w:t>
            </w:r>
          </w:p>
        </w:tc>
      </w:tr>
      <w:tr>
        <w:tc>
          <w:tcPr/>
          <w:p>
            <w:pPr>
              <w:pStyle w:val="Compact"/>
              <w:jc w:val="left"/>
            </w:pPr>
            <w:r>
              <w:t xml:space="preserve">Match explanation</w:t>
            </w:r>
          </w:p>
        </w:tc>
        <w:tc>
          <w:tcPr/>
          <w:p>
            <w:pPr>
              <w:pStyle w:val="Compact"/>
              <w:jc w:val="left"/>
            </w:pPr>
            <w:r>
              <w:t xml:space="preserve">Static tag description</w:t>
            </w:r>
          </w:p>
        </w:tc>
        <w:tc>
          <w:tcPr/>
          <w:p>
            <w:pPr>
              <w:pStyle w:val="Compact"/>
              <w:jc w:val="left"/>
            </w:pPr>
            <w:r>
              <w:t xml:space="preserve">Dynamic natural language rationale</w:t>
            </w:r>
            <w:r>
              <w:t xml:space="preserve"> </w:t>
            </w:r>
            <w:r>
              <w:rPr>
                <w:vertAlign w:val="superscript"/>
              </w:rPr>
              <w:t xml:space="preserve">93</w:t>
            </w:r>
          </w:p>
        </w:tc>
        <w:tc>
          <w:tcPr/>
          <w:p>
            <w:pPr>
              <w:pStyle w:val="Compact"/>
              <w:jc w:val="left"/>
            </w:pPr>
            <w:r>
              <w:t xml:space="preserve">LLM-generated explanation from embedding space</w:t>
            </w:r>
          </w:p>
        </w:tc>
      </w:tr>
      <w:tr>
        <w:tc>
          <w:tcPr/>
          <w:p>
            <w:pPr>
              <w:pStyle w:val="Compact"/>
              <w:jc w:val="left"/>
            </w:pPr>
            <w:r>
              <w:t xml:space="preserve">LUT generation</w:t>
            </w:r>
          </w:p>
        </w:tc>
        <w:tc>
          <w:tcPr/>
          <w:p>
            <w:pPr>
              <w:pStyle w:val="Compact"/>
              <w:jc w:val="left"/>
            </w:pPr>
            <w:r>
              <w:t xml:space="preserve">Static pre-computed LUTs</w:t>
            </w:r>
          </w:p>
        </w:tc>
        <w:tc>
          <w:tcPr/>
          <w:p>
            <w:pPr>
              <w:pStyle w:val="Compact"/>
              <w:jc w:val="left"/>
            </w:pPr>
            <w:r>
              <w:t xml:space="preserve">Neural LUT generation via diffusion models</w:t>
            </w:r>
            <w:r>
              <w:t xml:space="preserve"> </w:t>
            </w:r>
            <w:r>
              <w:rPr>
                <w:vertAlign w:val="superscript"/>
              </w:rPr>
              <w:t xml:space="preserve">88</w:t>
            </w:r>
          </w:p>
        </w:tc>
        <w:tc>
          <w:tcPr/>
          <w:p>
            <w:pPr>
              <w:pStyle w:val="Compact"/>
              <w:jc w:val="left"/>
            </w:pPr>
            <w:r>
              <w:t xml:space="preserve">L-Diffuser-style conditional diffusion</w:t>
            </w:r>
          </w:p>
        </w:tc>
      </w:tr>
      <w:tr>
        <w:tc>
          <w:tcPr/>
          <w:p>
            <w:pPr>
              <w:pStyle w:val="Compact"/>
              <w:jc w:val="left"/>
            </w:pPr>
            <w:r>
              <w:t xml:space="preserve">Inter-shot consistency</w:t>
            </w:r>
          </w:p>
        </w:tc>
        <w:tc>
          <w:tcPr/>
          <w:p>
            <w:pPr>
              <w:pStyle w:val="Compact"/>
              <w:jc w:val="left"/>
            </w:pPr>
            <w:r>
              <w:t xml:space="preserve">Per-image processing only</w:t>
            </w:r>
          </w:p>
        </w:tc>
        <w:tc>
          <w:tcPr/>
          <w:p>
            <w:pPr>
              <w:pStyle w:val="Compact"/>
              <w:jc w:val="left"/>
            </w:pPr>
            <w:r>
              <w:t xml:space="preserve">Timeline Intelligence grouping</w:t>
            </w:r>
            <w:r>
              <w:t xml:space="preserve"> </w:t>
            </w:r>
            <w:r>
              <w:rPr>
                <w:vertAlign w:val="superscript"/>
              </w:rPr>
              <w:t xml:space="preserve">101</w:t>
            </w:r>
          </w:p>
        </w:tc>
        <w:tc>
          <w:tcPr/>
          <w:p>
            <w:pPr>
              <w:pStyle w:val="Compact"/>
              <w:jc w:val="left"/>
            </w:pPr>
            <w:r>
              <w:t xml:space="preserve">Shot similarity clustering + grade propagation</w:t>
            </w:r>
          </w:p>
        </w:tc>
      </w:tr>
    </w:tbl>
    <w:p>
      <w:pPr>
        <w:pStyle w:val="BodyText"/>
      </w:pPr>
      <w:r>
        <w:t xml:space="preserve">This roadmap spans 18–24 months of development, prioritized by user impact and technical feasibility. The mock AI system currently deployed establishes user interface conventions, data collection infrastructure, and performance benchmarks against which the neural engine’s improvements will be measured. The transition from mock to neural will occur incrementally — first through GPU-accelerated preview (Section 8.3.3), then through content-based scene analysis, then through text-to-grade capability, and finally through full Personal AI Profile integration — ensuring that each release delivers measurable value while building toward the unified architecture.</w:t>
      </w:r>
    </w:p>
    <w:bookmarkEnd w:id="144"/>
    <w:bookmarkStart w:id="148" w:name="Xe31c2fa29c01c56d50099042cf4904325beea44"/>
    <w:p>
      <w:pPr>
        <w:pStyle w:val="Heading4"/>
      </w:pPr>
      <w:r>
        <w:t xml:space="preserve">8.3.3 Real-Time Preview: GPU-Accelerated LUT Application (5x+ Performance Over CPU)</w:t>
      </w:r>
    </w:p>
    <w:p>
      <w:pPr>
        <w:pStyle w:val="FirstParagraph"/>
      </w:pPr>
      <w:r>
        <w:t xml:space="preserve">The neural engine’s usability depends on real-time preview performance. Research from the University of Sofia established that GPU-accelerated color correction achieves at least 5x performance improvement over CPU processing</w:t>
      </w:r>
      <w:r>
        <w:t xml:space="preserve"> </w:t>
      </w:r>
      <w:r>
        <w:rPr>
          <w:vertAlign w:val="superscript"/>
        </w:rPr>
        <w:t xml:space="preserve">103</w:t>
      </w:r>
      <w:r>
        <w:t xml:space="preserve">. Modern hardware has dramatically expanded these capabilities: NVIDIA’s RTX 50 Series enables simultaneous processing of 5x 8K30 or 20x 4K30 streams in DaVinci Resolve Studio</w:t>
      </w:r>
      <w:r>
        <w:t xml:space="preserve"> </w:t>
      </w:r>
      <w:r>
        <w:rPr>
          <w:vertAlign w:val="superscript"/>
        </w:rPr>
        <w:t xml:space="preserve">90</w:t>
      </w:r>
      <w:r>
        <w:t xml:space="preserve">.</w:t>
      </w:r>
    </w:p>
    <w:p>
      <w:pPr>
        <w:pStyle w:val="CaptionedFigure"/>
      </w:pPr>
      <w:r>
        <w:drawing>
          <wp:inline>
            <wp:extent cx="5334000" cy="3163091"/>
            <wp:effectExtent b="0" l="0" r="0" t="0"/>
            <wp:docPr descr="LUT Application Performance: CPU vs GPU vs NPU" title="" id="146" name="Picture"/>
            <a:graphic>
              <a:graphicData uri="http://schemas.openxmlformats.org/drawingml/2006/picture">
                <pic:pic>
                  <pic:nvPicPr>
                    <pic:cNvPr descr="gpu_acceleration_performance.png" id="147" name="Picture"/>
                    <pic:cNvPicPr>
                      <a:picLocks noChangeArrowheads="1" noChangeAspect="1"/>
                    </pic:cNvPicPr>
                  </pic:nvPicPr>
                  <pic:blipFill>
                    <a:blip r:embed="rId145"/>
                    <a:stretch>
                      <a:fillRect/>
                    </a:stretch>
                  </pic:blipFill>
                  <pic:spPr bwMode="auto">
                    <a:xfrm>
                      <a:off x="0" y="0"/>
                      <a:ext cx="5334000" cy="3163091"/>
                    </a:xfrm>
                    <a:prstGeom prst="rect">
                      <a:avLst/>
                    </a:prstGeom>
                    <a:noFill/>
                    <a:ln w="9525">
                      <a:noFill/>
                      <a:headEnd/>
                      <a:tailEnd/>
                    </a:ln>
                  </pic:spPr>
                </pic:pic>
              </a:graphicData>
            </a:graphic>
          </wp:inline>
        </w:drawing>
      </w:r>
    </w:p>
    <w:p>
      <w:pPr>
        <w:pStyle w:val="ImageCaption"/>
      </w:pPr>
      <w:r>
        <w:t xml:space="preserve">LUT Application Performance: CPU vs GPU vs NPU</w:t>
      </w:r>
    </w:p>
    <w:p>
      <w:pPr>
        <w:pStyle w:val="BodyText"/>
      </w:pPr>
      <w:r>
        <w:rPr>
          <w:iCs/>
          <w:i/>
        </w:rPr>
        <w:t xml:space="preserve">Figure 8.1 — LUT application throughput across processing architectures. GPU acceleration achieves the documented 5x+ performance gain over CPU at 4K resolution</w:t>
      </w:r>
      <w:r>
        <w:rPr>
          <w:iCs/>
          <w:i/>
        </w:rPr>
        <w:t xml:space="preserve"> </w:t>
      </w:r>
      <w:r>
        <w:rPr>
          <w:vertAlign w:val="superscript"/>
          <w:iCs/>
          <w:i/>
        </w:rPr>
        <w:t xml:space="preserve">103</w:t>
      </w:r>
      <w:r>
        <w:rPr>
          <w:iCs/>
          <w:i/>
        </w:rPr>
        <w:t xml:space="preserve">, while NPU inference adds further gains for AI-specific operations. Data normalized to 48 bpp color depth.</w:t>
      </w:r>
    </w:p>
    <w:p>
      <w:pPr>
        <w:pStyle w:val="BodyText"/>
      </w:pPr>
      <w:r>
        <w:t xml:space="preserve">The CINEGRADE LAB preview pipeline will implement GPU-accelerated LUT application through WebGL compute shaders for browser-based preview and native CUDA/Metal kernels for desktop integration. The architecture targets 24 fps LUT preview at 4K on hardware with a dedicated GPU (8 GB VRAM)</w:t>
      </w:r>
      <w:r>
        <w:t xml:space="preserve"> </w:t>
      </w:r>
      <w:r>
        <w:rPr>
          <w:vertAlign w:val="superscript"/>
        </w:rPr>
        <w:t xml:space="preserve">104</w:t>
      </w:r>
      <w:r>
        <w:t xml:space="preserve"> </w:t>
      </w:r>
      <w:r>
        <w:rPr>
          <w:vertAlign w:val="superscript"/>
        </w:rPr>
        <w:t xml:space="preserve">105</w:t>
      </w:r>
      <w:r>
        <w:t xml:space="preserve">, with automatic resolution fallback (4K → 1080p → 720p) for lower-specification hardware.</w:t>
      </w:r>
    </w:p>
    <w:p>
      <w:pPr>
        <w:pStyle w:val="BodyText"/>
      </w:pPr>
      <w:r>
        <w:t xml:space="preserve">Neural Processing Units (NPUs) in modern CPUs — Apple Silicon Neural Engine, Intel NPU, Qualcomm Hexagon — will accelerate scene detection and recommendation ranking, freeing GPU resources for LUT application. By 2026, most AI color grading software is projected to be NPU-optimized, though a dedicated GPU with 8 GB VRAM remains recommended for real-time 4K processing</w:t>
      </w:r>
      <w:r>
        <w:t xml:space="preserve"> </w:t>
      </w:r>
      <w:r>
        <w:rPr>
          <w:vertAlign w:val="superscript"/>
        </w:rPr>
        <w:t xml:space="preserve">106</w:t>
      </w:r>
      <w:r>
        <w:t xml:space="preserve">. The CINEGRADE LAB architecture will distribute workloads accordingly: NPUs for lightweight inference, GPUs for intensive pixel operations.</w:t>
      </w:r>
    </w:p>
    <w:p>
      <w:pPr>
        <w:pStyle w:val="BodyText"/>
      </w:pPr>
      <w:r>
        <w:t xml:space="preserve">Diffusion-based LUT generation models — specifically L-Diffuser, trained on 33,000 clips from 3,600 films — represent the eventual target for real-time neural LUT creation</w:t>
      </w:r>
      <w:r>
        <w:t xml:space="preserve"> </w:t>
      </w:r>
      <w:r>
        <w:rPr>
          <w:vertAlign w:val="superscript"/>
        </w:rPr>
        <w:t xml:space="preserve">88</w:t>
      </w:r>
      <w:r>
        <w:t xml:space="preserve">. While current diffusion models require seconds to minutes per LUT on consumer hardware, optimization trajectories (TensorRT, ONNX Runtime, Core ML) suggest sub-second generation will be achievable within the roadmap timeframe. Until then, a pre-computed LUT library indexed by neural embeddings enables near-instant retrieval of the closest text prompt match.</w:t>
      </w:r>
    </w:p>
    <w:p>
      <w:pPr>
        <w:pStyle w:val="BodyText"/>
      </w:pPr>
      <w:r>
        <w:t xml:space="preserve">The human-in-the-loop model — where AI generates candidate solutions from which the artist selects and refines — remains the governing interaction paradigm</w:t>
      </w:r>
      <w:r>
        <w:t xml:space="preserve"> </w:t>
      </w:r>
      <w:r>
        <w:rPr>
          <w:vertAlign w:val="superscript"/>
        </w:rPr>
        <w:t xml:space="preserve">107</w:t>
      </w:r>
      <w:r>
        <w:t xml:space="preserve">. Professional colorists consistently report that AI streamlines technical workflows without replacing creative judgment</w:t>
      </w:r>
      <w:r>
        <w:t xml:space="preserve"> </w:t>
      </w:r>
      <w:r>
        <w:rPr>
          <w:vertAlign w:val="superscript"/>
        </w:rPr>
        <w:t xml:space="preserve">102</w:t>
      </w:r>
      <w:r>
        <w:t xml:space="preserve">. CINEGRADE LAB’s architecture is designed accordingly: every neural recommendation is a starting point with full manual override available, and the risk of creative complacency is mitigated through the platform’s emphasis on curated, colorist-verified LUTs as the foundational layer upon which AI customization is built.</w:t>
      </w:r>
      <w:r>
        <w:t xml:space="preserve"> </w:t>
      </w:r>
      <w:r>
        <w:t xml:space="preserve">-e</w:t>
      </w:r>
    </w:p>
    <w:p>
      <w:r>
        <w:pict>
          <v:rect style="width:0;height:1.5pt" o:hralign="center" o:hrstd="t" o:hr="t"/>
        </w:pict>
      </w:r>
    </w:p>
    <w:bookmarkEnd w:id="148"/>
    <w:bookmarkEnd w:id="149"/>
    <w:bookmarkEnd w:id="150"/>
    <w:bookmarkStart w:id="169" w:name="business-model-go-to-market-strategy"/>
    <w:p>
      <w:pPr>
        <w:pStyle w:val="Heading2"/>
      </w:pPr>
      <w:r>
        <w:t xml:space="preserve">9. Business Model &amp; Go-to-Market Strategy</w:t>
      </w:r>
    </w:p>
    <w:p>
      <w:pPr>
        <w:pStyle w:val="FirstParagraph"/>
      </w:pPr>
      <w:r>
        <w:t xml:space="preserve">The global cinematic LUTs market reached $312.8 million in 2024 and is projected to grow at a 10.4% compound annual growth rate (CAGR) to $758.5 million by 2033</w:t>
      </w:r>
      <w:r>
        <w:t xml:space="preserve"> </w:t>
      </w:r>
      <w:r>
        <w:rPr>
          <w:vertAlign w:val="superscript"/>
        </w:rPr>
        <w:t xml:space="preserve">2</w:t>
      </w:r>
      <w:r>
        <w:t xml:space="preserve">. Within that expanding addressable market, CINEGRADE LAB operates at a critical inflection point: the demand for premium color tools is accelerating, yet no single platform has captured the</w:t>
      </w:r>
      <w:r>
        <w:t xml:space="preserve"> </w:t>
      </w:r>
      <w:r>
        <w:t xml:space="preserve">“</w:t>
      </w:r>
      <w:r>
        <w:t xml:space="preserve">prosumer</w:t>
      </w:r>
      <w:r>
        <w:t xml:space="preserve">”</w:t>
      </w:r>
      <w:r>
        <w:t xml:space="preserve"> </w:t>
      </w:r>
      <w:r>
        <w:t xml:space="preserve">tier that bridges $15 Etsy packs and $400+ professional plugins. This chapter articulates the revenue architecture, customer acquisition mechanics, phased market entry timeline, and brand positioning strategy required to claim that gap. The model presented here is designed to reach a $100 million valuation threshold within 36 months through a hybrid revenue architecture combining recurring subscriptions, one-time premium purchases, enterprise licensing, and a creator marketplace commission layer.</w:t>
      </w:r>
    </w:p>
    <w:bookmarkStart w:id="155" w:name="revenue-model"/>
    <w:p>
      <w:pPr>
        <w:pStyle w:val="Heading3"/>
      </w:pPr>
      <w:r>
        <w:t xml:space="preserve">9.1 Revenue Model</w:t>
      </w:r>
    </w:p>
    <w:bookmarkStart w:id="151" w:name="three-tier-subscription-architecture"/>
    <w:p>
      <w:pPr>
        <w:pStyle w:val="Heading4"/>
      </w:pPr>
      <w:r>
        <w:t xml:space="preserve">9.1.1 Three-Tier Subscription Architecture</w:t>
      </w:r>
    </w:p>
    <w:p>
      <w:pPr>
        <w:pStyle w:val="FirstParagraph"/>
      </w:pPr>
      <w:r>
        <w:t xml:space="preserve">CINEGRADE LAB’s core revenue engine is a three-tier subscription structure calibrated to the behavioral economics of creative tool adoption. Research across 512 SaaS companies by Price Intelligently found that three-tier pricing produces 30% higher average revenue per user than four-tier alternatives, and a ConversionXL study demonstrated that moving from four tiers to three increased conversion rates by an average of 27%</w:t>
      </w:r>
      <w:r>
        <w:t xml:space="preserve"> </w:t>
      </w:r>
      <w:r>
        <w:rPr>
          <w:vertAlign w:val="superscript"/>
        </w:rPr>
        <w:t xml:space="preserve">108</w:t>
      </w:r>
      <w:r>
        <w:t xml:space="preserve">. The</w:t>
      </w:r>
      <w:r>
        <w:t xml:space="preserve"> </w:t>
      </w:r>
      <w:r>
        <w:t xml:space="preserve">“</w:t>
      </w:r>
      <w:r>
        <w:t xml:space="preserve">compromise effect</w:t>
      </w:r>
      <w:r>
        <w:t xml:space="preserve">”</w:t>
      </w:r>
      <w:r>
        <w:t xml:space="preserve"> </w:t>
      </w:r>
      <w:r>
        <w:t xml:space="preserve">further tilts the model: approximately 41.4% of customers select the middle tier when three options are presented, making it the revenue anchor</w:t>
      </w:r>
      <w:r>
        <w:t xml:space="preserve"> </w:t>
      </w:r>
      <w:r>
        <w:rPr>
          <w:vertAlign w:val="superscript"/>
        </w:rPr>
        <w:t xml:space="preserve">109</w:t>
      </w:r>
      <w:r>
        <w:t xml:space="preserve">.</w:t>
      </w:r>
    </w:p>
    <w:p>
      <w:pPr>
        <w:pStyle w:val="BodyText"/>
      </w:pPr>
      <w:r>
        <w:t xml:space="preserve">The</w:t>
      </w:r>
      <w:r>
        <w:t xml:space="preserve"> </w:t>
      </w:r>
      <w:r>
        <w:rPr>
          <w:bCs/>
          <w:b/>
        </w:rPr>
        <w:t xml:space="preserve">Starter tier</w:t>
      </w:r>
      <w:r>
        <w:t xml:space="preserve"> </w:t>
      </w:r>
      <w:r>
        <w:t xml:space="preserve">is offered at no cost and serves as the primary lead generation mechanism. It includes 2–3 signature LUTs from each collection, watermarked exports, and community access. This tier functions as a perpetual free trial with no time limit, aligning with the insight that freemium models achieve visitor-to-free conversion rates of 13.7% across SaaS platforms, compared to only 7.8% for opt-in time-limited trials</w:t>
      </w:r>
      <w:r>
        <w:t xml:space="preserve"> </w:t>
      </w:r>
      <w:r>
        <w:rPr>
          <w:vertAlign w:val="superscript"/>
        </w:rPr>
        <w:t xml:space="preserve">110</w:t>
      </w:r>
      <w:r>
        <w:t xml:space="preserve">. The Starter tier’s objective is not revenue but distribution: each free user becomes a potential advocate and future conversion target.</w:t>
      </w:r>
    </w:p>
    <w:p>
      <w:pPr>
        <w:pStyle w:val="BodyText"/>
      </w:pPr>
      <w:r>
        <w:t xml:space="preserve">The</w:t>
      </w:r>
      <w:r>
        <w:t xml:space="preserve"> </w:t>
      </w:r>
      <w:r>
        <w:rPr>
          <w:bCs/>
          <w:b/>
        </w:rPr>
        <w:t xml:space="preserve">Pro tier</w:t>
      </w:r>
      <w:r>
        <w:t xml:space="preserve"> </w:t>
      </w:r>
      <w:r>
        <w:t xml:space="preserve">at $29 per month ($279 annually, reflecting a 20% discount) is the targeted revenue anchor. It unlocks the full LUT library across all collections, removes watermarks, enables commercial licensing, and provides access to camera-specific input LUTs. At this price point, Pro sits comfortably below Adobe Creative Cloud’s $59.99/month individual plan while offering specialized value that Adobe does not provide. Industry benchmarks indicate that SaaS products in the $0–$49/month range achieve median free-to-paid conversion rates of 8–12%, with top-quartile performers reaching 18–22%</w:t>
      </w:r>
      <w:r>
        <w:t xml:space="preserve"> </w:t>
      </w:r>
      <w:r>
        <w:rPr>
          <w:vertAlign w:val="superscript"/>
        </w:rPr>
        <w:t xml:space="preserve">111</w:t>
      </w:r>
      <w:r>
        <w:t xml:space="preserve">. The 20% annual discount functions as a retention lock-in mechanism: annual subscribers exhibit 40–60% lower churn than monthly subscribers, and the upfront cash infusion accelerates the payback period on customer acquisition cost (CAC).</w:t>
      </w:r>
    </w:p>
    <w:p>
      <w:pPr>
        <w:pStyle w:val="BodyText"/>
      </w:pPr>
      <w:r>
        <w:t xml:space="preserve">The</w:t>
      </w:r>
      <w:r>
        <w:t xml:space="preserve"> </w:t>
      </w:r>
      <w:r>
        <w:rPr>
          <w:bCs/>
          <w:b/>
        </w:rPr>
        <w:t xml:space="preserve">Studio tier</w:t>
      </w:r>
      <w:r>
        <w:t xml:space="preserve"> </w:t>
      </w:r>
      <w:r>
        <w:t xml:space="preserve">at $79 per month ($759 annually) adds team collaboration features, shared project libraries, custom LUT generation tools, priority support, and white-label export options. This tier targets production companies, post-houses, and creative agencies with 2–10 users. The pricing gap between Pro and Studio ($50) is intentionally wider than the gap between Starter and Pro ($29), following behavioral economics research that shows accelerating price gaps create perceived value acceleration and drive middle-tier selection</w:t>
      </w:r>
      <w:r>
        <w:t xml:space="preserve"> </w:t>
      </w:r>
      <w:r>
        <w:rPr>
          <w:vertAlign w:val="superscript"/>
        </w:rPr>
        <w:t xml:space="preserve">109</w:t>
      </w:r>
      <w:r>
        <w:t xml:space="preserve">. Studio tier subscribers are projected to represent 20–30% of the paid subscriber base while contributing approximately 40% of subscription revenue due to the higher per-seat value.</w:t>
      </w:r>
    </w:p>
    <w:bookmarkEnd w:id="151"/>
    <w:bookmarkStart w:id="152" w:name="one-time-purchase-packs"/>
    <w:p>
      <w:pPr>
        <w:pStyle w:val="Heading4"/>
      </w:pPr>
      <w:r>
        <w:t xml:space="preserve">9.1.2 One-Time Purchase Packs</w:t>
      </w:r>
    </w:p>
    <w:p>
      <w:pPr>
        <w:pStyle w:val="FirstParagraph"/>
      </w:pPr>
      <w:r>
        <w:t xml:space="preserve">Despite the subscription architecture, one-time purchases remain essential for addressing subscription fatigue—a significant market force in 2025–2026, with consumers increasingly wary of hard-to-cancel recurring plans</w:t>
      </w:r>
      <w:r>
        <w:t xml:space="preserve"> </w:t>
      </w:r>
      <w:r>
        <w:rPr>
          <w:vertAlign w:val="superscript"/>
        </w:rPr>
        <w:t xml:space="preserve">4</w:t>
      </w:r>
      <w:r>
        <w:t xml:space="preserve">. The one-time product line consists of individual category collections priced between $75 and $150, aligning with the established premium preset market where Mastin Labs charges $99 per pack, RNI All Films ranges from $82 to $192, and Noble Presets commands $149</w:t>
      </w:r>
      <w:r>
        <w:t xml:space="preserve"> </w:t>
      </w:r>
      <w:r>
        <w:rPr>
          <w:vertAlign w:val="superscript"/>
        </w:rPr>
        <w:t xml:space="preserve">3</w:t>
      </w:r>
      <w:r>
        <w:t xml:space="preserve">.</w:t>
      </w:r>
    </w:p>
    <w:p>
      <w:pPr>
        <w:pStyle w:val="BodyText"/>
      </w:pPr>
      <w:r>
        <w:t xml:space="preserve">Bundle pricing psychology drives the architecture: the optimal bundle discount range is 10–25% off the sum of individual prices, and the anchoring effect (displaying individual prices before the discounted bundle price) significantly increases conversion</w:t>
      </w:r>
      <w:r>
        <w:t xml:space="preserve"> </w:t>
      </w:r>
      <w:r>
        <w:rPr>
          <w:vertAlign w:val="superscript"/>
        </w:rPr>
        <w:t xml:space="preserve">3</w:t>
      </w:r>
      <w:r>
        <w:t xml:space="preserve">. Each collection contains 8–12 curated LUTs—a deliberate constraint informed by the</w:t>
      </w:r>
      <w:r>
        <w:t xml:space="preserve"> </w:t>
      </w:r>
      <w:r>
        <w:t xml:space="preserve">“</w:t>
      </w:r>
      <w:r>
        <w:t xml:space="preserve">paradox of choice</w:t>
      </w:r>
      <w:r>
        <w:t xml:space="preserve">”</w:t>
      </w:r>
      <w:r>
        <w:t xml:space="preserve"> </w:t>
      </w:r>
      <w:r>
        <w:t xml:space="preserve">insight that users prefer fewer, carefully curated options over massive packs. Greater Than Gatsby’s 587-preset bundle sells on volume-per-dollar, but the most respected brands (Mastin Labs, RNI, Noble) offer focused collections with clear artistic intent, suggesting that curation itself is a value proposition.</w:t>
      </w:r>
    </w:p>
    <w:p>
      <w:pPr>
        <w:pStyle w:val="BodyText"/>
      </w:pPr>
      <w:r>
        <w:t xml:space="preserve">The pricing table below summarizes the complete revenue architecture: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Revenue Stream</w:t>
            </w:r>
          </w:p>
        </w:tc>
        <w:tc>
          <w:tcPr/>
          <w:p>
            <w:pPr>
              <w:pStyle w:val="Compact"/>
              <w:jc w:val="left"/>
            </w:pPr>
            <w:r>
              <w:t xml:space="preserve">Tier / Product</w:t>
            </w:r>
          </w:p>
        </w:tc>
        <w:tc>
          <w:tcPr/>
          <w:p>
            <w:pPr>
              <w:pStyle w:val="Compact"/>
              <w:jc w:val="left"/>
            </w:pPr>
            <w:r>
              <w:t xml:space="preserve">Price</w:t>
            </w:r>
          </w:p>
        </w:tc>
        <w:tc>
          <w:tcPr/>
          <w:p>
            <w:pPr>
              <w:pStyle w:val="Compact"/>
              <w:jc w:val="left"/>
            </w:pPr>
            <w:r>
              <w:t xml:space="preserve">Target Segment</w:t>
            </w:r>
          </w:p>
        </w:tc>
        <w:tc>
          <w:tcPr/>
          <w:p>
            <w:pPr>
              <w:pStyle w:val="Compact"/>
              <w:jc w:val="left"/>
            </w:pPr>
            <w:r>
              <w:t xml:space="preserve">Projected Revenue Share</w:t>
            </w:r>
          </w:p>
        </w:tc>
      </w:tr>
      <w:tr>
        <w:tc>
          <w:tcPr/>
          <w:p>
            <w:pPr>
              <w:pStyle w:val="Compact"/>
              <w:jc w:val="left"/>
            </w:pPr>
            <w:r>
              <w:t xml:space="preserve">Subscription</w:t>
            </w:r>
          </w:p>
        </w:tc>
        <w:tc>
          <w:tcPr/>
          <w:p>
            <w:pPr>
              <w:pStyle w:val="Compact"/>
              <w:jc w:val="left"/>
            </w:pPr>
            <w:r>
              <w:t xml:space="preserve">Starter (Free)</w:t>
            </w:r>
          </w:p>
        </w:tc>
        <w:tc>
          <w:tcPr/>
          <w:p>
            <w:pPr>
              <w:pStyle w:val="Compact"/>
              <w:jc w:val="left"/>
            </w:pPr>
            <w:r>
              <w:t xml:space="preserve">$0</w:t>
            </w:r>
          </w:p>
        </w:tc>
        <w:tc>
          <w:tcPr/>
          <w:p>
            <w:pPr>
              <w:pStyle w:val="Compact"/>
              <w:jc w:val="left"/>
            </w:pPr>
            <w:r>
              <w:t xml:space="preserve">Hobbyists, students, lead generation</w:t>
            </w:r>
          </w:p>
        </w:tc>
        <w:tc>
          <w:tcPr/>
          <w:p>
            <w:pPr>
              <w:pStyle w:val="Compact"/>
              <w:jc w:val="left"/>
            </w:pPr>
            <w:r>
              <w:t xml:space="preserve">0% (acquisition channel)</w:t>
            </w:r>
          </w:p>
        </w:tc>
      </w:tr>
      <w:tr>
        <w:tc>
          <w:tcPr/>
          <w:p>
            <w:pPr>
              <w:pStyle w:val="Compact"/>
              <w:jc w:val="left"/>
            </w:pPr>
            <w:r>
              <w:t xml:space="preserve">Subscription</w:t>
            </w:r>
          </w:p>
        </w:tc>
        <w:tc>
          <w:tcPr/>
          <w:p>
            <w:pPr>
              <w:pStyle w:val="Compact"/>
              <w:jc w:val="left"/>
            </w:pPr>
            <w:r>
              <w:t xml:space="preserve">Pro</w:t>
            </w:r>
          </w:p>
        </w:tc>
        <w:tc>
          <w:tcPr/>
          <w:p>
            <w:pPr>
              <w:pStyle w:val="Compact"/>
              <w:jc w:val="left"/>
            </w:pPr>
            <w:r>
              <w:t xml:space="preserve">$29/mo ($279/yr)</w:t>
            </w:r>
          </w:p>
        </w:tc>
        <w:tc>
          <w:tcPr/>
          <w:p>
            <w:pPr>
              <w:pStyle w:val="Compact"/>
              <w:jc w:val="left"/>
            </w:pPr>
            <w:r>
              <w:t xml:space="preserve">Individual creators, freelancers</w:t>
            </w:r>
          </w:p>
        </w:tc>
        <w:tc>
          <w:tcPr/>
          <w:p>
            <w:pPr>
              <w:pStyle w:val="Compact"/>
              <w:jc w:val="left"/>
            </w:pPr>
            <w:r>
              <w:t xml:space="preserve">35%</w:t>
            </w:r>
            <w:r>
              <w:t xml:space="preserve"> </w:t>
            </w:r>
            <w:r>
              <w:rPr>
                <w:vertAlign w:val="superscript"/>
              </w:rPr>
              <w:t xml:space="preserve">111</w:t>
            </w:r>
          </w:p>
        </w:tc>
      </w:tr>
      <w:tr>
        <w:tc>
          <w:tcPr/>
          <w:p>
            <w:pPr>
              <w:pStyle w:val="Compact"/>
              <w:jc w:val="left"/>
            </w:pPr>
            <w:r>
              <w:t xml:space="preserve">Subscription</w:t>
            </w:r>
          </w:p>
        </w:tc>
        <w:tc>
          <w:tcPr/>
          <w:p>
            <w:pPr>
              <w:pStyle w:val="Compact"/>
              <w:jc w:val="left"/>
            </w:pPr>
            <w:r>
              <w:t xml:space="preserve">Studio</w:t>
            </w:r>
          </w:p>
        </w:tc>
        <w:tc>
          <w:tcPr/>
          <w:p>
            <w:pPr>
              <w:pStyle w:val="Compact"/>
              <w:jc w:val="left"/>
            </w:pPr>
            <w:r>
              <w:t xml:space="preserve">$79/mo ($759/yr)</w:t>
            </w:r>
          </w:p>
        </w:tc>
        <w:tc>
          <w:tcPr/>
          <w:p>
            <w:pPr>
              <w:pStyle w:val="Compact"/>
              <w:jc w:val="left"/>
            </w:pPr>
            <w:r>
              <w:t xml:space="preserve">Production teams, agencies (2–10 seats)</w:t>
            </w:r>
          </w:p>
        </w:tc>
        <w:tc>
          <w:tcPr/>
          <w:p>
            <w:pPr>
              <w:pStyle w:val="Compact"/>
              <w:jc w:val="left"/>
            </w:pPr>
            <w:r>
              <w:t xml:space="preserve">25%</w:t>
            </w:r>
            <w:r>
              <w:t xml:space="preserve"> </w:t>
            </w:r>
            <w:r>
              <w:rPr>
                <w:vertAlign w:val="superscript"/>
              </w:rPr>
              <w:t xml:space="preserve">109</w:t>
            </w:r>
          </w:p>
        </w:tc>
      </w:tr>
      <w:tr>
        <w:tc>
          <w:tcPr/>
          <w:p>
            <w:pPr>
              <w:pStyle w:val="Compact"/>
              <w:jc w:val="left"/>
            </w:pPr>
            <w:r>
              <w:t xml:space="preserve">One-Time Purchase</w:t>
            </w:r>
          </w:p>
        </w:tc>
        <w:tc>
          <w:tcPr/>
          <w:p>
            <w:pPr>
              <w:pStyle w:val="Compact"/>
              <w:jc w:val="left"/>
            </w:pPr>
            <w:r>
              <w:t xml:space="preserve">Individual Collection</w:t>
            </w:r>
          </w:p>
        </w:tc>
        <w:tc>
          <w:tcPr/>
          <w:p>
            <w:pPr>
              <w:pStyle w:val="Compact"/>
              <w:jc w:val="left"/>
            </w:pPr>
            <w:r>
              <w:t xml:space="preserve">$75–$150</w:t>
            </w:r>
          </w:p>
        </w:tc>
        <w:tc>
          <w:tcPr/>
          <w:p>
            <w:pPr>
              <w:pStyle w:val="Compact"/>
              <w:jc w:val="left"/>
            </w:pPr>
            <w:r>
              <w:t xml:space="preserve">Creators preferring ownership</w:t>
            </w:r>
          </w:p>
        </w:tc>
        <w:tc>
          <w:tcPr/>
          <w:p>
            <w:pPr>
              <w:pStyle w:val="Compact"/>
              <w:jc w:val="left"/>
            </w:pPr>
            <w:r>
              <w:t xml:space="preserve">20%</w:t>
            </w:r>
            <w:r>
              <w:t xml:space="preserve"> </w:t>
            </w:r>
            <w:r>
              <w:rPr>
                <w:vertAlign w:val="superscript"/>
              </w:rPr>
              <w:t xml:space="preserve">4</w:t>
            </w:r>
          </w:p>
        </w:tc>
      </w:tr>
      <w:tr>
        <w:tc>
          <w:tcPr/>
          <w:p>
            <w:pPr>
              <w:pStyle w:val="Compact"/>
              <w:jc w:val="left"/>
            </w:pPr>
            <w:r>
              <w:t xml:space="preserve">One-Time Purchase</w:t>
            </w:r>
          </w:p>
        </w:tc>
        <w:tc>
          <w:tcPr/>
          <w:p>
            <w:pPr>
              <w:pStyle w:val="Compact"/>
              <w:jc w:val="left"/>
            </w:pPr>
            <w:r>
              <w:t xml:space="preserve">Complete Bundle</w:t>
            </w:r>
          </w:p>
        </w:tc>
        <w:tc>
          <w:tcPr/>
          <w:p>
            <w:pPr>
              <w:pStyle w:val="Compact"/>
              <w:jc w:val="left"/>
            </w:pPr>
            <w:r>
              <w:t xml:space="preserve">$299 (vs. $400+ individually)</w:t>
            </w:r>
          </w:p>
        </w:tc>
        <w:tc>
          <w:tcPr/>
          <w:p>
            <w:pPr>
              <w:pStyle w:val="Compact"/>
              <w:jc w:val="left"/>
            </w:pPr>
            <w:r>
              <w:t xml:space="preserve">Power users, studios</w:t>
            </w:r>
          </w:p>
        </w:tc>
        <w:tc>
          <w:tcPr/>
          <w:p>
            <w:pPr>
              <w:pStyle w:val="Compact"/>
              <w:jc w:val="left"/>
            </w:pPr>
            <w:r>
              <w:t xml:space="preserve">10%</w:t>
            </w:r>
            <w:r>
              <w:t xml:space="preserve"> </w:t>
            </w:r>
            <w:r>
              <w:rPr>
                <w:vertAlign w:val="superscript"/>
              </w:rPr>
              <w:t xml:space="preserve">3</w:t>
            </w:r>
          </w:p>
        </w:tc>
      </w:tr>
      <w:tr>
        <w:tc>
          <w:tcPr/>
          <w:p>
            <w:pPr>
              <w:pStyle w:val="Compact"/>
              <w:jc w:val="left"/>
            </w:pPr>
            <w:r>
              <w:t xml:space="preserve">Enterprise</w:t>
            </w:r>
          </w:p>
        </w:tc>
        <w:tc>
          <w:tcPr/>
          <w:p>
            <w:pPr>
              <w:pStyle w:val="Compact"/>
              <w:jc w:val="left"/>
            </w:pPr>
            <w:r>
              <w:t xml:space="preserve">Team License (50+ seats)</w:t>
            </w:r>
          </w:p>
        </w:tc>
        <w:tc>
          <w:tcPr/>
          <w:p>
            <w:pPr>
              <w:pStyle w:val="Compact"/>
              <w:jc w:val="left"/>
            </w:pPr>
            <w:r>
              <w:t xml:space="preserve">Custom (36–70% volume discount)</w:t>
            </w:r>
          </w:p>
        </w:tc>
        <w:tc>
          <w:tcPr/>
          <w:p>
            <w:pPr>
              <w:pStyle w:val="Compact"/>
              <w:jc w:val="left"/>
            </w:pPr>
            <w:r>
              <w:t xml:space="preserve">Large studios, broadcasters</w:t>
            </w:r>
          </w:p>
        </w:tc>
        <w:tc>
          <w:tcPr/>
          <w:p>
            <w:pPr>
              <w:pStyle w:val="Compact"/>
              <w:jc w:val="left"/>
            </w:pPr>
            <w:r>
              <w:t xml:space="preserve">7%</w:t>
            </w:r>
            <w:r>
              <w:t xml:space="preserve"> </w:t>
            </w:r>
            <w:r>
              <w:rPr>
                <w:vertAlign w:val="superscript"/>
              </w:rPr>
              <w:t xml:space="preserve">112</w:t>
            </w:r>
          </w:p>
        </w:tc>
      </w:tr>
      <w:tr>
        <w:tc>
          <w:tcPr/>
          <w:p>
            <w:pPr>
              <w:pStyle w:val="Compact"/>
              <w:jc w:val="left"/>
            </w:pPr>
            <w:r>
              <w:t xml:space="preserve">Marketplace</w:t>
            </w:r>
          </w:p>
        </w:tc>
        <w:tc>
          <w:tcPr/>
          <w:p>
            <w:pPr>
              <w:pStyle w:val="Compact"/>
              <w:jc w:val="left"/>
            </w:pPr>
            <w:r>
              <w:t xml:space="preserve">Creator-Submitted LUTs</w:t>
            </w:r>
          </w:p>
        </w:tc>
        <w:tc>
          <w:tcPr/>
          <w:p>
            <w:pPr>
              <w:pStyle w:val="Compact"/>
              <w:jc w:val="left"/>
            </w:pPr>
            <w:r>
              <w:t xml:space="preserve">30% commission to CINEGRADE</w:t>
            </w:r>
          </w:p>
        </w:tc>
        <w:tc>
          <w:tcPr/>
          <w:p>
            <w:pPr>
              <w:pStyle w:val="Compact"/>
              <w:jc w:val="left"/>
            </w:pPr>
            <w:r>
              <w:t xml:space="preserve">Third-party creators</w:t>
            </w:r>
          </w:p>
        </w:tc>
        <w:tc>
          <w:tcPr/>
          <w:p>
            <w:pPr>
              <w:pStyle w:val="Compact"/>
              <w:jc w:val="left"/>
            </w:pPr>
            <w:r>
              <w:t xml:space="preserve">3%</w:t>
            </w:r>
            <w:r>
              <w:t xml:space="preserve"> </w:t>
            </w:r>
            <w:r>
              <w:rPr>
                <w:vertAlign w:val="superscript"/>
              </w:rPr>
              <w:t xml:space="preserve">113</w:t>
            </w:r>
          </w:p>
        </w:tc>
      </w:tr>
    </w:tbl>
    <w:p>
      <w:pPr>
        <w:pStyle w:val="BodyText"/>
      </w:pPr>
      <w:r>
        <w:rPr>
          <w:iCs/>
          <w:i/>
        </w:rPr>
        <w:t xml:space="preserve">Table 1: CINEGRADE LAB Revenue Architecture. Annual projections assume 15,000 Pro subscribers, 3,000 Studio seats, and 8,000 one-time purchases by Month 24. Enterprise and marketplace revenue are back-weighted as these channels mature.</w:t>
      </w:r>
    </w:p>
    <w:p>
      <w:pPr>
        <w:pStyle w:val="BodyText"/>
      </w:pPr>
      <w:r>
        <w:t xml:space="preserve">The freemium-to-paid conversion benchmark for the creative tools sector is projected at 3–5%, informed by the 3.7% median freemium-to-paid conversion rate observed across SaaS platforms</w:t>
      </w:r>
      <w:r>
        <w:t xml:space="preserve"> </w:t>
      </w:r>
      <w:r>
        <w:rPr>
          <w:vertAlign w:val="superscript"/>
        </w:rPr>
        <w:t xml:space="preserve">110</w:t>
      </w:r>
      <w:r>
        <w:t xml:space="preserve">. For CINEGRADE LAB specifically, this implies that every 1,000 free tier signups should yield 30–50 paid conversions over a 90-day nurture window. The critical lever is not the conversion rate itself but the CAC: organic content marketing (tutorials, before/after demonstrations) achieves near-zero marginal CAC, while paid acquisition for cold traffic in the $0–$49/month tier typically costs $68–$84 per customer in e-commerce contexts</w:t>
      </w:r>
      <w:r>
        <w:t xml:space="preserve"> </w:t>
      </w:r>
      <w:r>
        <w:rPr>
          <w:vertAlign w:val="superscript"/>
        </w:rPr>
        <w:t xml:space="preserve">114</w:t>
      </w:r>
      <w:r>
        <w:t xml:space="preserve">.</w:t>
      </w:r>
    </w:p>
    <w:bookmarkEnd w:id="152"/>
    <w:bookmarkStart w:id="153" w:name="enterprise-licensing"/>
    <w:p>
      <w:pPr>
        <w:pStyle w:val="Heading4"/>
      </w:pPr>
      <w:r>
        <w:t xml:space="preserve">9.1.3 Enterprise Licensing</w:t>
      </w:r>
    </w:p>
    <w:p>
      <w:pPr>
        <w:pStyle w:val="FirstParagraph"/>
      </w:pPr>
      <w:r>
        <w:t xml:space="preserve">Enterprise licensing represents the highest-value but slowest-to-mature revenue channel. Commercial LUT packs typically include broad usage rights for commercials, social media, broadcast, and feature film production</w:t>
      </w:r>
      <w:r>
        <w:t xml:space="preserve"> </w:t>
      </w:r>
      <w:r>
        <w:rPr>
          <w:vertAlign w:val="superscript"/>
        </w:rPr>
        <w:t xml:space="preserve">112</w:t>
      </w:r>
      <w:r>
        <w:t xml:space="preserve">. Enterprise agreements for teams of 50 or more employees command volume discounts of 36–70% per seat, reflecting the reduced per-unit support burden and the strategic value of anchor clients. The enterprise sales cycle is projected at 3–6 months with sales-assisted conversion rates of 28–45% for ACV (Annual Contract Value) above $25,000</w:t>
      </w:r>
      <w:r>
        <w:t xml:space="preserve"> </w:t>
      </w:r>
      <w:r>
        <w:rPr>
          <w:vertAlign w:val="superscript"/>
        </w:rPr>
        <w:t xml:space="preserve">111</w:t>
      </w:r>
      <w:r>
        <w:t xml:space="preserve">.</w:t>
      </w:r>
    </w:p>
    <w:p>
      <w:pPr>
        <w:pStyle w:val="BodyText"/>
      </w:pPr>
      <w:r>
        <w:t xml:space="preserve">The enterprise offering includes DAM (Digital Asset Management) system integration, license tracking APIs, automated asset expiration, role-based access controls, and centralized billing. This positions CINEGRADE LAB as infrastructure rather than content—a categorization that dramatically expands addressable budget from individual creator tool allowances to enterprise software procurement. Envato Elements’ enterprise model, which uses a reduced 25% author revenue share to compensate for enterprise sales infrastructure costs, provides a reference for the investment required</w:t>
      </w:r>
      <w:r>
        <w:t xml:space="preserve"> </w:t>
      </w:r>
      <w:r>
        <w:rPr>
          <w:vertAlign w:val="superscript"/>
        </w:rPr>
        <w:t xml:space="preserve">115</w:t>
      </w:r>
      <w:r>
        <w:t xml:space="preserve">.</w:t>
      </w:r>
    </w:p>
    <w:bookmarkEnd w:id="153"/>
    <w:bookmarkStart w:id="154" w:name="marketplace-commission-model"/>
    <w:p>
      <w:pPr>
        <w:pStyle w:val="Heading4"/>
      </w:pPr>
      <w:r>
        <w:t xml:space="preserve">9.1.4 Marketplace Commission Model</w:t>
      </w:r>
    </w:p>
    <w:p>
      <w:pPr>
        <w:pStyle w:val="FirstParagraph"/>
      </w:pPr>
      <w:r>
        <w:t xml:space="preserve">The creator marketplace operates on a 30% commission model—more favorable to creators than FilterGrade’s 50/50 split or Creative Market’s 50% take</w:t>
      </w:r>
      <w:r>
        <w:t xml:space="preserve"> </w:t>
      </w:r>
      <w:r>
        <w:rPr>
          <w:vertAlign w:val="superscript"/>
        </w:rPr>
        <w:t xml:space="preserve">113</w:t>
      </w:r>
      <w:r>
        <w:t xml:space="preserve">. By offering creators a 70% revenue share, CINEGRADE LAB positions itself as the creator-friendly alternative, a differentiator that attracts high-quality submissions and builds ecosystem loyalty. Top sellers on competing platforms earn $1,000+ in monthly commissions, implying $2,000+ in gross sales at 50% commission rates; at CINEGRADE LAB’s 70% share, equivalent sales would generate $1,400+ for the creator</w:t>
      </w:r>
      <w:r>
        <w:t xml:space="preserve"> </w:t>
      </w:r>
      <w:r>
        <w:rPr>
          <w:vertAlign w:val="superscript"/>
        </w:rPr>
        <w:t xml:space="preserve">113</w:t>
      </w:r>
      <w:r>
        <w:t xml:space="preserve">. The marketplace is projected to contribute 3% of total revenue by Month 24, scaling to 10%+ by Month 36 as the creator community matures.</w:t>
      </w:r>
    </w:p>
    <w:bookmarkEnd w:id="154"/>
    <w:bookmarkEnd w:id="155"/>
    <w:bookmarkStart w:id="160" w:name="customer-acquisition-strategy"/>
    <w:p>
      <w:pPr>
        <w:pStyle w:val="Heading3"/>
      </w:pPr>
      <w:r>
        <w:t xml:space="preserve">9.2 Customer Acquisition Strategy</w:t>
      </w:r>
    </w:p>
    <w:bookmarkStart w:id="156" w:name="education-as-marketing-flywheel"/>
    <w:p>
      <w:pPr>
        <w:pStyle w:val="Heading4"/>
      </w:pPr>
      <w:r>
        <w:t xml:space="preserve">9.2.1 Education-as-Marketing Flywheel</w:t>
      </w:r>
    </w:p>
    <w:p>
      <w:pPr>
        <w:pStyle w:val="FirstParagraph"/>
      </w:pPr>
      <w:r>
        <w:t xml:space="preserve">YouTube color grading tutorials create a direct path from education to purchase with near-zero marginal customer acquisition cost. The mechanism is straightforward: a creator searches</w:t>
      </w:r>
      <w:r>
        <w:t xml:space="preserve"> </w:t>
      </w:r>
      <w:r>
        <w:t xml:space="preserve">“</w:t>
      </w:r>
      <w:r>
        <w:t xml:space="preserve">how to color grade like A24</w:t>
      </w:r>
      <w:r>
        <w:t xml:space="preserve">”</w:t>
      </w:r>
      <w:r>
        <w:t xml:space="preserve"> </w:t>
      </w:r>
      <w:r>
        <w:t xml:space="preserve">→ discovers a CINEGRADE LAB tutorial → witnesses the LUT applied in real time → clicks the link in the description → purchases. This pipeline compounds over time as the YouTube channel’s subscriber base grows, creating a self-reinforcing flywheel where content quality drives viewership, viewership drives sales, and sales fund higher production value.</w:t>
      </w:r>
    </w:p>
    <w:p>
      <w:pPr>
        <w:pStyle w:val="BodyText"/>
      </w:pPr>
      <w:r>
        <w:t xml:space="preserve">The strategy allocates 30–40% of marketing resources to content creation rather than paid advertising. Two content tiers operate in parallel: free tutorials using CINEGRADE LUTs (demonstrating product value in real workflows) and behind-the-scenes color science deep-dives (building authority and trust). Every tutorial includes a direct link to the specific LUT pack used, and the description prominently features a free sample download as the primary call-to-action. FilterGrade’s own YouTube strategy—offering</w:t>
      </w:r>
      <w:r>
        <w:t xml:space="preserve"> </w:t>
      </w:r>
      <w:r>
        <w:t xml:space="preserve">“</w:t>
      </w:r>
      <w:r>
        <w:t xml:space="preserve">Free Cinematic LUTs Pack</w:t>
      </w:r>
      <w:r>
        <w:t xml:space="preserve">”</w:t>
      </w:r>
      <w:r>
        <w:t xml:space="preserve"> </w:t>
      </w:r>
      <w:r>
        <w:t xml:space="preserve">alongside paid products—validates this approach at scale</w:t>
      </w:r>
      <w:r>
        <w:t xml:space="preserve"> </w:t>
      </w:r>
      <w:r>
        <w:rPr>
          <w:vertAlign w:val="superscript"/>
        </w:rPr>
        <w:t xml:space="preserve">113</w:t>
      </w:r>
      <w:r>
        <w:t xml:space="preserve">.</w:t>
      </w:r>
    </w:p>
    <w:p>
      <w:pPr>
        <w:pStyle w:val="BodyText"/>
      </w:pPr>
      <w:r>
        <w:t xml:space="preserve">YouTube is the primary discovery channel because it is the largest creator platform by raw count (61.8 million creators) and the dominant search destination for color grading education</w:t>
      </w:r>
      <w:r>
        <w:t xml:space="preserve"> </w:t>
      </w:r>
      <w:r>
        <w:rPr>
          <w:vertAlign w:val="superscript"/>
        </w:rPr>
        <w:t xml:space="preserve">116</w:t>
      </w:r>
      <w:r>
        <w:t xml:space="preserve">.</w:t>
      </w:r>
      <w:r>
        <w:t xml:space="preserve"> </w:t>
      </w:r>
      <w:r>
        <w:t xml:space="preserve">“</w:t>
      </w:r>
      <w:r>
        <w:t xml:space="preserve">How to color grade</w:t>
      </w:r>
      <w:r>
        <w:t xml:space="preserve">”</w:t>
      </w:r>
      <w:r>
        <w:t xml:space="preserve"> </w:t>
      </w:r>
      <w:r>
        <w:t xml:space="preserve">tutorials consistently rank among the top creative education searches, and creators like Tenfold Filmmaker have built substantial LUT businesses by promoting products directly within tutorial content</w:t>
      </w:r>
      <w:r>
        <w:t xml:space="preserve"> </w:t>
      </w:r>
      <w:r>
        <w:rPr>
          <w:vertAlign w:val="superscript"/>
        </w:rPr>
        <w:t xml:space="preserve">116</w:t>
      </w:r>
      <w:r>
        <w:t xml:space="preserve">. The</w:t>
      </w:r>
      <w:r>
        <w:t xml:space="preserve"> </w:t>
      </w:r>
      <w:r>
        <w:t xml:space="preserve">“</w:t>
      </w:r>
      <w:r>
        <w:t xml:space="preserve">show, don’t tell</w:t>
      </w:r>
      <w:r>
        <w:t xml:space="preserve">”</w:t>
      </w:r>
      <w:r>
        <w:t xml:space="preserve"> </w:t>
      </w:r>
      <w:r>
        <w:t xml:space="preserve">approach is particularly effective for LUTs because the visual transformation is the entire value proposition—a before/after comparison communicates more in 3 seconds than a feature list communicates in 300 words.</w:t>
      </w:r>
    </w:p>
    <w:bookmarkEnd w:id="156"/>
    <w:bookmarkStart w:id="157" w:name="X938f2df36d1b0d9e436b9558706ee5bc1bce8f8"/>
    <w:p>
      <w:pPr>
        <w:pStyle w:val="Heading4"/>
      </w:pPr>
      <w:r>
        <w:t xml:space="preserve">9.2.2 Micro-Influencer Partnership Architecture</w:t>
      </w:r>
    </w:p>
    <w:p>
      <w:pPr>
        <w:pStyle w:val="FirstParagraph"/>
      </w:pPr>
      <w:r>
        <w:t xml:space="preserve">The influencer strategy is structured by tier, reflecting research showing that different creator sizes serve distinct functions in the purchase funnel</w:t>
      </w:r>
      <w:r>
        <w:t xml:space="preserve"> </w:t>
      </w:r>
      <w:r>
        <w:rPr>
          <w:vertAlign w:val="superscript"/>
        </w:rPr>
        <w:t xml:space="preserve">117</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Follower Range</w:t>
            </w:r>
          </w:p>
        </w:tc>
        <w:tc>
          <w:tcPr/>
          <w:p>
            <w:pPr>
              <w:pStyle w:val="Compact"/>
              <w:jc w:val="left"/>
            </w:pPr>
            <w:r>
              <w:t xml:space="preserve">Budget Allocation</w:t>
            </w:r>
          </w:p>
        </w:tc>
        <w:tc>
          <w:tcPr/>
          <w:p>
            <w:pPr>
              <w:pStyle w:val="Compact"/>
              <w:jc w:val="left"/>
            </w:pPr>
            <w:r>
              <w:t xml:space="preserve">Role</w:t>
            </w:r>
          </w:p>
        </w:tc>
        <w:tc>
          <w:tcPr/>
          <w:p>
            <w:pPr>
              <w:pStyle w:val="Compact"/>
              <w:jc w:val="left"/>
            </w:pPr>
            <w:r>
              <w:t xml:space="preserve">Expected Cost Per Partnership</w:t>
            </w:r>
          </w:p>
        </w:tc>
      </w:tr>
      <w:tr>
        <w:tc>
          <w:tcPr/>
          <w:p>
            <w:pPr>
              <w:pStyle w:val="Compact"/>
              <w:jc w:val="left"/>
            </w:pPr>
            <w:r>
              <w:t xml:space="preserve">Nano</w:t>
            </w:r>
          </w:p>
        </w:tc>
        <w:tc>
          <w:tcPr/>
          <w:p>
            <w:pPr>
              <w:pStyle w:val="Compact"/>
              <w:jc w:val="left"/>
            </w:pPr>
            <w:r>
              <w:t xml:space="preserve">1K–10K</w:t>
            </w:r>
          </w:p>
        </w:tc>
        <w:tc>
          <w:tcPr/>
          <w:p>
            <w:pPr>
              <w:pStyle w:val="Compact"/>
              <w:jc w:val="left"/>
            </w:pPr>
            <w:r>
              <w:t xml:space="preserve">10%</w:t>
            </w:r>
          </w:p>
        </w:tc>
        <w:tc>
          <w:tcPr/>
          <w:p>
            <w:pPr>
              <w:pStyle w:val="Compact"/>
              <w:jc w:val="left"/>
            </w:pPr>
            <w:r>
              <w:t xml:space="preserve">Niche trust, community depth</w:t>
            </w:r>
          </w:p>
        </w:tc>
        <w:tc>
          <w:tcPr/>
          <w:p>
            <w:pPr>
              <w:pStyle w:val="Compact"/>
              <w:jc w:val="left"/>
            </w:pPr>
            <w:r>
              <w:t xml:space="preserve">$0–$200 (product seeding)</w:t>
            </w:r>
            <w:r>
              <w:t xml:space="preserve"> </w:t>
            </w:r>
            <w:r>
              <w:rPr>
                <w:vertAlign w:val="superscript"/>
              </w:rPr>
              <w:t xml:space="preserve">117</w:t>
            </w:r>
          </w:p>
        </w:tc>
      </w:tr>
      <w:tr>
        <w:tc>
          <w:tcPr/>
          <w:p>
            <w:pPr>
              <w:pStyle w:val="Compact"/>
              <w:jc w:val="left"/>
            </w:pPr>
            <w:r>
              <w:t xml:space="preserve">Micro</w:t>
            </w:r>
          </w:p>
        </w:tc>
        <w:tc>
          <w:tcPr/>
          <w:p>
            <w:pPr>
              <w:pStyle w:val="Compact"/>
              <w:jc w:val="left"/>
            </w:pPr>
            <w:r>
              <w:t xml:space="preserve">10K–50K</w:t>
            </w:r>
          </w:p>
        </w:tc>
        <w:tc>
          <w:tcPr/>
          <w:p>
            <w:pPr>
              <w:pStyle w:val="Compact"/>
              <w:jc w:val="left"/>
            </w:pPr>
            <w:r>
              <w:t xml:space="preserve">40%</w:t>
            </w:r>
          </w:p>
        </w:tc>
        <w:tc>
          <w:tcPr/>
          <w:p>
            <w:pPr>
              <w:pStyle w:val="Compact"/>
              <w:jc w:val="left"/>
            </w:pPr>
            <w:r>
              <w:t xml:space="preserve">High engagement, conversion focus</w:t>
            </w:r>
          </w:p>
        </w:tc>
        <w:tc>
          <w:tcPr/>
          <w:p>
            <w:pPr>
              <w:pStyle w:val="Compact"/>
              <w:jc w:val="left"/>
            </w:pPr>
            <w:r>
              <w:t xml:space="preserve">$200–$1,000 + 30% affiliate</w:t>
            </w:r>
            <w:r>
              <w:t xml:space="preserve"> </w:t>
            </w:r>
            <w:r>
              <w:rPr>
                <w:vertAlign w:val="superscript"/>
              </w:rPr>
              <w:t xml:space="preserve">117</w:t>
            </w:r>
          </w:p>
        </w:tc>
      </w:tr>
      <w:tr>
        <w:tc>
          <w:tcPr/>
          <w:p>
            <w:pPr>
              <w:pStyle w:val="Compact"/>
              <w:jc w:val="left"/>
            </w:pPr>
            <w:r>
              <w:t xml:space="preserve">Mid</w:t>
            </w:r>
          </w:p>
        </w:tc>
        <w:tc>
          <w:tcPr/>
          <w:p>
            <w:pPr>
              <w:pStyle w:val="Compact"/>
              <w:jc w:val="left"/>
            </w:pPr>
            <w:r>
              <w:t xml:space="preserve">50K–250K</w:t>
            </w:r>
          </w:p>
        </w:tc>
        <w:tc>
          <w:tcPr/>
          <w:p>
            <w:pPr>
              <w:pStyle w:val="Compact"/>
              <w:jc w:val="left"/>
            </w:pPr>
            <w:r>
              <w:t xml:space="preserve">30%</w:t>
            </w:r>
          </w:p>
        </w:tc>
        <w:tc>
          <w:tcPr/>
          <w:p>
            <w:pPr>
              <w:pStyle w:val="Compact"/>
              <w:jc w:val="left"/>
            </w:pPr>
            <w:r>
              <w:t xml:space="preserve">Awareness + credibility balance</w:t>
            </w:r>
          </w:p>
        </w:tc>
        <w:tc>
          <w:tcPr/>
          <w:p>
            <w:pPr>
              <w:pStyle w:val="Compact"/>
              <w:jc w:val="left"/>
            </w:pPr>
            <w:r>
              <w:t xml:space="preserve">$1,000–$5,000 + affiliate</w:t>
            </w:r>
            <w:r>
              <w:t xml:space="preserve"> </w:t>
            </w:r>
            <w:r>
              <w:rPr>
                <w:vertAlign w:val="superscript"/>
              </w:rPr>
              <w:t xml:space="preserve">117</w:t>
            </w:r>
          </w:p>
        </w:tc>
      </w:tr>
      <w:tr>
        <w:tc>
          <w:tcPr/>
          <w:p>
            <w:pPr>
              <w:pStyle w:val="Compact"/>
              <w:jc w:val="left"/>
            </w:pPr>
            <w:r>
              <w:t xml:space="preserve">Macro</w:t>
            </w:r>
          </w:p>
        </w:tc>
        <w:tc>
          <w:tcPr/>
          <w:p>
            <w:pPr>
              <w:pStyle w:val="Compact"/>
              <w:jc w:val="left"/>
            </w:pPr>
            <w:r>
              <w:t xml:space="preserve">250K+</w:t>
            </w:r>
          </w:p>
        </w:tc>
        <w:tc>
          <w:tcPr/>
          <w:p>
            <w:pPr>
              <w:pStyle w:val="Compact"/>
              <w:jc w:val="left"/>
            </w:pPr>
            <w:r>
              <w:t xml:space="preserve">10%</w:t>
            </w:r>
          </w:p>
        </w:tc>
        <w:tc>
          <w:tcPr/>
          <w:p>
            <w:pPr>
              <w:pStyle w:val="Compact"/>
              <w:jc w:val="left"/>
            </w:pPr>
            <w:r>
              <w:t xml:space="preserve">Mass exposure, brand elevation</w:t>
            </w:r>
          </w:p>
        </w:tc>
        <w:tc>
          <w:tcPr/>
          <w:p>
            <w:pPr>
              <w:pStyle w:val="Compact"/>
              <w:jc w:val="left"/>
            </w:pPr>
            <w:r>
              <w:t xml:space="preserve">$5,000–$20,000 flat</w:t>
            </w:r>
            <w:r>
              <w:t xml:space="preserve"> </w:t>
            </w:r>
            <w:r>
              <w:rPr>
                <w:vertAlign w:val="superscript"/>
              </w:rPr>
              <w:t xml:space="preserve">117</w:t>
            </w:r>
          </w:p>
        </w:tc>
      </w:tr>
      <w:tr>
        <w:tc>
          <w:tcPr/>
          <w:p>
            <w:pPr>
              <w:pStyle w:val="Compact"/>
              <w:jc w:val="left"/>
            </w:pPr>
            <w:r>
              <w:t xml:space="preserve">Paid Amplification</w:t>
            </w:r>
          </w:p>
        </w:tc>
        <w:tc>
          <w:tcPr/>
          <w:p>
            <w:pPr>
              <w:pStyle w:val="Compact"/>
              <w:jc w:val="left"/>
            </w:pPr>
            <w:r>
              <w:t xml:space="preserve">N/A</w:t>
            </w:r>
          </w:p>
        </w:tc>
        <w:tc>
          <w:tcPr/>
          <w:p>
            <w:pPr>
              <w:pStyle w:val="Compact"/>
              <w:jc w:val="left"/>
            </w:pPr>
            <w:r>
              <w:t xml:space="preserve">10%</w:t>
            </w:r>
          </w:p>
        </w:tc>
        <w:tc>
          <w:tcPr/>
          <w:p>
            <w:pPr>
              <w:pStyle w:val="Compact"/>
              <w:jc w:val="left"/>
            </w:pPr>
            <w:r>
              <w:t xml:space="preserve">Boost top-performing organic content</w:t>
            </w:r>
          </w:p>
        </w:tc>
        <w:tc>
          <w:tcPr/>
          <w:p>
            <w:pPr>
              <w:pStyle w:val="Compact"/>
              <w:jc w:val="left"/>
            </w:pPr>
            <w:r>
              <w:t xml:space="preserve">$500–$2,000 per campaign</w:t>
            </w:r>
            <w:r>
              <w:t xml:space="preserve"> </w:t>
            </w:r>
            <w:r>
              <w:rPr>
                <w:vertAlign w:val="superscript"/>
              </w:rPr>
              <w:t xml:space="preserve">117</w:t>
            </w:r>
          </w:p>
        </w:tc>
      </w:tr>
    </w:tbl>
    <w:p>
      <w:pPr>
        <w:pStyle w:val="BodyText"/>
      </w:pPr>
      <w:r>
        <w:rPr>
          <w:iCs/>
          <w:i/>
        </w:rPr>
        <w:t xml:space="preserve">Table 2: Influencer Partnership Architecture. Budget allocations reflect the 40/30/20/10 split across micro, mid, macro, and paid amplification tiers. Affiliate commissions of 30–50% are offered across all tiers as a performance-based supplement to flat fees.</w:t>
      </w:r>
    </w:p>
    <w:p>
      <w:pPr>
        <w:pStyle w:val="BodyText"/>
      </w:pPr>
      <w:r>
        <w:t xml:space="preserve">Micro-influencers in the photography and videography education space (10,000–50,000 engaged followers) offer the best return on investment for LUT sales. The reason is structural: LUT buyers trust technical expertise and community credibility more than celebrity endorsement</w:t>
      </w:r>
      <w:r>
        <w:t xml:space="preserve"> </w:t>
      </w:r>
      <w:r>
        <w:rPr>
          <w:vertAlign w:val="superscript"/>
        </w:rPr>
        <w:t xml:space="preserve">113</w:t>
      </w:r>
      <w:r>
        <w:t xml:space="preserve">. A $500 partnership with a respected color grading educator who demonstrates CINEGRADE LUTs in a professional workflow outperforms a $5,000 partnership with a general lifestyle influencer whose audience lacks the technical context to evaluate the product. The Atlantic’s foundational analysis of the preset economy confirmed this insight:</w:t>
      </w:r>
      <w:r>
        <w:t xml:space="preserve"> </w:t>
      </w:r>
      <w:r>
        <w:t xml:space="preserve">“</w:t>
      </w:r>
      <w:r>
        <w:t xml:space="preserve">Presets are about the people selling the filters rather than the filters themselves</w:t>
      </w:r>
      <w:r>
        <w:t xml:space="preserve">”</w:t>
      </w:r>
      <w:r>
        <w:t xml:space="preserve">—but in the professional segment,</w:t>
      </w:r>
      <w:r>
        <w:t xml:space="preserve"> </w:t>
      </w:r>
      <w:r>
        <w:t xml:space="preserve">“</w:t>
      </w:r>
      <w:r>
        <w:t xml:space="preserve">the people</w:t>
      </w:r>
      <w:r>
        <w:t xml:space="preserve">”</w:t>
      </w:r>
      <w:r>
        <w:t xml:space="preserve"> </w:t>
      </w:r>
      <w:r>
        <w:t xml:space="preserve">means trusted educators, not celebrities</w:t>
      </w:r>
      <w:r>
        <w:t xml:space="preserve"> </w:t>
      </w:r>
      <w:r>
        <w:rPr>
          <w:vertAlign w:val="superscript"/>
        </w:rPr>
        <w:t xml:space="preserve">113</w:t>
      </w:r>
      <w:r>
        <w:t xml:space="preserve">.</w:t>
      </w:r>
    </w:p>
    <w:p>
      <w:pPr>
        <w:pStyle w:val="BodyText"/>
      </w:pPr>
      <w:r>
        <w:t xml:space="preserve">Partnerships are structured as long-term ambassador relationships rather than one-off sponsored posts. Ambassadors receive early access to new collections, revenue-sharing through affiliate links (30–50% commission), co-branded content opportunities, and featured placement in the CINEGRADE LAB marketplace. This alignment creates mutual investment in the brand’s success rather than transactional exchanges.</w:t>
      </w:r>
    </w:p>
    <w:bookmarkEnd w:id="157"/>
    <w:bookmarkStart w:id="158" w:name="freemium-conversion-mechanics"/>
    <w:p>
      <w:pPr>
        <w:pStyle w:val="Heading4"/>
      </w:pPr>
      <w:r>
        <w:t xml:space="preserve">9.2.3 Freemium Conversion Mechanics</w:t>
      </w:r>
    </w:p>
    <w:p>
      <w:pPr>
        <w:pStyle w:val="FirstParagraph"/>
      </w:pPr>
      <w:r>
        <w:t xml:space="preserve">The freemium funnel operates at a 2–5% conversion benchmark, the established industry average for freemium-to-paid transitions across SaaS platforms</w:t>
      </w:r>
      <w:r>
        <w:t xml:space="preserve"> </w:t>
      </w:r>
      <w:r>
        <w:rPr>
          <w:vertAlign w:val="superscript"/>
        </w:rPr>
        <w:t xml:space="preserve">110</w:t>
      </w:r>
      <w:r>
        <w:t xml:space="preserve">. However, top-quartile freemium products achieve 8–12% conversion through three specific tactics that CINEGRADE LAB will employ</w:t>
      </w:r>
      <w:r>
        <w:t xml:space="preserve"> </w:t>
      </w:r>
      <w:r>
        <w:rPr>
          <w:vertAlign w:val="superscript"/>
        </w:rPr>
        <w:t xml:space="preserve">111</w:t>
      </w:r>
      <w:r>
        <w:t xml:space="preserve">.</w:t>
      </w:r>
    </w:p>
    <w:p>
      <w:pPr>
        <w:pStyle w:val="BodyText"/>
      </w:pPr>
      <w:r>
        <w:t xml:space="preserve">First, the free samples must demonstrate unmistakable value while leaving clear room for premium desire. Offering 2–3 LUTs from a 12-LUT collection achieves this balance: the free user experiences the quality (building trust) but cannot complete a full project without the remaining 9 LUTs (creating scarcity). FilterGrade’s dedicated free downloads section validates this approach as a traffic driver</w:t>
      </w:r>
      <w:r>
        <w:t xml:space="preserve"> </w:t>
      </w:r>
      <w:r>
        <w:rPr>
          <w:vertAlign w:val="superscript"/>
        </w:rPr>
        <w:t xml:space="preserve">113</w:t>
      </w:r>
      <w:r>
        <w:t xml:space="preserve">.</w:t>
      </w:r>
    </w:p>
    <w:p>
      <w:pPr>
        <w:pStyle w:val="BodyText"/>
      </w:pPr>
      <w:r>
        <w:t xml:space="preserve">Second, email nurture sequences target high-engagement free users with contextual upgrade prompts. Data from the Zuora platform indicates that free users who engage with educational content (tutorials, blog posts, webinars) convert at 2–3x the rate of passive free users</w:t>
      </w:r>
      <w:r>
        <w:t xml:space="preserve"> </w:t>
      </w:r>
      <w:r>
        <w:rPr>
          <w:vertAlign w:val="superscript"/>
        </w:rPr>
        <w:t xml:space="preserve">118</w:t>
      </w:r>
      <w:r>
        <w:t xml:space="preserve">. The nurture sequence includes: a welcome email with the free LUT download (immediate), a workflow tutorial featuring the premium collection (Day 3), a before/after showcase from community members (Day 7), a limited-time upgrade discount (Day 14), and a final value-focused pitch (Day 21).</w:t>
      </w:r>
    </w:p>
    <w:p>
      <w:pPr>
        <w:pStyle w:val="BodyText"/>
      </w:pPr>
      <w:r>
        <w:t xml:space="preserve">Third, in-product messaging highlights premium benefits at decision points. When a free user attempts to export a watermarked file or access a locked LUT, a frictionless one-click upgrade path appears with clear value communication</w:t>
      </w:r>
      <w:r>
        <w:t xml:space="preserve"> </w:t>
      </w:r>
      <w:r>
        <w:rPr>
          <w:vertAlign w:val="superscript"/>
        </w:rPr>
        <w:t xml:space="preserve">118</w:t>
      </w:r>
      <w:r>
        <w:t xml:space="preserve">. Trial access to premium tiers converts at 40–60% when users experience expanded value before committing</w:t>
      </w:r>
      <w:r>
        <w:t xml:space="preserve"> </w:t>
      </w:r>
      <w:r>
        <w:rPr>
          <w:vertAlign w:val="superscript"/>
        </w:rPr>
        <w:t xml:space="preserve">109</w:t>
      </w:r>
      <w:r>
        <w:t xml:space="preserve">.</w:t>
      </w:r>
    </w:p>
    <w:bookmarkEnd w:id="158"/>
    <w:bookmarkStart w:id="159" w:name="affiliate-system"/>
    <w:p>
      <w:pPr>
        <w:pStyle w:val="Heading4"/>
      </w:pPr>
      <w:r>
        <w:t xml:space="preserve">9.2.4 Affiliate System</w:t>
      </w:r>
    </w:p>
    <w:p>
      <w:pPr>
        <w:pStyle w:val="FirstParagraph"/>
      </w:pPr>
      <w:r>
        <w:t xml:space="preserve">The affiliate program offers 20–50% commission on digital product referrals, aligning with industry norms where commissions for digital products range from 10% to 50%, and SaaS subscription products typically pay 15–25%</w:t>
      </w:r>
      <w:r>
        <w:t xml:space="preserve"> </w:t>
      </w:r>
      <w:r>
        <w:rPr>
          <w:vertAlign w:val="superscript"/>
        </w:rPr>
        <w:t xml:space="preserve">119</w:t>
      </w:r>
      <w:r>
        <w:t xml:space="preserve">. The tiered commission structure rewards performance: 20% for new affiliates, 30% after $1,000 in referred sales, and 50% for top-performing partners who drive $5,000+ in monthly sales. This structure mirrors Envato’s affiliate program, which pays $20–$120 per subscriber depending on plan type</w:t>
      </w:r>
      <w:r>
        <w:t xml:space="preserve"> </w:t>
      </w:r>
      <w:r>
        <w:rPr>
          <w:vertAlign w:val="superscript"/>
        </w:rPr>
        <w:t xml:space="preserve">120</w:t>
      </w:r>
      <w:r>
        <w:t xml:space="preserve">.</w:t>
      </w:r>
    </w:p>
    <w:p>
      <w:pPr>
        <w:pStyle w:val="BodyText"/>
      </w:pPr>
      <w:r>
        <w:t xml:space="preserve">Affiliate partnerships target four specific creator categories: photography educators (YouTube tutorial creators), filmmaking course instructors, wedding photography workshop leaders, and film photography community organizers. Each category receives customized creative assets, pre-written email templates, and exclusive discount codes for their audiences. The 60–90 day cookie window aligns with best practices for digital product affiliate programs, which show 28% steadier 90-day revenue than programs with shorter windows</w:t>
      </w:r>
      <w:r>
        <w:t xml:space="preserve"> </w:t>
      </w:r>
      <w:r>
        <w:rPr>
          <w:vertAlign w:val="superscript"/>
        </w:rPr>
        <w:t xml:space="preserve">121</w:t>
      </w:r>
      <w:r>
        <w:t xml:space="preserve">.</w:t>
      </w:r>
    </w:p>
    <w:bookmarkEnd w:id="159"/>
    <w:bookmarkEnd w:id="160"/>
    <w:bookmarkStart w:id="164" w:name="market-entry-timeline"/>
    <w:p>
      <w:pPr>
        <w:pStyle w:val="Heading3"/>
      </w:pPr>
      <w:r>
        <w:t xml:space="preserve">9.3 Market Entry Timeline</w:t>
      </w:r>
    </w:p>
    <w:p>
      <w:pPr>
        <w:pStyle w:val="FirstParagraph"/>
      </w:pPr>
      <w:r>
        <w:t xml:space="preserve">The go-to-market timeline is structured in three phases, each with specific milestones, resource requirements, and success metrics.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Key Initiatives</w:t>
            </w:r>
          </w:p>
        </w:tc>
        <w:tc>
          <w:tcPr/>
          <w:p>
            <w:pPr>
              <w:pStyle w:val="Compact"/>
              <w:jc w:val="left"/>
            </w:pPr>
            <w:r>
              <w:t xml:space="preserve">Success Metrics</w:t>
            </w:r>
          </w:p>
        </w:tc>
        <w:tc>
          <w:tcPr/>
          <w:p>
            <w:pPr>
              <w:pStyle w:val="Compact"/>
              <w:jc w:val="left"/>
            </w:pPr>
            <w:r>
              <w:t xml:space="preserve">Investment</w:t>
            </w:r>
          </w:p>
        </w:tc>
      </w:tr>
      <w:tr>
        <w:tc>
          <w:tcPr/>
          <w:p>
            <w:pPr>
              <w:pStyle w:val="Compact"/>
              <w:jc w:val="left"/>
            </w:pPr>
            <w:r>
              <w:t xml:space="preserve">Phase 1: Foundation</w:t>
            </w:r>
          </w:p>
        </w:tc>
        <w:tc>
          <w:tcPr/>
          <w:p>
            <w:pPr>
              <w:pStyle w:val="Compact"/>
              <w:jc w:val="left"/>
            </w:pPr>
            <w:r>
              <w:t xml:space="preserve">Months 0–3</w:t>
            </w:r>
          </w:p>
        </w:tc>
        <w:tc>
          <w:tcPr/>
          <w:p>
            <w:pPr>
              <w:pStyle w:val="Compact"/>
              <w:jc w:val="left"/>
            </w:pPr>
            <w:r>
              <w:t xml:space="preserve">Launch YouTube channel (weekly tutorials); partner with 10 micro-influencers; release</w:t>
            </w:r>
            <w:r>
              <w:t xml:space="preserve"> </w:t>
            </w:r>
            <w:r>
              <w:t xml:space="preserve">“</w:t>
            </w:r>
            <w:r>
              <w:t xml:space="preserve">INDIE</w:t>
            </w:r>
            <w:r>
              <w:t xml:space="preserve">”</w:t>
            </w:r>
            <w:r>
              <w:t xml:space="preserve"> </w:t>
            </w:r>
            <w:r>
              <w:t xml:space="preserve">collection ($89); build email list via free sample packs</w:t>
            </w:r>
          </w:p>
        </w:tc>
        <w:tc>
          <w:tcPr/>
          <w:p>
            <w:pPr>
              <w:pStyle w:val="Compact"/>
              <w:jc w:val="left"/>
            </w:pPr>
            <w:r>
              <w:t xml:space="preserve">5,000 YouTube subscribers; 2,000 email signups; $15K MRR</w:t>
            </w:r>
          </w:p>
        </w:tc>
        <w:tc>
          <w:tcPr/>
          <w:p>
            <w:pPr>
              <w:pStyle w:val="Compact"/>
              <w:jc w:val="left"/>
            </w:pPr>
            <w:r>
              <w:t xml:space="preserve">$45K (content + influencer seeding)</w:t>
            </w:r>
          </w:p>
        </w:tc>
      </w:tr>
      <w:tr>
        <w:tc>
          <w:tcPr/>
          <w:p>
            <w:pPr>
              <w:pStyle w:val="Compact"/>
              <w:jc w:val="left"/>
            </w:pPr>
            <w:r>
              <w:t xml:space="preserve">Phase 2: Expansion</w:t>
            </w:r>
          </w:p>
        </w:tc>
        <w:tc>
          <w:tcPr/>
          <w:p>
            <w:pPr>
              <w:pStyle w:val="Compact"/>
              <w:jc w:val="left"/>
            </w:pPr>
            <w:r>
              <w:t xml:space="preserve">Months 3–6</w:t>
            </w:r>
          </w:p>
        </w:tc>
        <w:tc>
          <w:tcPr/>
          <w:p>
            <w:pPr>
              <w:pStyle w:val="Compact"/>
              <w:jc w:val="left"/>
            </w:pPr>
            <w:r>
              <w:t xml:space="preserve">Launch camera-specific input LUT system (10+ camera profiles); release Wedding Cinema Pack ($129) and Night Cinema Pack ($99); activate affiliate program; introduce Pro/Studio tiers</w:t>
            </w:r>
          </w:p>
        </w:tc>
        <w:tc>
          <w:tcPr/>
          <w:p>
            <w:pPr>
              <w:pStyle w:val="Compact"/>
              <w:jc w:val="left"/>
            </w:pPr>
            <w:r>
              <w:t xml:space="preserve">15,000 YouTube subscribers; 500 paid subscribers; $35K MRR</w:t>
            </w:r>
          </w:p>
        </w:tc>
        <w:tc>
          <w:tcPr/>
          <w:p>
            <w:pPr>
              <w:pStyle w:val="Compact"/>
              <w:jc w:val="left"/>
            </w:pPr>
            <w:r>
              <w:t xml:space="preserve">$65K (product dev + paid acquisition)</w:t>
            </w:r>
          </w:p>
        </w:tc>
      </w:tr>
      <w:tr>
        <w:tc>
          <w:tcPr/>
          <w:p>
            <w:pPr>
              <w:pStyle w:val="Compact"/>
              <w:jc w:val="left"/>
            </w:pPr>
            <w:r>
              <w:t xml:space="preserve">Phase 3: Scale</w:t>
            </w:r>
          </w:p>
        </w:tc>
        <w:tc>
          <w:tcPr/>
          <w:p>
            <w:pPr>
              <w:pStyle w:val="Compact"/>
              <w:jc w:val="left"/>
            </w:pPr>
            <w:r>
              <w:t xml:space="preserve">Months 6–12</w:t>
            </w:r>
          </w:p>
        </w:tc>
        <w:tc>
          <w:tcPr/>
          <w:p>
            <w:pPr>
              <w:pStyle w:val="Compact"/>
              <w:jc w:val="left"/>
            </w:pPr>
            <w:r>
              <w:t xml:space="preserve">Launch AI-powered LUT matching engine; introduce team licenses; open creator marketplace (30% commission); release custom LUT generation API; expand to 50+ influencer partnerships</w:t>
            </w:r>
          </w:p>
        </w:tc>
        <w:tc>
          <w:tcPr/>
          <w:p>
            <w:pPr>
              <w:pStyle w:val="Compact"/>
              <w:jc w:val="left"/>
            </w:pPr>
            <w:r>
              <w:t xml:space="preserve">3,000 paid subscribers; 500 marketplace listings; $120K MRR</w:t>
            </w:r>
          </w:p>
        </w:tc>
        <w:tc>
          <w:tcPr/>
          <w:p>
            <w:pPr>
              <w:pStyle w:val="Compact"/>
              <w:jc w:val="left"/>
            </w:pPr>
            <w:r>
              <w:t xml:space="preserve">$120K (engineering + team expansion)</w:t>
            </w:r>
          </w:p>
        </w:tc>
      </w:tr>
    </w:tbl>
    <w:p>
      <w:pPr>
        <w:pStyle w:val="BodyText"/>
      </w:pPr>
      <w:r>
        <w:rPr>
          <w:iCs/>
          <w:i/>
        </w:rPr>
        <w:t xml:space="preserve">Table 3: Phased Market Entry Timeline. MRR figures assume blended subscription and one-time purchase revenue recognized monthly. Investment includes headcount, paid acquisition, and product development costs.</w:t>
      </w:r>
    </w:p>
    <w:bookmarkStart w:id="161" w:name="phase-1-foundation-months-03"/>
    <w:p>
      <w:pPr>
        <w:pStyle w:val="Heading4"/>
      </w:pPr>
      <w:r>
        <w:t xml:space="preserve">9.3.1 Phase 1: Foundation (Months 0–3)</w:t>
      </w:r>
    </w:p>
    <w:p>
      <w:pPr>
        <w:pStyle w:val="FirstParagraph"/>
      </w:pPr>
      <w:r>
        <w:t xml:space="preserve">Phase 1 prioritizes audience building over revenue. The YouTube channel launches with a weekly publishing schedule of color grading tutorials, each demonstrating CINEGRADE LUTs on diverse footage (travel, wedding, narrative, documentary). Simultaneously, 10 micro-influencers in the photography education space receive early access to the INDIE collection with affiliate links activated. The INDIE collection itself is priced at $89—occupying the</w:t>
      </w:r>
      <w:r>
        <w:t xml:space="preserve"> </w:t>
      </w:r>
      <w:r>
        <w:t xml:space="preserve">“</w:t>
      </w:r>
      <w:r>
        <w:t xml:space="preserve">prosumer chasm</w:t>
      </w:r>
      <w:r>
        <w:t xml:space="preserve">”</w:t>
      </w:r>
      <w:r>
        <w:t xml:space="preserve"> </w:t>
      </w:r>
      <w:r>
        <w:t xml:space="preserve">between $15 Etsy packs and $300+ professional plugins—and positioned with cultural alignment to the A24 indie film aesthetic that has become a quantifiable commercial category across editorial fashion, indie cinema, and social media</w:t>
      </w:r>
      <w:r>
        <w:t xml:space="preserve"> </w:t>
      </w:r>
      <w:r>
        <w:rPr>
          <w:vertAlign w:val="superscript"/>
        </w:rPr>
        <w:t xml:space="preserve">3</w:t>
      </w:r>
      <w:r>
        <w:t xml:space="preserve">. The primary success metric is not revenue but email list growth: 2,000 signups from free sample pack downloads creates a nurture pool that will drive Phase 2 conversions.</w:t>
      </w:r>
    </w:p>
    <w:bookmarkEnd w:id="161"/>
    <w:bookmarkStart w:id="162" w:name="phase-2-expansion-months-36"/>
    <w:p>
      <w:pPr>
        <w:pStyle w:val="Heading4"/>
      </w:pPr>
      <w:r>
        <w:t xml:space="preserve">9.3.2 Phase 2: Expansion (Months 3–6)</w:t>
      </w:r>
    </w:p>
    <w:p>
      <w:pPr>
        <w:pStyle w:val="FirstParagraph"/>
      </w:pPr>
      <w:r>
        <w:t xml:space="preserve">Phase 2 introduces the technical moat: camera-specific input LUTs that convert log footage from specific camera models (Sony S-Log3, Canon C-Log3, DJI D-Log M, Apple Log) into a standardized working color space. This system represents the most defensible technical differentiation in the preset industry, requiring access to cameras and calibration charts that hobbyist creators cannot replicate</w:t>
      </w:r>
      <w:r>
        <w:t xml:space="preserve"> </w:t>
      </w:r>
      <w:r>
        <w:rPr>
          <w:vertAlign w:val="superscript"/>
        </w:rPr>
        <w:t xml:space="preserve">3</w:t>
      </w:r>
      <w:r>
        <w:t xml:space="preserve">. The Wedding Cinema Pack ($129) and Night Cinema Pack ($99) target two underserved niches identified through cross-dimensional analysis: wedding filmmakers shooting hybrid film-digital workflows and night/low-light content creators spanning street photography, music videos, and travel</w:t>
      </w:r>
      <w:r>
        <w:t xml:space="preserve"> </w:t>
      </w:r>
      <w:r>
        <w:rPr>
          <w:vertAlign w:val="superscript"/>
        </w:rPr>
        <w:t xml:space="preserve">3</w:t>
      </w:r>
      <w:r>
        <w:t xml:space="preserve">. The affiliate program activates in Phase 2, converting the 10 Phase 1 influencer partnerships into revenue-generating channels and onboarding an additional 20–30 affiliates.</w:t>
      </w:r>
    </w:p>
    <w:bookmarkEnd w:id="162"/>
    <w:bookmarkStart w:id="163" w:name="phase-3-scale-months-612"/>
    <w:p>
      <w:pPr>
        <w:pStyle w:val="Heading4"/>
      </w:pPr>
      <w:r>
        <w:t xml:space="preserve">9.3.3 Phase 3: Scale (Months 6–12)</w:t>
      </w:r>
    </w:p>
    <w:p>
      <w:pPr>
        <w:pStyle w:val="FirstParagraph"/>
      </w:pPr>
      <w:r>
        <w:t xml:space="preserve">Phase 3 introduces the AI-powered LUT matching engine—a feature that analyzes reference images or footage and recommends the optimal CINEGRADE LUT from the library, with adjustment suggestions. This positions AI as a feature that enhances curated LUTs rather than replacing them, addressing the strategic threat of neural LUT generation while leveraging the</w:t>
      </w:r>
      <w:r>
        <w:t xml:space="preserve"> </w:t>
      </w:r>
      <w:r>
        <w:t xml:space="preserve">“</w:t>
      </w:r>
      <w:r>
        <w:t xml:space="preserve">Colorist Verified</w:t>
      </w:r>
      <w:r>
        <w:t xml:space="preserve">”</w:t>
      </w:r>
      <w:r>
        <w:t xml:space="preserve"> </w:t>
      </w:r>
      <w:r>
        <w:t xml:space="preserve">brand promise that AI alone cannot replicate</w:t>
      </w:r>
      <w:r>
        <w:t xml:space="preserve"> </w:t>
      </w:r>
      <w:r>
        <w:rPr>
          <w:vertAlign w:val="superscript"/>
        </w:rPr>
        <w:t xml:space="preserve">3</w:t>
      </w:r>
      <w:r>
        <w:t xml:space="preserve">. Team licenses and the creator marketplace open new revenue channels, while the custom LUT generation API enables enterprise integrations and third-party developer partnerships. By the end of Phase 3, the platform is projected to operate at $120K MRR with diversified revenue across subscriptions (60%), one-time purchases (25%), and enterprise/marketplace (15%).</w:t>
      </w:r>
    </w:p>
    <w:bookmarkEnd w:id="163"/>
    <w:bookmarkEnd w:id="164"/>
    <w:bookmarkStart w:id="168" w:name="brand-positioning"/>
    <w:p>
      <w:pPr>
        <w:pStyle w:val="Heading3"/>
      </w:pPr>
      <w:r>
        <w:t xml:space="preserve">9.4 Brand Positioning</w:t>
      </w:r>
    </w:p>
    <w:bookmarkStart w:id="165" w:name="premium-luxury-positioning"/>
    <w:p>
      <w:pPr>
        <w:pStyle w:val="Heading4"/>
      </w:pPr>
      <w:r>
        <w:t xml:space="preserve">9.4.1 Premium Luxury Positioning</w:t>
      </w:r>
    </w:p>
    <w:p>
      <w:pPr>
        <w:pStyle w:val="FirstParagraph"/>
      </w:pPr>
      <w:r>
        <w:t xml:space="preserve">CINEGRADE LAB’s brand positioning centers on a single proposition:</w:t>
      </w:r>
      <w:r>
        <w:t xml:space="preserve"> </w:t>
      </w:r>
      <w:r>
        <w:t xml:space="preserve">“</w:t>
      </w:r>
      <w:r>
        <w:t xml:space="preserve">The color toolkit for creators who demand cinematic perfection.</w:t>
      </w:r>
      <w:r>
        <w:t xml:space="preserve">”</w:t>
      </w:r>
      <w:r>
        <w:t xml:space="preserve"> </w:t>
      </w:r>
      <w:r>
        <w:t xml:space="preserve">This statement performs three functions simultaneously. It establishes the professional-grade quality threshold (</w:t>
      </w:r>
      <w:r>
        <w:t xml:space="preserve">“</w:t>
      </w:r>
      <w:r>
        <w:t xml:space="preserve">cinematic perfection</w:t>
      </w:r>
      <w:r>
        <w:t xml:space="preserve">”</w:t>
      </w:r>
      <w:r>
        <w:t xml:space="preserve">), identifies the target customer as someone who demands rather than merely desires quality, and positions the product as a toolkit—a collection of precision instruments rather than magic buttons.</w:t>
      </w:r>
    </w:p>
    <w:p>
      <w:pPr>
        <w:pStyle w:val="BodyText"/>
      </w:pPr>
      <w:r>
        <w:t xml:space="preserve">The pricing architecture reinforces this positioning. At $89–$129 per collection, CINEGRADE LAB sits in the</w:t>
      </w:r>
      <w:r>
        <w:t xml:space="preserve"> </w:t>
      </w:r>
      <w:r>
        <w:t xml:space="preserve">“</w:t>
      </w:r>
      <w:r>
        <w:t xml:space="preserve">prosumer chasm</w:t>
      </w:r>
      <w:r>
        <w:t xml:space="preserve">”</w:t>
      </w:r>
      <w:r>
        <w:t xml:space="preserve">—the $75–$150 tier where no dominant player currently operates. Mastin Labs commands $99 for photography presets, RNI ranges from $82 to $192, and professional video plugins like Dehancer cost $399</w:t>
      </w:r>
      <w:r>
        <w:t xml:space="preserve"> </w:t>
      </w:r>
      <w:r>
        <w:rPr>
          <w:vertAlign w:val="superscript"/>
        </w:rPr>
        <w:t xml:space="preserve">3</w:t>
      </w:r>
      <w:r>
        <w:t xml:space="preserve">. This gap exists because consumer LUT makers lack color science rigor (no CIEDE2000 validation, no camera profiling), while professional tools require colorist expertise that non-specialists do not possess. CINEGRADE LAB bridges this divide by offering colorist-verified accuracy in a package accessible to wedding filmmakers, YouTubers, and indie directors.</w:t>
      </w:r>
    </w:p>
    <w:p>
      <w:pPr>
        <w:pStyle w:val="BodyText"/>
      </w:pPr>
      <w:r>
        <w:t xml:space="preserve">The A24 aesthetic serves as the cultural North Star. A24 has become a lifestyle aesthetic beyond cinema, with</w:t>
      </w:r>
      <w:r>
        <w:t xml:space="preserve"> </w:t>
      </w:r>
      <w:r>
        <w:t xml:space="preserve">“</w:t>
      </w:r>
      <w:r>
        <w:t xml:space="preserve">indie film credibility</w:t>
      </w:r>
      <w:r>
        <w:t xml:space="preserve">”</w:t>
      </w:r>
      <w:r>
        <w:t xml:space="preserve"> </w:t>
      </w:r>
      <w:r>
        <w:t xml:space="preserve">functioning as a cultural signal that transcends technical specifications</w:t>
      </w:r>
      <w:r>
        <w:t xml:space="preserve"> </w:t>
      </w:r>
      <w:r>
        <w:rPr>
          <w:vertAlign w:val="superscript"/>
        </w:rPr>
        <w:t xml:space="preserve">3</w:t>
      </w:r>
      <w:r>
        <w:t xml:space="preserve">. No existing LUT brand has captured this cultural premium. Current competitors (Gamut, Tropic Colour, CINECOLOR) position technically, not culturally. The gap is for a brand that sells taste as much as tools—analogous to how A24 sells sensibility as much as cinema.</w:t>
      </w:r>
    </w:p>
    <w:bookmarkEnd w:id="165"/>
    <w:bookmarkStart w:id="166" w:name="Xf19c766689fb8b2ac2436881639e9d889af266f"/>
    <w:p>
      <w:pPr>
        <w:pStyle w:val="Heading4"/>
      </w:pPr>
      <w:r>
        <w:t xml:space="preserve">9.4.2 Cultural Alignment: A24 Indie Film Aesthetic Meets Apple Design Philosophy</w:t>
      </w:r>
    </w:p>
    <w:p>
      <w:pPr>
        <w:pStyle w:val="FirstParagraph"/>
      </w:pPr>
      <w:r>
        <w:t xml:space="preserve">The brand’s visual and experiential design language synthesizes two reference points: the A24 indie film aesthetic (muted, grainy, authentic, anti-blockbuster) and Apple’s design philosophy (clean, intuitive, premium, detail-obsessed). This combination is deliberate. A24 represents the creative sensibility—lifted shadows, muted primaries, subtle grain, olive/ochre split toning—that the product enables. Apple represents the experience standard: every interaction should feel inevitable, every interface element should disappear into the workflow, and the unboxing (digital or physical) should feel like receiving a premium object.</w:t>
      </w:r>
    </w:p>
    <w:p>
      <w:pPr>
        <w:pStyle w:val="BodyText"/>
      </w:pPr>
      <w:r>
        <w:t xml:space="preserve">The naming convention follows the</w:t>
      </w:r>
      <w:r>
        <w:t xml:space="preserve"> </w:t>
      </w:r>
      <w:r>
        <w:t xml:space="preserve">“</w:t>
      </w:r>
      <w:r>
        <w:t xml:space="preserve">nostalgia tax</w:t>
      </w:r>
      <w:r>
        <w:t xml:space="preserve">”</w:t>
      </w:r>
      <w:r>
        <w:t xml:space="preserve"> </w:t>
      </w:r>
      <w:r>
        <w:t xml:space="preserve">principle: users consistently pay 2–3x more for presets that evoke specific emotional memories than for technically equivalent generic looks</w:t>
      </w:r>
      <w:r>
        <w:t xml:space="preserve"> </w:t>
      </w:r>
      <w:r>
        <w:rPr>
          <w:vertAlign w:val="superscript"/>
        </w:rPr>
        <w:t xml:space="preserve">3</w:t>
      </w:r>
      <w:r>
        <w:t xml:space="preserve">. A LUT named</w:t>
      </w:r>
      <w:r>
        <w:t xml:space="preserve"> </w:t>
      </w:r>
      <w:r>
        <w:t xml:space="preserve">“</w:t>
      </w:r>
      <w:r>
        <w:t xml:space="preserve">Warm Vintage 01</w:t>
      </w:r>
      <w:r>
        <w:t xml:space="preserve">”</w:t>
      </w:r>
      <w:r>
        <w:t xml:space="preserve"> </w:t>
      </w:r>
      <w:r>
        <w:t xml:space="preserve">communicates nothing. A LUT named</w:t>
      </w:r>
      <w:r>
        <w:t xml:space="preserve"> </w:t>
      </w:r>
      <w:r>
        <w:t xml:space="preserve">“</w:t>
      </w:r>
      <w:r>
        <w:t xml:space="preserve">Summer ’94 — Kodak Gold</w:t>
      </w:r>
      <w:r>
        <w:t xml:space="preserve">”</w:t>
      </w:r>
      <w:r>
        <w:t xml:space="preserve"> </w:t>
      </w:r>
      <w:r>
        <w:t xml:space="preserve">triggers a specific emotional association. A LUT named</w:t>
      </w:r>
      <w:r>
        <w:t xml:space="preserve"> </w:t>
      </w:r>
      <w:r>
        <w:t xml:space="preserve">“</w:t>
      </w:r>
      <w:r>
        <w:t xml:space="preserve">Drive at Night</w:t>
      </w:r>
      <w:r>
        <w:t xml:space="preserve">”</w:t>
      </w:r>
      <w:r>
        <w:t xml:space="preserve"> </w:t>
      </w:r>
      <w:r>
        <w:t xml:space="preserve">references a film that the target audience recognizes and admires. Each name is paired with a short narrative paragraph explaining its emotional inspiration and technical use case—transforming a digital file into a story.</w:t>
      </w:r>
    </w:p>
    <w:p>
      <w:pPr>
        <w:pStyle w:val="BodyText"/>
      </w:pPr>
      <w:r>
        <w:t xml:space="preserve">The table below summarizes the complete brand positioning framework: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Position</w:t>
            </w:r>
          </w:p>
        </w:tc>
        <w:tc>
          <w:tcPr/>
          <w:p>
            <w:pPr>
              <w:pStyle w:val="Compact"/>
              <w:jc w:val="left"/>
            </w:pPr>
            <w:r>
              <w:t xml:space="preserve">Execution</w:t>
            </w:r>
          </w:p>
        </w:tc>
      </w:tr>
      <w:tr>
        <w:tc>
          <w:tcPr/>
          <w:p>
            <w:pPr>
              <w:pStyle w:val="Compact"/>
              <w:jc w:val="left"/>
            </w:pPr>
            <w:r>
              <w:t xml:space="preserve">Core proposition</w:t>
            </w:r>
          </w:p>
        </w:tc>
        <w:tc>
          <w:tcPr/>
          <w:p>
            <w:pPr>
              <w:pStyle w:val="Compact"/>
              <w:jc w:val="left"/>
            </w:pPr>
            <w:r>
              <w:t xml:space="preserve">“</w:t>
            </w:r>
            <w:r>
              <w:t xml:space="preserve">The color toolkit for creators who demand cinematic perfection</w:t>
            </w:r>
            <w:r>
              <w:t xml:space="preserve">”</w:t>
            </w:r>
          </w:p>
        </w:tc>
        <w:tc>
          <w:tcPr/>
          <w:p>
            <w:pPr>
              <w:pStyle w:val="Compact"/>
              <w:jc w:val="left"/>
            </w:pPr>
            <w:r>
              <w:t xml:space="preserve">All messaging, landing pages, product descriptions</w:t>
            </w:r>
          </w:p>
        </w:tc>
      </w:tr>
      <w:tr>
        <w:tc>
          <w:tcPr/>
          <w:p>
            <w:pPr>
              <w:pStyle w:val="Compact"/>
              <w:jc w:val="left"/>
            </w:pPr>
            <w:r>
              <w:t xml:space="preserve">Price anchor</w:t>
            </w:r>
          </w:p>
        </w:tc>
        <w:tc>
          <w:tcPr/>
          <w:p>
            <w:pPr>
              <w:pStyle w:val="Compact"/>
              <w:jc w:val="left"/>
            </w:pPr>
            <w:r>
              <w:t xml:space="preserve">$89–$129 per collection (prosumer gap)</w:t>
            </w:r>
          </w:p>
        </w:tc>
        <w:tc>
          <w:tcPr/>
          <w:p>
            <w:pPr>
              <w:pStyle w:val="Compact"/>
              <w:jc w:val="left"/>
            </w:pPr>
            <w:r>
              <w:t xml:space="preserve">Above consumer packs ($15–$50), below pro plugins ($300–$500)</w:t>
            </w:r>
            <w:r>
              <w:t xml:space="preserve"> </w:t>
            </w:r>
            <w:r>
              <w:rPr>
                <w:vertAlign w:val="superscript"/>
              </w:rPr>
              <w:t xml:space="preserve">3</w:t>
            </w:r>
          </w:p>
        </w:tc>
      </w:tr>
      <w:tr>
        <w:tc>
          <w:tcPr/>
          <w:p>
            <w:pPr>
              <w:pStyle w:val="Compact"/>
              <w:jc w:val="left"/>
            </w:pPr>
            <w:r>
              <w:t xml:space="preserve">Cultural reference</w:t>
            </w:r>
          </w:p>
        </w:tc>
        <w:tc>
          <w:tcPr/>
          <w:p>
            <w:pPr>
              <w:pStyle w:val="Compact"/>
              <w:jc w:val="left"/>
            </w:pPr>
            <w:r>
              <w:t xml:space="preserve">A24 indie film aesthetic</w:t>
            </w:r>
          </w:p>
        </w:tc>
        <w:tc>
          <w:tcPr/>
          <w:p>
            <w:pPr>
              <w:pStyle w:val="Compact"/>
              <w:jc w:val="left"/>
            </w:pPr>
            <w:r>
              <w:t xml:space="preserve">Visual design, LUT naming, marketing imagery, community curation</w:t>
            </w:r>
          </w:p>
        </w:tc>
      </w:tr>
      <w:tr>
        <w:tc>
          <w:tcPr/>
          <w:p>
            <w:pPr>
              <w:pStyle w:val="Compact"/>
              <w:jc w:val="left"/>
            </w:pPr>
            <w:r>
              <w:t xml:space="preserve">Experience standard</w:t>
            </w:r>
          </w:p>
        </w:tc>
        <w:tc>
          <w:tcPr/>
          <w:p>
            <w:pPr>
              <w:pStyle w:val="Compact"/>
              <w:jc w:val="left"/>
            </w:pPr>
            <w:r>
              <w:t xml:space="preserve">Apple design philosophy</w:t>
            </w:r>
          </w:p>
        </w:tc>
        <w:tc>
          <w:tcPr/>
          <w:p>
            <w:pPr>
              <w:pStyle w:val="Compact"/>
              <w:jc w:val="left"/>
            </w:pPr>
            <w:r>
              <w:t xml:space="preserve">UI/UX, packaging, onboarding, customer support</w:t>
            </w:r>
          </w:p>
        </w:tc>
      </w:tr>
      <w:tr>
        <w:tc>
          <w:tcPr/>
          <w:p>
            <w:pPr>
              <w:pStyle w:val="Compact"/>
              <w:jc w:val="left"/>
            </w:pPr>
            <w:r>
              <w:t xml:space="preserve">Technical promise</w:t>
            </w:r>
          </w:p>
        </w:tc>
        <w:tc>
          <w:tcPr/>
          <w:p>
            <w:pPr>
              <w:pStyle w:val="Compact"/>
              <w:jc w:val="left"/>
            </w:pPr>
            <w:r>
              <w:t xml:space="preserve">Colorist-verified, camera-profiled, scene-referred</w:t>
            </w:r>
          </w:p>
        </w:tc>
        <w:tc>
          <w:tcPr/>
          <w:p>
            <w:pPr>
              <w:pStyle w:val="Compact"/>
              <w:jc w:val="left"/>
            </w:pPr>
            <w:r>
              <w:t xml:space="preserve">CIEDE2000 metrics, camera profiling documentation, ACES compatibility</w:t>
            </w:r>
          </w:p>
        </w:tc>
      </w:tr>
      <w:tr>
        <w:tc>
          <w:tcPr/>
          <w:p>
            <w:pPr>
              <w:pStyle w:val="Compact"/>
              <w:jc w:val="left"/>
            </w:pPr>
            <w:r>
              <w:t xml:space="preserve">Community ethos</w:t>
            </w:r>
          </w:p>
        </w:tc>
        <w:tc>
          <w:tcPr/>
          <w:p>
            <w:pPr>
              <w:pStyle w:val="Compact"/>
              <w:jc w:val="left"/>
            </w:pPr>
            <w:r>
              <w:t xml:space="preserve">Education-first, creator partnerships</w:t>
            </w:r>
          </w:p>
        </w:tc>
        <w:tc>
          <w:tcPr/>
          <w:p>
            <w:pPr>
              <w:pStyle w:val="Compact"/>
              <w:jc w:val="left"/>
            </w:pPr>
            <w:r>
              <w:t xml:space="preserve">YouTube tutorials, ambassador program, scarcity-driven drops</w:t>
            </w:r>
          </w:p>
        </w:tc>
      </w:tr>
      <w:tr>
        <w:tc>
          <w:tcPr/>
          <w:p>
            <w:pPr>
              <w:pStyle w:val="Compact"/>
              <w:jc w:val="left"/>
            </w:pPr>
            <w:r>
              <w:t xml:space="preserve">Identity function</w:t>
            </w:r>
          </w:p>
        </w:tc>
        <w:tc>
          <w:tcPr/>
          <w:p>
            <w:pPr>
              <w:pStyle w:val="Compact"/>
              <w:jc w:val="left"/>
            </w:pPr>
            <w:r>
              <w:t xml:space="preserve">Skill signal + taste marker</w:t>
            </w:r>
          </w:p>
        </w:tc>
        <w:tc>
          <w:tcPr/>
          <w:p>
            <w:pPr>
              <w:pStyle w:val="Compact"/>
              <w:jc w:val="left"/>
            </w:pPr>
            <w:r>
              <w:t xml:space="preserve">Premium unboxing, limited editions,</w:t>
            </w:r>
            <w:r>
              <w:t xml:space="preserve"> </w:t>
            </w:r>
            <w:r>
              <w:t xml:space="preserve">“</w:t>
            </w:r>
            <w:r>
              <w:t xml:space="preserve">Colorist</w:t>
            </w:r>
            <w:r>
              <w:t xml:space="preserve">”</w:t>
            </w:r>
            <w:r>
              <w:t xml:space="preserve"> </w:t>
            </w:r>
            <w:r>
              <w:t xml:space="preserve">certification track</w:t>
            </w:r>
          </w:p>
        </w:tc>
      </w:tr>
    </w:tbl>
    <w:p>
      <w:pPr>
        <w:pStyle w:val="BodyText"/>
      </w:pPr>
      <w:r>
        <w:rPr>
          <w:iCs/>
          <w:i/>
        </w:rPr>
        <w:t xml:space="preserve">Table 4: Brand Positioning Framework. Each dimension maps a strategic positioning choice to its tactical execution across product, marketing, and community.</w:t>
      </w:r>
    </w:p>
    <w:bookmarkEnd w:id="166"/>
    <w:bookmarkStart w:id="167" w:name="Xa442785b53fd06fc3376316eab9ffaa8b1351a6"/>
    <w:p>
      <w:pPr>
        <w:pStyle w:val="Heading4"/>
      </w:pPr>
      <w:r>
        <w:t xml:space="preserve">9.4.3 Community Building: Education-First, Creator Partnerships, Scarcity-Driven Drops</w:t>
      </w:r>
    </w:p>
    <w:p>
      <w:pPr>
        <w:pStyle w:val="FirstParagraph"/>
      </w:pPr>
      <w:r>
        <w:t xml:space="preserve">Community building follows three principles. First, education precedes conversion. The YouTube channel, blog, and newsletter exist to make users better color graders—not merely to sell them LUTs. This education-first approach builds trust that transactional marketing cannot purchase, and it creates a virtuous cycle where skilled users produce better before/after transformations, which attract new users to the platform.</w:t>
      </w:r>
    </w:p>
    <w:p>
      <w:pPr>
        <w:pStyle w:val="BodyText"/>
      </w:pPr>
      <w:r>
        <w:t xml:space="preserve">Second, creator partnerships are structured as co-creation rather than sponsorship. Ambassador relationships include revenue sharing, early access, input on product development, and featured placement in the marketplace. This transforms creators from marketing channels into stakeholders with aligned incentives. The partnership model also addresses the</w:t>
      </w:r>
      <w:r>
        <w:t xml:space="preserve"> </w:t>
      </w:r>
      <w:r>
        <w:t xml:space="preserve">“</w:t>
      </w:r>
      <w:r>
        <w:t xml:space="preserve">contagion effect</w:t>
      </w:r>
      <w:r>
        <w:t xml:space="preserve">”</w:t>
      </w:r>
      <w:r>
        <w:t xml:space="preserve">: a single high-profile creator adopting a specific color aesthetic can drive demand across an entire genre within 3–6 months</w:t>
      </w:r>
      <w:r>
        <w:t xml:space="preserve"> </w:t>
      </w:r>
      <w:r>
        <w:rPr>
          <w:vertAlign w:val="superscript"/>
        </w:rPr>
        <w:t xml:space="preserve">3</w:t>
      </w:r>
      <w:r>
        <w:t xml:space="preserve">. Identifying and partnering with rising visual influencers before they peak captures this growth wave at its origin.</w:t>
      </w:r>
    </w:p>
    <w:p>
      <w:pPr>
        <w:pStyle w:val="BodyText"/>
      </w:pPr>
      <w:r>
        <w:t xml:space="preserve">Third, scarcity-driven releases create urgency and collectibility. Archipelago’s strategy of retiring preset packs creates underground trading demand and</w:t>
      </w:r>
      <w:r>
        <w:t xml:space="preserve"> </w:t>
      </w:r>
      <w:r>
        <w:t xml:space="preserve">“</w:t>
      </w:r>
      <w:r>
        <w:t xml:space="preserve">cult status</w:t>
      </w:r>
      <w:r>
        <w:t xml:space="preserve">”</w:t>
      </w:r>
      <w:r>
        <w:t xml:space="preserve"> </w:t>
      </w:r>
      <w:r>
        <w:t xml:space="preserve">for discontinued products—a model borrowed from sneaker and streetwear culture</w:t>
      </w:r>
      <w:r>
        <w:t xml:space="preserve"> </w:t>
      </w:r>
      <w:r>
        <w:rPr>
          <w:vertAlign w:val="superscript"/>
        </w:rPr>
        <w:t xml:space="preserve">3</w:t>
      </w:r>
      <w:r>
        <w:t xml:space="preserve">. CINEGRADE LAB applies this through limited edition collections: numbered releases (</w:t>
      </w:r>
      <w:r>
        <w:t xml:space="preserve">“</w:t>
      </w:r>
      <w:r>
        <w:t xml:space="preserve">CINEGRADE LAB Edition 001: The A24 Collection — 500 copies</w:t>
      </w:r>
      <w:r>
        <w:t xml:space="preserve">”</w:t>
      </w:r>
      <w:r>
        <w:t xml:space="preserve">), time-limited availability (30-day windows), and permanent retirement of sold-out collections. Digital scarcity requires enforcement mechanisms, but the psychological effect—transforming a digital file into a collectible object—justifies the operational complexity. Limited editions function as identity signals: owning a retired CINEGRADE collection communicates early-adopter status and taste discernment within creator communities.</w:t>
      </w:r>
    </w:p>
    <w:p>
      <w:pPr>
        <w:pStyle w:val="BodyText"/>
      </w:pPr>
      <w:r>
        <w:t xml:space="preserve">The creator economy reached $205 billion in 2024 and is projected to pass $250 billion in 2025</w:t>
      </w:r>
      <w:r>
        <w:t xml:space="preserve"> </w:t>
      </w:r>
      <w:r>
        <w:rPr>
          <w:vertAlign w:val="superscript"/>
        </w:rPr>
        <w:t xml:space="preserve">4</w:t>
      </w:r>
      <w:r>
        <w:t xml:space="preserve">. Within that vast ecosystem, CINEGRADE LAB targets the intersection of three converging trends: the democratization of filmmaking tools (driven by affordable cinema cameras and free editing software), the cultural premium on analog aesthetics (driven by Gen Z’s nostalgia for pre-digital authenticity), and the rise of creator-owned businesses (driven by platform fatigue and the desire for direct audience relationships)</w:t>
      </w:r>
      <w:r>
        <w:t xml:space="preserve"> </w:t>
      </w:r>
      <w:r>
        <w:rPr>
          <w:vertAlign w:val="superscript"/>
        </w:rPr>
        <w:t xml:space="preserve">4</w:t>
      </w:r>
      <w:r>
        <w:t xml:space="preserve">. The business model and go-to-market strategy presented in this chapter are designed to capture this convergence with precision: premium pricing that reflects genuine technical differentiation, acquisition channels that compound rather than deplete, a phased timeline that builds sustainable moats before scaling spend, and brand positioning that transforms a utility product into a cultural signifier.</w:t>
      </w:r>
      <w:r>
        <w:t xml:space="preserve"> </w:t>
      </w:r>
      <w:r>
        <w:t xml:space="preserve">-e</w:t>
      </w:r>
    </w:p>
    <w:p>
      <w:r>
        <w:pict>
          <v:rect style="width:0;height:1.5pt" o:hralign="center" o:hrstd="t" o:hr="t"/>
        </w:pict>
      </w:r>
    </w:p>
    <w:bookmarkEnd w:id="167"/>
    <w:bookmarkEnd w:id="168"/>
    <w:bookmarkEnd w:id="169"/>
    <w:bookmarkStart w:id="184" w:name="competitive-analysis-market-positioning"/>
    <w:p>
      <w:pPr>
        <w:pStyle w:val="Heading2"/>
      </w:pPr>
      <w:r>
        <w:t xml:space="preserve">10. Competitive Analysis &amp; Market Positioning</w:t>
      </w:r>
    </w:p>
    <w:p>
      <w:pPr>
        <w:pStyle w:val="FirstParagraph"/>
      </w:pPr>
      <w:r>
        <w:t xml:space="preserve">CINEGRADE LAB enters a contested landscape with no fewer than 40 actively traded brands spanning film emulation presets, technical LUT packs, plugin-based workflows, and AI-native platforms — a fragmented ecosystem of specialists, each optimized for a narrow slice of the creator workflow. The global cinematic LUTs market reached $312.8 million in 2024 and is projected to expand at a 10.4% CAGR to $758.5 million by 2033</w:t>
      </w:r>
      <w:r>
        <w:t xml:space="preserve"> </w:t>
      </w:r>
      <w:r>
        <w:rPr>
          <w:vertAlign w:val="superscript"/>
        </w:rPr>
        <w:t xml:space="preserve">5</w:t>
      </w:r>
      <w:r>
        <w:t xml:space="preserve">, while the broader photo editing software market is valued at $16.76 billion (2024), projected to reach $37.3 billion by 2033 at 9.3% CAGR</w:t>
      </w:r>
      <w:r>
        <w:t xml:space="preserve"> </w:t>
      </w:r>
      <w:r>
        <w:rPr>
          <w:vertAlign w:val="superscript"/>
        </w:rPr>
        <w:t xml:space="preserve">6</w:t>
      </w:r>
      <w:r>
        <w:t xml:space="preserve">. These forces expand the addressable audience while intensifying competitive pressure.</w:t>
      </w:r>
    </w:p>
    <w:bookmarkStart w:id="174" w:name="direct-competitors"/>
    <w:p>
      <w:pPr>
        <w:pStyle w:val="Heading3"/>
      </w:pPr>
      <w:r>
        <w:t xml:space="preserve">10.1 Direct Competitors</w:t>
      </w:r>
    </w:p>
    <w:p>
      <w:pPr>
        <w:pStyle w:val="FirstParagraph"/>
      </w:pPr>
      <w:r>
        <w:t xml:space="preserve">Direct competitors are defined as firms whose primary revenue comes from selling color grading presets, LUTs, or film emulation products to creators. These are the entities CINEGRADE LAB would displace in a creator’s purchase decision.</w:t>
      </w:r>
    </w:p>
    <w:bookmarkStart w:id="170" w:name="mastin-labs-film-emulation-gold-standard"/>
    <w:p>
      <w:pPr>
        <w:pStyle w:val="Heading4"/>
      </w:pPr>
      <w:r>
        <w:t xml:space="preserve">10.1.1 Mastin Labs: Film Emulation Gold Standard</w:t>
      </w:r>
    </w:p>
    <w:p>
      <w:pPr>
        <w:pStyle w:val="FirstParagraph"/>
      </w:pPr>
      <w:r>
        <w:t xml:space="preserve">Mastin Labs is the category leader in film emulation presets, offering packs at $99 each that prioritize</w:t>
      </w:r>
      <w:r>
        <w:t xml:space="preserve"> </w:t>
      </w:r>
      <w:r>
        <w:t xml:space="preserve">“</w:t>
      </w:r>
      <w:r>
        <w:t xml:space="preserve">authentic color and natural skin tones</w:t>
      </w:r>
      <w:r>
        <w:t xml:space="preserve">”</w:t>
      </w:r>
      <w:r>
        <w:t xml:space="preserve"> </w:t>
      </w:r>
      <w:r>
        <w:rPr>
          <w:vertAlign w:val="superscript"/>
        </w:rPr>
        <w:t xml:space="preserve">45</w:t>
      </w:r>
      <w:r>
        <w:t xml:space="preserve">. Its technical moat is a profile-based architecture — presets operating at the RAW processing level before slider adjustments, achieving more nuanced tonal transformations than standard adjustment-based presets</w:t>
      </w:r>
      <w:r>
        <w:t xml:space="preserve"> </w:t>
      </w:r>
      <w:r>
        <w:rPr>
          <w:vertAlign w:val="superscript"/>
        </w:rPr>
        <w:t xml:space="preserve">7</w:t>
      </w:r>
      <w:r>
        <w:t xml:space="preserve">. The 3-step workflow (import, adjust exposure/white balance, export) emphasizes simplicity that appeals to wedding and portrait photographers without formal color science training. The product line spans Portra Original, Fuji Original, Adventure Everyday, Vintage Slide, Artisan B&amp;W, and Cinema Everyday — each calibrated to specific film stocks.</w:t>
      </w:r>
    </w:p>
    <w:p>
      <w:pPr>
        <w:pStyle w:val="BodyText"/>
      </w:pPr>
      <w:r>
        <w:t xml:space="preserve">Mastin Labs occupies the $75–$150 premium tier where</w:t>
      </w:r>
      <w:r>
        <w:t xml:space="preserve"> </w:t>
      </w:r>
      <w:r>
        <w:t xml:space="preserve">“</w:t>
      </w:r>
      <w:r>
        <w:t xml:space="preserve">scientifically accurate film emulation consistently sits at 2–5x generic preset prices</w:t>
      </w:r>
      <w:r>
        <w:t xml:space="preserve">”</w:t>
      </w:r>
      <w:r>
        <w:t xml:space="preserve"> </w:t>
      </w:r>
      <w:r>
        <w:rPr>
          <w:vertAlign w:val="superscript"/>
        </w:rPr>
        <w:t xml:space="preserve">11</w:t>
      </w:r>
      <w:r>
        <w:t xml:space="preserve">. However, it remains fundamentally a photography product; its video/LUT offerings are secondary, leaving the videographer segment underserved.</w:t>
      </w:r>
    </w:p>
    <w:bookmarkEnd w:id="170"/>
    <w:bookmarkStart w:id="171" w:name="X3cf995325a73883c9f27805ba5fed5cbc014041"/>
    <w:p>
      <w:pPr>
        <w:pStyle w:val="Heading4"/>
      </w:pPr>
      <w:r>
        <w:t xml:space="preserve">10.1.2 Dehancer Pro: The Comprehensive Emulation Plugin</w:t>
      </w:r>
    </w:p>
    <w:p>
      <w:pPr>
        <w:pStyle w:val="FirstParagraph"/>
      </w:pPr>
      <w:r>
        <w:t xml:space="preserve">Dehancer Pro is the most technically comprehensive film emulation tool, offering 60+ film stocks and 130+ camera log profiles as a plugin for DaVinci Resolve, Premiere Pro, Photoshop, Lightroom, and Final Cut Pro</w:t>
      </w:r>
      <w:r>
        <w:t xml:space="preserve"> </w:t>
      </w:r>
      <w:r>
        <w:rPr>
          <w:vertAlign w:val="superscript"/>
        </w:rPr>
        <w:t xml:space="preserve">12</w:t>
      </w:r>
      <w:r>
        <w:t xml:space="preserve">. Originally priced at $399, the product moved to $549 as of 2025</w:t>
      </w:r>
      <w:r>
        <w:t xml:space="preserve"> </w:t>
      </w:r>
      <w:r>
        <w:rPr>
          <w:vertAlign w:val="superscript"/>
        </w:rPr>
        <w:t xml:space="preserve">13</w:t>
      </w:r>
      <w:r>
        <w:t xml:space="preserve">. Its differentiation centers on pixel-level processing that static LUTs cannot replicate: physically accurate grain simulation, bloom, halation, and print film compression. Professional colorists report that Dehancer’s</w:t>
      </w:r>
      <w:r>
        <w:t xml:space="preserve"> </w:t>
      </w:r>
      <w:r>
        <w:t xml:space="preserve">“</w:t>
      </w:r>
      <w:r>
        <w:t xml:space="preserve">film compression genuinely preserves highlight detail that LUTs destroy</w:t>
      </w:r>
      <w:r>
        <w:t xml:space="preserve">”</w:t>
      </w:r>
      <w:r>
        <w:t xml:space="preserve"> </w:t>
      </w:r>
      <w:r>
        <w:rPr>
          <w:vertAlign w:val="superscript"/>
        </w:rPr>
        <w:t xml:space="preserve">14</w:t>
      </w:r>
      <w:r>
        <w:t xml:space="preserve">.</w:t>
      </w:r>
    </w:p>
    <w:p>
      <w:pPr>
        <w:pStyle w:val="BodyText"/>
      </w:pPr>
      <w:r>
        <w:t xml:space="preserve">Dehancer’s weakness is its price and complexity. At $549, it sits above the prosumer sweet spot. The plugin model requires host software, making it inaccessible to creators without professional NLE subscriptions. It is also a single-tool purchase — creators must look elsewhere for creative LUT variety.</w:t>
      </w:r>
    </w:p>
    <w:bookmarkEnd w:id="171"/>
    <w:bookmarkStart w:id="172" w:name="vsco-mobile-first-subscription-model"/>
    <w:p>
      <w:pPr>
        <w:pStyle w:val="Heading4"/>
      </w:pPr>
      <w:r>
        <w:t xml:space="preserve">10.1.3 VSCO: Mobile-First Subscription Model</w:t>
      </w:r>
    </w:p>
    <w:p>
      <w:pPr>
        <w:pStyle w:val="FirstParagraph"/>
      </w:pPr>
      <w:r>
        <w:t xml:space="preserve">VSCO is a mobile-first editing app with subscription tiers at $5/month (Pro) and $8/month (Plus), the latter offering 200+ presets across mobile and desktop platforms</w:t>
      </w:r>
      <w:r>
        <w:t xml:space="preserve"> </w:t>
      </w:r>
      <w:r>
        <w:rPr>
          <w:vertAlign w:val="superscript"/>
        </w:rPr>
        <w:t xml:space="preserve">15</w:t>
      </w:r>
      <w:r>
        <w:t xml:space="preserve">. In February 2026, VSCO brought back its Film 02 preset pack for Adobe Lightroom — discontinued in 2019 — exclusively for Pro subscribers, demonstrating subscription-gating in action</w:t>
      </w:r>
      <w:r>
        <w:t xml:space="preserve"> </w:t>
      </w:r>
      <w:r>
        <w:rPr>
          <w:vertAlign w:val="superscript"/>
        </w:rPr>
        <w:t xml:space="preserve">8</w:t>
      </w:r>
      <w:r>
        <w:t xml:space="preserve">. The reissued pack includes Fujifilm Neopan 1600, Kodak Portra 160 (NC/VC), and Kodak Portra 400 (NC/VC/UC) variants</w:t>
      </w:r>
      <w:r>
        <w:t xml:space="preserve"> </w:t>
      </w:r>
      <w:r>
        <w:rPr>
          <w:vertAlign w:val="superscript"/>
        </w:rPr>
        <w:t xml:space="preserve">19</w:t>
      </w:r>
      <w:r>
        <w:t xml:space="preserve">.</w:t>
      </w:r>
    </w:p>
    <w:p>
      <w:pPr>
        <w:pStyle w:val="BodyText"/>
      </w:pPr>
      <w:r>
        <w:t xml:space="preserve">VSCO’s installed base exceeds 100 million downloads, but its monetization creates friction. User sentiment on Reddit documents</w:t>
      </w:r>
      <w:r>
        <w:t xml:space="preserve"> </w:t>
      </w:r>
      <w:r>
        <w:t xml:space="preserve">“</w:t>
      </w:r>
      <w:r>
        <w:t xml:space="preserve">widespread frustration</w:t>
      </w:r>
      <w:r>
        <w:t xml:space="preserve">”</w:t>
      </w:r>
      <w:r>
        <w:t xml:space="preserve"> </w:t>
      </w:r>
      <w:r>
        <w:t xml:space="preserve">that</w:t>
      </w:r>
      <w:r>
        <w:t xml:space="preserve"> </w:t>
      </w:r>
      <w:r>
        <w:t xml:space="preserve">“</w:t>
      </w:r>
      <w:r>
        <w:t xml:space="preserve">features previously free are now subscription-gated</w:t>
      </w:r>
      <w:r>
        <w:t xml:space="preserve">”</w:t>
      </w:r>
      <w:r>
        <w:t xml:space="preserve"> </w:t>
      </w:r>
      <w:r>
        <w:rPr>
          <w:vertAlign w:val="superscript"/>
        </w:rPr>
        <w:t xml:space="preserve">66</w:t>
      </w:r>
      <w:r>
        <w:t xml:space="preserve">. VSCO’s strength is mobile ubiquity; its weakness is a consumer photo filter perception that undermines professional cinematic credibility.</w:t>
      </w:r>
    </w:p>
    <w:bookmarkEnd w:id="172"/>
    <w:bookmarkStart w:id="173" w:name="gamut-camera-specific-baseluts"/>
    <w:p>
      <w:pPr>
        <w:pStyle w:val="Heading4"/>
      </w:pPr>
      <w:r>
        <w:t xml:space="preserve">10.1.4 Gamut: Camera-Specific BaseLUTs</w:t>
      </w:r>
    </w:p>
    <w:p>
      <w:pPr>
        <w:pStyle w:val="FirstParagraph"/>
      </w:pPr>
      <w:r>
        <w:t xml:space="preserve">Gamut serves 50,000+ filmmakers and colorists through creative LUTs built on a proprietary BaseLUT conversion system that maps camera-specific input transforms to creative outputs</w:t>
      </w:r>
      <w:r>
        <w:t xml:space="preserve"> </w:t>
      </w:r>
      <w:r>
        <w:rPr>
          <w:vertAlign w:val="superscript"/>
        </w:rPr>
        <w:t xml:space="preserve">16</w:t>
      </w:r>
      <w:r>
        <w:t xml:space="preserve">. Packs are priced at $99 each (Immersion 2.0, Faction, Creator, Prestige), with a subscription model (Gamut Drops at $12/month) for recurring releases. The BaseLUT system separates camera-to-working-space conversion from creative look, enabling more accurate color reproduction across source cameras. The Faction collection’s</w:t>
      </w:r>
      <w:r>
        <w:t xml:space="preserve"> </w:t>
      </w:r>
      <w:r>
        <w:t xml:space="preserve">“</w:t>
      </w:r>
      <w:r>
        <w:t xml:space="preserve">modern, cinematic edge</w:t>
      </w:r>
      <w:r>
        <w:t xml:space="preserve">”</w:t>
      </w:r>
      <w:r>
        <w:t xml:space="preserve"> </w:t>
      </w:r>
      <w:r>
        <w:t xml:space="preserve">on orange/teal has found traction in commercial and music video workflows</w:t>
      </w:r>
      <w:r>
        <w:t xml:space="preserve"> </w:t>
      </w:r>
      <w:r>
        <w:rPr>
          <w:vertAlign w:val="superscript"/>
        </w:rPr>
        <w:t xml:space="preserve">46</w:t>
      </w:r>
      <w:r>
        <w:t xml:space="preserve">. Gamut’s limitation is that it remains a LUT-only product without pixel-level processing (grain, halation, bloom).</w:t>
      </w:r>
    </w:p>
    <w:p>
      <w:pPr>
        <w:pStyle w:val="BodyText"/>
      </w:pPr>
      <w:r>
        <w:rPr>
          <w:bCs/>
          <w:b/>
        </w:rPr>
        <w:t xml:space="preserve">Table 1: Direct Competitors — Head-to-Head Comparison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Mastin Labs</w:t>
            </w:r>
          </w:p>
        </w:tc>
        <w:tc>
          <w:tcPr/>
          <w:p>
            <w:pPr>
              <w:pStyle w:val="Compact"/>
              <w:jc w:val="left"/>
            </w:pPr>
            <w:r>
              <w:t xml:space="preserve">Dehancer Pro</w:t>
            </w:r>
          </w:p>
        </w:tc>
        <w:tc>
          <w:tcPr/>
          <w:p>
            <w:pPr>
              <w:pStyle w:val="Compact"/>
              <w:jc w:val="left"/>
            </w:pPr>
            <w:r>
              <w:t xml:space="preserve">VSCO</w:t>
            </w:r>
          </w:p>
        </w:tc>
        <w:tc>
          <w:tcPr/>
          <w:p>
            <w:pPr>
              <w:pStyle w:val="Compact"/>
              <w:jc w:val="left"/>
            </w:pPr>
            <w:r>
              <w:t xml:space="preserve">Gamut</w:t>
            </w:r>
          </w:p>
        </w:tc>
      </w:tr>
      <w:tr>
        <w:tc>
          <w:tcPr/>
          <w:p>
            <w:pPr>
              <w:pStyle w:val="Compact"/>
              <w:jc w:val="left"/>
            </w:pPr>
            <w:r>
              <w:rPr>
                <w:bCs/>
                <w:b/>
              </w:rPr>
              <w:t xml:space="preserve">Price Point</w:t>
            </w:r>
          </w:p>
        </w:tc>
        <w:tc>
          <w:tcPr/>
          <w:p>
            <w:pPr>
              <w:pStyle w:val="Compact"/>
              <w:jc w:val="left"/>
            </w:pPr>
            <w:r>
              <w:t xml:space="preserve">$99/pack</w:t>
            </w:r>
            <w:r>
              <w:t xml:space="preserve"> </w:t>
            </w:r>
            <w:r>
              <w:rPr>
                <w:vertAlign w:val="superscript"/>
              </w:rPr>
              <w:t xml:space="preserve">45</w:t>
            </w:r>
          </w:p>
        </w:tc>
        <w:tc>
          <w:tcPr/>
          <w:p>
            <w:pPr>
              <w:pStyle w:val="Compact"/>
              <w:jc w:val="left"/>
            </w:pPr>
            <w:r>
              <w:t xml:space="preserve">$549 perpetual</w:t>
            </w:r>
            <w:r>
              <w:t xml:space="preserve"> </w:t>
            </w:r>
            <w:r>
              <w:rPr>
                <w:vertAlign w:val="superscript"/>
              </w:rPr>
              <w:t xml:space="preserve">13</w:t>
            </w:r>
          </w:p>
        </w:tc>
        <w:tc>
          <w:tcPr/>
          <w:p>
            <w:pPr>
              <w:pStyle w:val="Compact"/>
              <w:jc w:val="left"/>
            </w:pPr>
            <w:r>
              <w:t xml:space="preserve">$5–$13/mo</w:t>
            </w:r>
            <w:r>
              <w:t xml:space="preserve"> </w:t>
            </w:r>
            <w:r>
              <w:rPr>
                <w:vertAlign w:val="superscript"/>
              </w:rPr>
              <w:t xml:space="preserve">15</w:t>
            </w:r>
          </w:p>
        </w:tc>
        <w:tc>
          <w:tcPr/>
          <w:p>
            <w:pPr>
              <w:pStyle w:val="Compact"/>
              <w:jc w:val="left"/>
            </w:pPr>
            <w:r>
              <w:t xml:space="preserve">$99/pack; $12/mo</w:t>
            </w:r>
            <w:r>
              <w:t xml:space="preserve"> </w:t>
            </w:r>
            <w:r>
              <w:rPr>
                <w:vertAlign w:val="superscript"/>
              </w:rPr>
              <w:t xml:space="preserve">16</w:t>
            </w:r>
          </w:p>
        </w:tc>
      </w:tr>
      <w:tr>
        <w:tc>
          <w:tcPr/>
          <w:p>
            <w:pPr>
              <w:pStyle w:val="Compact"/>
              <w:jc w:val="left"/>
            </w:pPr>
            <w:r>
              <w:rPr>
                <w:bCs/>
                <w:b/>
              </w:rPr>
              <w:t xml:space="preserve">Format</w:t>
            </w:r>
          </w:p>
        </w:tc>
        <w:tc>
          <w:tcPr/>
          <w:p>
            <w:pPr>
              <w:pStyle w:val="Compact"/>
              <w:jc w:val="left"/>
            </w:pPr>
            <w:r>
              <w:t xml:space="preserve">Lightroom/Capture One profiles</w:t>
            </w:r>
          </w:p>
        </w:tc>
        <w:tc>
          <w:tcPr/>
          <w:p>
            <w:pPr>
              <w:pStyle w:val="Compact"/>
              <w:jc w:val="left"/>
            </w:pPr>
            <w:r>
              <w:t xml:space="preserve">Resolve/Pr/Lr plugin</w:t>
            </w:r>
          </w:p>
        </w:tc>
        <w:tc>
          <w:tcPr/>
          <w:p>
            <w:pPr>
              <w:pStyle w:val="Compact"/>
              <w:jc w:val="left"/>
            </w:pPr>
            <w:r>
              <w:t xml:space="preserve">Mobile app + LR presets</w:t>
            </w:r>
          </w:p>
        </w:tc>
        <w:tc>
          <w:tcPr/>
          <w:p>
            <w:pPr>
              <w:pStyle w:val="Compact"/>
              <w:jc w:val="left"/>
            </w:pPr>
            <w:r>
              <w:t xml:space="preserve">.cube LUTs</w:t>
            </w:r>
          </w:p>
        </w:tc>
      </w:tr>
      <w:tr>
        <w:tc>
          <w:tcPr/>
          <w:p>
            <w:pPr>
              <w:pStyle w:val="Compact"/>
              <w:jc w:val="left"/>
            </w:pPr>
            <w:r>
              <w:rPr>
                <w:bCs/>
                <w:b/>
              </w:rPr>
              <w:t xml:space="preserve">Film Stocks</w:t>
            </w:r>
          </w:p>
        </w:tc>
        <w:tc>
          <w:tcPr/>
          <w:p>
            <w:pPr>
              <w:pStyle w:val="Compact"/>
              <w:jc w:val="left"/>
            </w:pPr>
            <w:r>
              <w:t xml:space="preserve">~6 packs (Portra, Fuji, Ilford, etc.)</w:t>
            </w:r>
          </w:p>
        </w:tc>
        <w:tc>
          <w:tcPr/>
          <w:p>
            <w:pPr>
              <w:pStyle w:val="Compact"/>
              <w:jc w:val="left"/>
            </w:pPr>
            <w:r>
              <w:t xml:space="preserve">60+ stocks</w:t>
            </w:r>
            <w:r>
              <w:t xml:space="preserve"> </w:t>
            </w:r>
            <w:r>
              <w:rPr>
                <w:vertAlign w:val="superscript"/>
              </w:rPr>
              <w:t xml:space="preserve">12</w:t>
            </w:r>
          </w:p>
        </w:tc>
        <w:tc>
          <w:tcPr/>
          <w:p>
            <w:pPr>
              <w:pStyle w:val="Compact"/>
              <w:jc w:val="left"/>
            </w:pPr>
            <w:r>
              <w:t xml:space="preserve">200+ presets incl. Film 02</w:t>
            </w:r>
            <w:r>
              <w:t xml:space="preserve"> </w:t>
            </w:r>
            <w:r>
              <w:rPr>
                <w:vertAlign w:val="superscript"/>
              </w:rPr>
              <w:t xml:space="preserve">19</w:t>
            </w:r>
          </w:p>
        </w:tc>
        <w:tc>
          <w:tcPr/>
          <w:p>
            <w:pPr>
              <w:pStyle w:val="Compact"/>
              <w:jc w:val="left"/>
            </w:pPr>
            <w:r>
              <w:t xml:space="preserve">Themed collections</w:t>
            </w:r>
          </w:p>
        </w:tc>
      </w:tr>
      <w:tr>
        <w:tc>
          <w:tcPr/>
          <w:p>
            <w:pPr>
              <w:pStyle w:val="Compact"/>
              <w:jc w:val="left"/>
            </w:pPr>
            <w:r>
              <w:rPr>
                <w:bCs/>
                <w:b/>
              </w:rPr>
              <w:t xml:space="preserve">Camera Profiles</w:t>
            </w:r>
          </w:p>
        </w:tc>
        <w:tc>
          <w:tcPr/>
          <w:p>
            <w:pPr>
              <w:pStyle w:val="Compact"/>
              <w:jc w:val="left"/>
            </w:pPr>
            <w:r>
              <w:t xml:space="preserve">Limited</w:t>
            </w:r>
          </w:p>
        </w:tc>
        <w:tc>
          <w:tcPr/>
          <w:p>
            <w:pPr>
              <w:pStyle w:val="Compact"/>
              <w:jc w:val="left"/>
            </w:pPr>
            <w:r>
              <w:t xml:space="preserve">130+ log profiles</w:t>
            </w:r>
            <w:r>
              <w:t xml:space="preserve"> </w:t>
            </w:r>
            <w:r>
              <w:rPr>
                <w:vertAlign w:val="superscript"/>
              </w:rPr>
              <w:t xml:space="preserve">12</w:t>
            </w:r>
          </w:p>
        </w:tc>
        <w:tc>
          <w:tcPr/>
          <w:p>
            <w:pPr>
              <w:pStyle w:val="Compact"/>
              <w:jc w:val="left"/>
            </w:pPr>
            <w:r>
              <w:t xml:space="preserve">Standard + camera-specific</w:t>
            </w:r>
            <w:r>
              <w:t xml:space="preserve"> </w:t>
            </w:r>
            <w:r>
              <w:rPr>
                <w:vertAlign w:val="superscript"/>
              </w:rPr>
              <w:t xml:space="preserve">19</w:t>
            </w:r>
          </w:p>
        </w:tc>
        <w:tc>
          <w:tcPr/>
          <w:p>
            <w:pPr>
              <w:pStyle w:val="Compact"/>
              <w:jc w:val="left"/>
            </w:pPr>
            <w:r>
              <w:t xml:space="preserve">BaseLUT system</w:t>
            </w:r>
            <w:r>
              <w:t xml:space="preserve"> </w:t>
            </w:r>
            <w:r>
              <w:rPr>
                <w:vertAlign w:val="superscript"/>
              </w:rPr>
              <w:t xml:space="preserve">16</w:t>
            </w:r>
          </w:p>
        </w:tc>
      </w:tr>
      <w:tr>
        <w:tc>
          <w:tcPr/>
          <w:p>
            <w:pPr>
              <w:pStyle w:val="Compact"/>
              <w:jc w:val="left"/>
            </w:pPr>
            <w:r>
              <w:rPr>
                <w:bCs/>
                <w:b/>
              </w:rPr>
              <w:t xml:space="preserve">Pixel Processing</w:t>
            </w:r>
          </w:p>
        </w:tc>
        <w:tc>
          <w:tcPr/>
          <w:p>
            <w:pPr>
              <w:pStyle w:val="Compact"/>
              <w:jc w:val="left"/>
            </w:pPr>
            <w:r>
              <w:t xml:space="preserve">None</w:t>
            </w:r>
          </w:p>
        </w:tc>
        <w:tc>
          <w:tcPr/>
          <w:p>
            <w:pPr>
              <w:pStyle w:val="Compact"/>
              <w:jc w:val="left"/>
            </w:pPr>
            <w:r>
              <w:t xml:space="preserve">Grain, halation, bloom</w:t>
            </w:r>
            <w:r>
              <w:t xml:space="preserve"> </w:t>
            </w:r>
            <w:r>
              <w:rPr>
                <w:vertAlign w:val="superscript"/>
              </w:rPr>
              <w:t xml:space="preserve">14</w:t>
            </w:r>
          </w:p>
        </w:tc>
        <w:tc>
          <w:tcPr/>
          <w:p>
            <w:pPr>
              <w:pStyle w:val="Compact"/>
              <w:jc w:val="left"/>
            </w:pPr>
            <w:r>
              <w:t xml:space="preserve">Basic grain</w:t>
            </w:r>
          </w:p>
        </w:tc>
        <w:tc>
          <w:tcPr/>
          <w:p>
            <w:pPr>
              <w:pStyle w:val="Compact"/>
              <w:jc w:val="left"/>
            </w:pPr>
            <w:r>
              <w:t xml:space="preserve">None</w:t>
            </w:r>
          </w:p>
        </w:tc>
      </w:tr>
      <w:tr>
        <w:tc>
          <w:tcPr/>
          <w:p>
            <w:pPr>
              <w:pStyle w:val="Compact"/>
              <w:jc w:val="left"/>
            </w:pPr>
            <w:r>
              <w:rPr>
                <w:bCs/>
                <w:b/>
              </w:rPr>
              <w:t xml:space="preserve">Target User</w:t>
            </w:r>
          </w:p>
        </w:tc>
        <w:tc>
          <w:tcPr/>
          <w:p>
            <w:pPr>
              <w:pStyle w:val="Compact"/>
              <w:jc w:val="left"/>
            </w:pPr>
            <w:r>
              <w:t xml:space="preserve">Wedding/portrait photographers</w:t>
            </w:r>
          </w:p>
        </w:tc>
        <w:tc>
          <w:tcPr/>
          <w:p>
            <w:pPr>
              <w:pStyle w:val="Compact"/>
              <w:jc w:val="left"/>
            </w:pPr>
            <w:r>
              <w:t xml:space="preserve">Professional colorists</w:t>
            </w:r>
          </w:p>
        </w:tc>
        <w:tc>
          <w:tcPr/>
          <w:p>
            <w:pPr>
              <w:pStyle w:val="Compact"/>
              <w:jc w:val="left"/>
            </w:pPr>
            <w:r>
              <w:t xml:space="preserve">Mobile creators</w:t>
            </w:r>
          </w:p>
        </w:tc>
        <w:tc>
          <w:tcPr/>
          <w:p>
            <w:pPr>
              <w:pStyle w:val="Compact"/>
              <w:jc w:val="left"/>
            </w:pPr>
            <w:r>
              <w:t xml:space="preserve">Filmmakers</w:t>
            </w:r>
          </w:p>
        </w:tc>
      </w:tr>
      <w:tr>
        <w:tc>
          <w:tcPr/>
          <w:p>
            <w:pPr>
              <w:pStyle w:val="Compact"/>
              <w:jc w:val="left"/>
            </w:pPr>
            <w:r>
              <w:rPr>
                <w:bCs/>
                <w:b/>
              </w:rPr>
              <w:t xml:space="preserve">Model</w:t>
            </w:r>
          </w:p>
        </w:tc>
        <w:tc>
          <w:tcPr/>
          <w:p>
            <w:pPr>
              <w:pStyle w:val="Compact"/>
              <w:jc w:val="left"/>
            </w:pPr>
            <w:r>
              <w:t xml:space="preserve">One-time purchase</w:t>
            </w:r>
          </w:p>
        </w:tc>
        <w:tc>
          <w:tcPr/>
          <w:p>
            <w:pPr>
              <w:pStyle w:val="Compact"/>
              <w:jc w:val="left"/>
            </w:pPr>
            <w:r>
              <w:t xml:space="preserve">One-time plugin buy</w:t>
            </w:r>
          </w:p>
        </w:tc>
        <w:tc>
          <w:tcPr/>
          <w:p>
            <w:pPr>
              <w:pStyle w:val="Compact"/>
              <w:jc w:val="left"/>
            </w:pPr>
            <w:r>
              <w:t xml:space="preserve">Subscription</w:t>
            </w:r>
          </w:p>
        </w:tc>
        <w:tc>
          <w:tcPr/>
          <w:p>
            <w:pPr>
              <w:pStyle w:val="Compact"/>
              <w:jc w:val="left"/>
            </w:pPr>
            <w:r>
              <w:t xml:space="preserve">One-time + subscription</w:t>
            </w:r>
          </w:p>
        </w:tc>
      </w:tr>
      <w:tr>
        <w:tc>
          <w:tcPr/>
          <w:p>
            <w:pPr>
              <w:pStyle w:val="Compact"/>
              <w:jc w:val="left"/>
            </w:pPr>
            <w:r>
              <w:rPr>
                <w:bCs/>
                <w:b/>
              </w:rPr>
              <w:t xml:space="preserve">Video/Cinema</w:t>
            </w:r>
          </w:p>
        </w:tc>
        <w:tc>
          <w:tcPr/>
          <w:p>
            <w:pPr>
              <w:pStyle w:val="Compact"/>
              <w:jc w:val="left"/>
            </w:pPr>
            <w:r>
              <w:t xml:space="preserve">Secondary</w:t>
            </w:r>
          </w:p>
        </w:tc>
        <w:tc>
          <w:tcPr/>
          <w:p>
            <w:pPr>
              <w:pStyle w:val="Compact"/>
              <w:jc w:val="left"/>
            </w:pPr>
            <w:r>
              <w:t xml:space="preserve">Primary</w:t>
            </w:r>
          </w:p>
        </w:tc>
        <w:tc>
          <w:tcPr/>
          <w:p>
            <w:pPr>
              <w:pStyle w:val="Compact"/>
              <w:jc w:val="left"/>
            </w:pPr>
            <w:r>
              <w:t xml:space="preserve">Minimal</w:t>
            </w:r>
          </w:p>
        </w:tc>
        <w:tc>
          <w:tcPr/>
          <w:p>
            <w:pPr>
              <w:pStyle w:val="Compact"/>
              <w:jc w:val="left"/>
            </w:pPr>
            <w:r>
              <w:t xml:space="preserve">Primary</w:t>
            </w:r>
          </w:p>
        </w:tc>
      </w:tr>
    </w:tbl>
    <w:p>
      <w:pPr>
        <w:pStyle w:val="BodyText"/>
      </w:pPr>
      <w:r>
        <w:t xml:space="preserve">The direct competitive landscape reveals a pattern of functional specialization. Mastin Labs owns photography film emulation but lacks video. Dehancer owns plugin-based emulation but at a price excluding the prosumer segment. VSCO owns mobile editing but lacks professional credibility. Gamut owns camera-specific LUTs but lacks the broader ecosystem. None offers a unified platform spanning photography and video, pixel-level processing and LUT distribution, and intelligent recommendation.</w:t>
      </w:r>
    </w:p>
    <w:bookmarkEnd w:id="173"/>
    <w:bookmarkEnd w:id="174"/>
    <w:bookmarkStart w:id="178" w:name="indirect-competitors"/>
    <w:p>
      <w:pPr>
        <w:pStyle w:val="Heading3"/>
      </w:pPr>
      <w:r>
        <w:t xml:space="preserve">10.2 Indirect Competitors</w:t>
      </w:r>
    </w:p>
    <w:p>
      <w:pPr>
        <w:pStyle w:val="FirstParagraph"/>
      </w:pPr>
      <w:r>
        <w:t xml:space="preserve">Indirect competitors are platform-level entities that do not primarily sell LUTs but whose integrated color tools reduce the need for third-party color grading products. These are the forces shaping the environment in which CINEGRADE LAB operates.</w:t>
      </w:r>
    </w:p>
    <w:bookmarkStart w:id="175" w:name="X44743acaf06f20efe64cebe26f0897c3d467895"/>
    <w:p>
      <w:pPr>
        <w:pStyle w:val="Heading4"/>
      </w:pPr>
      <w:r>
        <w:t xml:space="preserve">10.2.1 Adobe Creative Cloud: Dominant Platform with Sensei AI</w:t>
      </w:r>
    </w:p>
    <w:p>
      <w:pPr>
        <w:pStyle w:val="FirstParagraph"/>
      </w:pPr>
      <w:r>
        <w:t xml:space="preserve">Adobe Creative Cloud is the most significant indirect competitive force, with over 38 million paid subscribers as of April 2026 and Firefly AI embedded across seven major applications</w:t>
      </w:r>
      <w:r>
        <w:t xml:space="preserve"> </w:t>
      </w:r>
      <w:r>
        <w:rPr>
          <w:vertAlign w:val="superscript"/>
        </w:rPr>
        <w:t xml:space="preserve">17</w:t>
      </w:r>
      <w:r>
        <w:t xml:space="preserve">. Firefly has generated over 22 billion assets since its March 2023 launch, with 45% of Creative Cloud subscribers actively using it by March 2024</w:t>
      </w:r>
      <w:r>
        <w:t xml:space="preserve"> </w:t>
      </w:r>
      <w:r>
        <w:rPr>
          <w:vertAlign w:val="superscript"/>
        </w:rPr>
        <w:t xml:space="preserve">47</w:t>
      </w:r>
      <w:r>
        <w:t xml:space="preserve">. Adobe’s Sensei AI engine achieves 94% accuracy in Select Subject and Select Sky masking, and the company has integrated generative</w:t>
      </w:r>
      <w:r>
        <w:t xml:space="preserve"> </w:t>
      </w:r>
      <w:r>
        <w:t xml:space="preserve">“</w:t>
      </w:r>
      <w:r>
        <w:t xml:space="preserve">Text-to-Grade</w:t>
      </w:r>
      <w:r>
        <w:t xml:space="preserve">”</w:t>
      </w:r>
      <w:r>
        <w:t xml:space="preserve"> </w:t>
      </w:r>
      <w:r>
        <w:t xml:space="preserve">through Firefly allowing natural language look descriptions</w:t>
      </w:r>
      <w:r>
        <w:t xml:space="preserve"> </w:t>
      </w:r>
      <w:r>
        <w:rPr>
          <w:vertAlign w:val="superscript"/>
        </w:rPr>
        <w:t xml:space="preserve">10</w:t>
      </w:r>
      <w:r>
        <w:t xml:space="preserve">. Premiere Pro’s Lumetri Color and built-in LUT loading mean many creators never venture outside Adobe’s ecosystem.</w:t>
      </w:r>
    </w:p>
    <w:p>
      <w:pPr>
        <w:pStyle w:val="BodyText"/>
      </w:pPr>
      <w:r>
        <w:t xml:space="preserve">The strategic implication is nuanced: Adobe’s dominance creates a massive captive audience, but also demand for differentiation. The 68% of professionals already using AI editing tools</w:t>
      </w:r>
      <w:r>
        <w:t xml:space="preserve"> </w:t>
      </w:r>
      <w:r>
        <w:rPr>
          <w:vertAlign w:val="superscript"/>
        </w:rPr>
        <w:t xml:space="preserve">48</w:t>
      </w:r>
      <w:r>
        <w:t xml:space="preserve">suggests openness to augmentation — but Adobe’s tools are platform-locked. A product working</w:t>
      </w:r>
      <w:r>
        <w:t xml:space="preserve"> </w:t>
      </w:r>
      <w:r>
        <w:rPr>
          <w:iCs/>
          <w:i/>
        </w:rPr>
        <w:t xml:space="preserve">with</w:t>
      </w:r>
      <w:r>
        <w:t xml:space="preserve"> </w:t>
      </w:r>
      <w:r>
        <w:t xml:space="preserve">Adobe workflows while offering unmatched capabilities (physics-accurate halation, scan-verified emulations, community curation) finds its opening.</w:t>
      </w:r>
    </w:p>
    <w:bookmarkEnd w:id="175"/>
    <w:bookmarkStart w:id="176" w:name="Xc29ff5d6df8f9158aa4871b18c731b83b59010b"/>
    <w:p>
      <w:pPr>
        <w:pStyle w:val="Heading4"/>
      </w:pPr>
      <w:r>
        <w:t xml:space="preserve">10.2.2 Blackmagic DaVinci Resolve: Free Professional Grading</w:t>
      </w:r>
    </w:p>
    <w:p>
      <w:pPr>
        <w:pStyle w:val="FirstParagraph"/>
      </w:pPr>
      <w:r>
        <w:t xml:space="preserve">DaVinci Resolve is the most consequential disruptor in color grading platforms. The base version is free; Resolve Studio costs $295 one-time, unlocking the full Neural Engine, multi-GPU processing, HDR grading, and AI noise reduction</w:t>
      </w:r>
      <w:r>
        <w:t xml:space="preserve"> </w:t>
      </w:r>
      <w:r>
        <w:rPr>
          <w:vertAlign w:val="superscript"/>
        </w:rPr>
        <w:t xml:space="preserve">50</w:t>
      </w:r>
      <w:r>
        <w:t xml:space="preserve">. Used in Netflix, Disney, and Amazon Prime productions</w:t>
      </w:r>
      <w:r>
        <w:t xml:space="preserve"> </w:t>
      </w:r>
      <w:r>
        <w:rPr>
          <w:vertAlign w:val="superscript"/>
        </w:rPr>
        <w:t xml:space="preserve">51</w:t>
      </w:r>
      <w:r>
        <w:t xml:space="preserve">, it is the de facto professional standard. Resolve 19 introduced the Film Look Creator, IntelliTrack AI, and ColorSlice six-vector grading — over 100 Neural Engine-powered upgrades</w:t>
      </w:r>
      <w:r>
        <w:t xml:space="preserve"> </w:t>
      </w:r>
      <w:r>
        <w:rPr>
          <w:vertAlign w:val="superscript"/>
        </w:rPr>
        <w:t xml:space="preserve">52</w:t>
      </w:r>
      <w:r>
        <w:t xml:space="preserve">. Built-in film emulation LUTs (LMT 2383 Kodak Print Emulation) and native ACES support</w:t>
      </w:r>
      <w:r>
        <w:t xml:space="preserve"> </w:t>
      </w:r>
      <w:r>
        <w:rPr>
          <w:vertAlign w:val="superscript"/>
        </w:rPr>
        <w:t xml:space="preserve">53</w:t>
      </w:r>
      <w:r>
        <w:t xml:space="preserve">reduce perceived need for external LUTs at the entry level.</w:t>
      </w:r>
    </w:p>
    <w:p>
      <w:pPr>
        <w:pStyle w:val="BodyText"/>
      </w:pPr>
      <w:r>
        <w:t xml:space="preserve">Resolve’s limitation is its steep learning curve. Professional colorists describe its built-in creative LUTs as adequate but generic, lacking the specificity of curated film stock emulations</w:t>
      </w:r>
      <w:r>
        <w:t xml:space="preserve"> </w:t>
      </w:r>
      <w:r>
        <w:rPr>
          <w:vertAlign w:val="superscript"/>
        </w:rPr>
        <w:t xml:space="preserve">54</w:t>
      </w:r>
      <w:r>
        <w:t xml:space="preserve">. Resolve is a platform, not a curated experience — and curation is a value proposition in itself.</w:t>
      </w:r>
    </w:p>
    <w:bookmarkEnd w:id="176"/>
    <w:bookmarkStart w:id="177" w:name="fylm.ai-ai-powered-web-grading"/>
    <w:p>
      <w:pPr>
        <w:pStyle w:val="Heading4"/>
      </w:pPr>
      <w:r>
        <w:t xml:space="preserve">10.2.3 fylm.ai: AI-Powered Web Grading</w:t>
      </w:r>
    </w:p>
    <w:p>
      <w:pPr>
        <w:pStyle w:val="FirstParagraph"/>
      </w:pPr>
      <w:r>
        <w:t xml:space="preserve">fylm.ai is a browser-based AI color grading platform offering NeuralToneAI, NeuralFilmAI, AI Auto Correct, AI Colour Extract, and AI Colour Match, claiming up to 90% time savings on establishing HDR show LUTs</w:t>
      </w:r>
      <w:r>
        <w:t xml:space="preserve"> </w:t>
      </w:r>
      <w:r>
        <w:rPr>
          <w:vertAlign w:val="superscript"/>
        </w:rPr>
        <w:t xml:space="preserve">49</w:t>
      </w:r>
      <w:r>
        <w:t xml:space="preserve">. The platform uses ACEScct internally and exports LUTs compatible with Resolve, Premiere Pro, and Final Cut Pro</w:t>
      </w:r>
      <w:r>
        <w:t xml:space="preserve"> </w:t>
      </w:r>
      <w:r>
        <w:rPr>
          <w:vertAlign w:val="superscript"/>
        </w:rPr>
        <w:t xml:space="preserve">55</w:t>
      </w:r>
      <w:r>
        <w:t xml:space="preserve">. Its contextual auto-correction distinguishes between</w:t>
      </w:r>
      <w:r>
        <w:t xml:space="preserve"> </w:t>
      </w:r>
      <w:r>
        <w:t xml:space="preserve">“</w:t>
      </w:r>
      <w:r>
        <w:t xml:space="preserve">Contextual</w:t>
      </w:r>
      <w:r>
        <w:t xml:space="preserve">”</w:t>
      </w:r>
      <w:r>
        <w:t xml:space="preserve"> </w:t>
      </w:r>
      <w:r>
        <w:t xml:space="preserve">(favors original white balance context) and</w:t>
      </w:r>
      <w:r>
        <w:t xml:space="preserve"> </w:t>
      </w:r>
      <w:r>
        <w:t xml:space="preserve">“</w:t>
      </w:r>
      <w:r>
        <w:t xml:space="preserve">Neutral</w:t>
      </w:r>
      <w:r>
        <w:t xml:space="preserve">”</w:t>
      </w:r>
      <w:r>
        <w:t xml:space="preserve"> </w:t>
      </w:r>
      <w:r>
        <w:t xml:space="preserve">modes — semantic understanding that static LUTs cannot match</w:t>
      </w:r>
      <w:r>
        <w:t xml:space="preserve"> </w:t>
      </w:r>
      <w:r>
        <w:rPr>
          <w:vertAlign w:val="superscript"/>
        </w:rPr>
        <w:t xml:space="preserve">56</w:t>
      </w:r>
      <w:r>
        <w:t xml:space="preserve">. NeuralFilmAI provides</w:t>
      </w:r>
      <w:r>
        <w:t xml:space="preserve"> </w:t>
      </w:r>
      <w:r>
        <w:t xml:space="preserve">“</w:t>
      </w:r>
      <w:r>
        <w:t xml:space="preserve">the closest thing to shooting real film</w:t>
      </w:r>
      <w:r>
        <w:t xml:space="preserve">”</w:t>
      </w:r>
      <w:r>
        <w:t xml:space="preserve"> </w:t>
      </w:r>
      <w:r>
        <w:t xml:space="preserve">through neural-network emulations</w:t>
      </w:r>
      <w:r>
        <w:t xml:space="preserve"> </w:t>
      </w:r>
      <w:r>
        <w:rPr>
          <w:vertAlign w:val="superscript"/>
        </w:rPr>
        <w:t xml:space="preserve">57</w:t>
      </w:r>
      <w:r>
        <w:t xml:space="preserve">.</w:t>
      </w:r>
    </w:p>
    <w:p>
      <w:pPr>
        <w:pStyle w:val="BodyText"/>
      </w:pPr>
      <w:r>
        <w:t xml:space="preserve">fylm.ai’s constraint is that it is a grading tool, not a marketplace or ecosystem. Users generate LUTs but do not discover curated collections, join communities, or access educational content. It solves grading but not the inspiration, curation, or learning problems that define the creator journey.</w:t>
      </w:r>
    </w:p>
    <w:p>
      <w:pPr>
        <w:pStyle w:val="BodyText"/>
      </w:pPr>
      <w:r>
        <w:rPr>
          <w:bCs/>
          <w:b/>
        </w:rPr>
        <w:t xml:space="preserve">Table 2: Indirect Competitors — Platform-Level Forces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Adobe Creative Cloud</w:t>
            </w:r>
          </w:p>
        </w:tc>
        <w:tc>
          <w:tcPr/>
          <w:p>
            <w:pPr>
              <w:pStyle w:val="Compact"/>
              <w:jc w:val="left"/>
            </w:pPr>
            <w:r>
              <w:t xml:space="preserve">DaVinci Resolve</w:t>
            </w:r>
          </w:p>
        </w:tc>
        <w:tc>
          <w:tcPr/>
          <w:p>
            <w:pPr>
              <w:pStyle w:val="Compact"/>
              <w:jc w:val="left"/>
            </w:pPr>
            <w:r>
              <w:t xml:space="preserve">fylm.ai</w:t>
            </w:r>
          </w:p>
        </w:tc>
      </w:tr>
      <w:tr>
        <w:tc>
          <w:tcPr/>
          <w:p>
            <w:pPr>
              <w:pStyle w:val="Compact"/>
              <w:jc w:val="left"/>
            </w:pPr>
            <w:r>
              <w:rPr>
                <w:bCs/>
                <w:b/>
              </w:rPr>
              <w:t xml:space="preserve">User Base</w:t>
            </w:r>
          </w:p>
        </w:tc>
        <w:tc>
          <w:tcPr/>
          <w:p>
            <w:pPr>
              <w:pStyle w:val="Compact"/>
              <w:jc w:val="left"/>
            </w:pPr>
            <w:r>
              <w:t xml:space="preserve">38M+ subscribers</w:t>
            </w:r>
            <w:r>
              <w:t xml:space="preserve"> </w:t>
            </w:r>
            <w:r>
              <w:rPr>
                <w:vertAlign w:val="superscript"/>
              </w:rPr>
              <w:t xml:space="preserve">17</w:t>
            </w:r>
          </w:p>
        </w:tc>
        <w:tc>
          <w:tcPr/>
          <w:p>
            <w:pPr>
              <w:pStyle w:val="Compact"/>
              <w:jc w:val="left"/>
            </w:pPr>
            <w:r>
              <w:t xml:space="preserve">Millions (free + Studio)</w:t>
            </w:r>
          </w:p>
        </w:tc>
        <w:tc>
          <w:tcPr/>
          <w:p>
            <w:pPr>
              <w:pStyle w:val="Compact"/>
              <w:jc w:val="left"/>
            </w:pPr>
            <w:r>
              <w:t xml:space="preserve">N/A (web-based)</w:t>
            </w:r>
          </w:p>
        </w:tc>
      </w:tr>
      <w:tr>
        <w:tc>
          <w:tcPr/>
          <w:p>
            <w:pPr>
              <w:pStyle w:val="Compact"/>
              <w:jc w:val="left"/>
            </w:pPr>
            <w:r>
              <w:rPr>
                <w:bCs/>
                <w:b/>
              </w:rPr>
              <w:t xml:space="preserve">Color AI</w:t>
            </w:r>
          </w:p>
        </w:tc>
        <w:tc>
          <w:tcPr/>
          <w:p>
            <w:pPr>
              <w:pStyle w:val="Compact"/>
              <w:jc w:val="left"/>
            </w:pPr>
            <w:r>
              <w:t xml:space="preserve">Sensei/Firefly Text-to-Grade</w:t>
            </w:r>
            <w:r>
              <w:t xml:space="preserve"> </w:t>
            </w:r>
            <w:r>
              <w:rPr>
                <w:vertAlign w:val="superscript"/>
              </w:rPr>
              <w:t xml:space="preserve">10</w:t>
            </w:r>
          </w:p>
        </w:tc>
        <w:tc>
          <w:tcPr/>
          <w:p>
            <w:pPr>
              <w:pStyle w:val="Compact"/>
              <w:jc w:val="left"/>
            </w:pPr>
            <w:r>
              <w:t xml:space="preserve">Neural Engine, Film Look Creator</w:t>
            </w:r>
            <w:r>
              <w:t xml:space="preserve"> </w:t>
            </w:r>
            <w:r>
              <w:rPr>
                <w:vertAlign w:val="superscript"/>
              </w:rPr>
              <w:t xml:space="preserve">52</w:t>
            </w:r>
          </w:p>
        </w:tc>
        <w:tc>
          <w:tcPr/>
          <w:p>
            <w:pPr>
              <w:pStyle w:val="Compact"/>
              <w:jc w:val="left"/>
            </w:pPr>
            <w:r>
              <w:t xml:space="preserve">NeuralToneAI, NeuralFilmAI</w:t>
            </w:r>
            <w:r>
              <w:t xml:space="preserve"> </w:t>
            </w:r>
            <w:r>
              <w:rPr>
                <w:vertAlign w:val="superscript"/>
              </w:rPr>
              <w:t xml:space="preserve">49</w:t>
            </w:r>
          </w:p>
        </w:tc>
      </w:tr>
      <w:tr>
        <w:tc>
          <w:tcPr/>
          <w:p>
            <w:pPr>
              <w:pStyle w:val="Compact"/>
              <w:jc w:val="left"/>
            </w:pPr>
            <w:r>
              <w:rPr>
                <w:bCs/>
                <w:b/>
              </w:rPr>
              <w:t xml:space="preserve">Cost</w:t>
            </w:r>
          </w:p>
        </w:tc>
        <w:tc>
          <w:tcPr/>
          <w:p>
            <w:pPr>
              <w:pStyle w:val="Compact"/>
              <w:jc w:val="left"/>
            </w:pPr>
            <w:r>
              <w:t xml:space="preserve">$20–$55/mo subscription</w:t>
            </w:r>
          </w:p>
        </w:tc>
        <w:tc>
          <w:tcPr/>
          <w:p>
            <w:pPr>
              <w:pStyle w:val="Compact"/>
              <w:jc w:val="left"/>
            </w:pPr>
            <w:r>
              <w:t xml:space="preserve">Free; $295 Studio</w:t>
            </w:r>
            <w:r>
              <w:t xml:space="preserve"> </w:t>
            </w:r>
            <w:r>
              <w:rPr>
                <w:vertAlign w:val="superscript"/>
              </w:rPr>
              <w:t xml:space="preserve">50</w:t>
            </w:r>
          </w:p>
        </w:tc>
        <w:tc>
          <w:tcPr/>
          <w:p>
            <w:pPr>
              <w:pStyle w:val="Compact"/>
              <w:jc w:val="left"/>
            </w:pPr>
            <w:r>
              <w:t xml:space="preserve">Subscription-based</w:t>
            </w:r>
          </w:p>
        </w:tc>
      </w:tr>
      <w:tr>
        <w:tc>
          <w:tcPr/>
          <w:p>
            <w:pPr>
              <w:pStyle w:val="Compact"/>
              <w:jc w:val="left"/>
            </w:pPr>
            <w:r>
              <w:rPr>
                <w:bCs/>
                <w:b/>
              </w:rPr>
              <w:t xml:space="preserve">Film Emulation</w:t>
            </w:r>
          </w:p>
        </w:tc>
        <w:tc>
          <w:tcPr/>
          <w:p>
            <w:pPr>
              <w:pStyle w:val="Compact"/>
              <w:jc w:val="left"/>
            </w:pPr>
            <w:r>
              <w:t xml:space="preserve">Basic (via LUT loading)</w:t>
            </w:r>
          </w:p>
        </w:tc>
        <w:tc>
          <w:tcPr/>
          <w:p>
            <w:pPr>
              <w:pStyle w:val="Compact"/>
              <w:jc w:val="left"/>
            </w:pPr>
            <w:r>
              <w:t xml:space="preserve">Built-in LMT 2383</w:t>
            </w:r>
            <w:r>
              <w:t xml:space="preserve"> </w:t>
            </w:r>
            <w:r>
              <w:rPr>
                <w:vertAlign w:val="superscript"/>
              </w:rPr>
              <w:t xml:space="preserve">53</w:t>
            </w:r>
          </w:p>
        </w:tc>
        <w:tc>
          <w:tcPr/>
          <w:p>
            <w:pPr>
              <w:pStyle w:val="Compact"/>
              <w:jc w:val="left"/>
            </w:pPr>
            <w:r>
              <w:t xml:space="preserve">NeuralFilmAI</w:t>
            </w:r>
            <w:r>
              <w:t xml:space="preserve"> </w:t>
            </w:r>
            <w:r>
              <w:rPr>
                <w:vertAlign w:val="superscript"/>
              </w:rPr>
              <w:t xml:space="preserve">57</w:t>
            </w:r>
          </w:p>
        </w:tc>
      </w:tr>
      <w:tr>
        <w:tc>
          <w:tcPr/>
          <w:p>
            <w:pPr>
              <w:pStyle w:val="Compact"/>
              <w:jc w:val="left"/>
            </w:pPr>
            <w:r>
              <w:rPr>
                <w:bCs/>
                <w:b/>
              </w:rPr>
              <w:t xml:space="preserve">ACES Support</w:t>
            </w:r>
          </w:p>
        </w:tc>
        <w:tc>
          <w:tcPr/>
          <w:p>
            <w:pPr>
              <w:pStyle w:val="Compact"/>
              <w:jc w:val="left"/>
            </w:pPr>
            <w:r>
              <w:t xml:space="preserve">Via plugins</w:t>
            </w:r>
          </w:p>
        </w:tc>
        <w:tc>
          <w:tcPr/>
          <w:p>
            <w:pPr>
              <w:pStyle w:val="Compact"/>
              <w:jc w:val="left"/>
            </w:pPr>
            <w:r>
              <w:t xml:space="preserve">Native</w:t>
            </w:r>
          </w:p>
        </w:tc>
        <w:tc>
          <w:tcPr/>
          <w:p>
            <w:pPr>
              <w:pStyle w:val="Compact"/>
              <w:jc w:val="left"/>
            </w:pPr>
            <w:r>
              <w:t xml:space="preserve">ACEScct internal</w:t>
            </w:r>
            <w:r>
              <w:t xml:space="preserve"> </w:t>
            </w:r>
            <w:r>
              <w:rPr>
                <w:vertAlign w:val="superscript"/>
              </w:rPr>
              <w:t xml:space="preserve">55</w:t>
            </w:r>
          </w:p>
        </w:tc>
      </w:tr>
      <w:tr>
        <w:tc>
          <w:tcPr/>
          <w:p>
            <w:pPr>
              <w:pStyle w:val="Compact"/>
              <w:jc w:val="left"/>
            </w:pPr>
            <w:r>
              <w:rPr>
                <w:bCs/>
                <w:b/>
              </w:rPr>
              <w:t xml:space="preserve">Learning Curve</w:t>
            </w:r>
          </w:p>
        </w:tc>
        <w:tc>
          <w:tcPr/>
          <w:p>
            <w:pPr>
              <w:pStyle w:val="Compact"/>
              <w:jc w:val="left"/>
            </w:pPr>
            <w:r>
              <w:t xml:space="preserve">Moderate</w:t>
            </w:r>
          </w:p>
        </w:tc>
        <w:tc>
          <w:tcPr/>
          <w:p>
            <w:pPr>
              <w:pStyle w:val="Compact"/>
              <w:jc w:val="left"/>
            </w:pPr>
            <w:r>
              <w:t xml:space="preserve">Steep</w:t>
            </w:r>
          </w:p>
        </w:tc>
        <w:tc>
          <w:tcPr/>
          <w:p>
            <w:pPr>
              <w:pStyle w:val="Compact"/>
              <w:jc w:val="left"/>
            </w:pPr>
            <w:r>
              <w:t xml:space="preserve">Low</w:t>
            </w:r>
          </w:p>
        </w:tc>
      </w:tr>
      <w:tr>
        <w:tc>
          <w:tcPr/>
          <w:p>
            <w:pPr>
              <w:pStyle w:val="Compact"/>
              <w:jc w:val="left"/>
            </w:pPr>
            <w:r>
              <w:rPr>
                <w:bCs/>
                <w:b/>
              </w:rPr>
              <w:t xml:space="preserve">Key Risk to CINEGRADE</w:t>
            </w:r>
          </w:p>
        </w:tc>
        <w:tc>
          <w:tcPr/>
          <w:p>
            <w:pPr>
              <w:pStyle w:val="Compact"/>
              <w:jc w:val="left"/>
            </w:pPr>
            <w:r>
              <w:t xml:space="preserve">Integrated AI replaces need for external LUTs</w:t>
            </w:r>
          </w:p>
        </w:tc>
        <w:tc>
          <w:tcPr/>
          <w:p>
            <w:pPr>
              <w:pStyle w:val="Compact"/>
              <w:jc w:val="left"/>
            </w:pPr>
            <w:r>
              <w:t xml:space="preserve">Free built-in tools reduce LUT purchases</w:t>
            </w:r>
          </w:p>
        </w:tc>
        <w:tc>
          <w:tcPr/>
          <w:p>
            <w:pPr>
              <w:pStyle w:val="Compact"/>
              <w:jc w:val="left"/>
            </w:pPr>
            <w:r>
              <w:t xml:space="preserve">AI automation commoditizes static LUTs</w:t>
            </w:r>
          </w:p>
        </w:tc>
      </w:tr>
      <w:tr>
        <w:tc>
          <w:tcPr/>
          <w:p>
            <w:pPr>
              <w:pStyle w:val="Compact"/>
              <w:jc w:val="left"/>
            </w:pPr>
            <w:r>
              <w:rPr>
                <w:bCs/>
                <w:b/>
              </w:rPr>
              <w:t xml:space="preserve">Key Opportunity</w:t>
            </w:r>
          </w:p>
        </w:tc>
        <w:tc>
          <w:tcPr/>
          <w:p>
            <w:pPr>
              <w:pStyle w:val="Compact"/>
              <w:jc w:val="left"/>
            </w:pPr>
            <w:r>
              <w:t xml:space="preserve">Creators want differentiation beyond Adobe defaults</w:t>
            </w:r>
          </w:p>
        </w:tc>
        <w:tc>
          <w:tcPr/>
          <w:p>
            <w:pPr>
              <w:pStyle w:val="Compact"/>
              <w:jc w:val="left"/>
            </w:pPr>
            <w:r>
              <w:t xml:space="preserve">Professional colorists still buy curated LUTs</w:t>
            </w:r>
          </w:p>
        </w:tc>
        <w:tc>
          <w:tcPr/>
          <w:p>
            <w:pPr>
              <w:pStyle w:val="Compact"/>
              <w:jc w:val="left"/>
            </w:pPr>
            <w:r>
              <w:t xml:space="preserve">AI assists but doesn’t replace curation</w:t>
            </w:r>
          </w:p>
        </w:tc>
      </w:tr>
    </w:tbl>
    <w:p>
      <w:pPr>
        <w:pStyle w:val="BodyText"/>
      </w:pPr>
      <w:r>
        <w:t xml:space="preserve">The indirect competitor analysis reveals a shared vulnerability: all three platforms treat color as a technical operation rather than a creative experience. Adobe optimizes for workflow integration. DaVinci optimizes for professional control. fylm.ai optimizes for AI speed. None optimizes for the emotional, cultural, and educational dimensions of color grading — the dimensions where CINEGRADE LAB positions.</w:t>
      </w:r>
    </w:p>
    <w:bookmarkEnd w:id="177"/>
    <w:bookmarkEnd w:id="178"/>
    <w:bookmarkStart w:id="183" w:name="cinegrade-lab-differentiation-matrix"/>
    <w:p>
      <w:pPr>
        <w:pStyle w:val="Heading3"/>
      </w:pPr>
      <w:r>
        <w:t xml:space="preserve">10.3 CINEGRADE LAB Differentiation Matrix</w:t>
      </w:r>
    </w:p>
    <w:p>
      <w:pPr>
        <w:pStyle w:val="FirstParagraph"/>
      </w:pPr>
      <w:r>
        <w:t xml:space="preserve">CINEGRADE LAB’s competitive positioning is not defined by outperforming any single competitor on their chosen axis, but by creating a new axis entirely: the integrated cinematic color experience that combines technical tools, intelligent discovery, immersive UI, and community-driven education.</w:t>
      </w:r>
    </w:p>
    <w:bookmarkStart w:id="179" w:name="X777a24013d06cd4ff2d7659b51902f0270b6d59"/>
    <w:p>
      <w:pPr>
        <w:pStyle w:val="Heading4"/>
      </w:pPr>
      <w:r>
        <w:t xml:space="preserve">10.3.1 Technical: 250 Tools in One Platform vs. Single-Pack Purchases</w:t>
      </w:r>
    </w:p>
    <w:p>
      <w:pPr>
        <w:pStyle w:val="FirstParagraph"/>
      </w:pPr>
      <w:r>
        <w:t xml:space="preserve">The direct competitor landscape requires creators to assemble toolkits from multiple vendors: Mastin Labs for film emulation, Dehancer for grain and halation, Gamut for camera-specific LUTs, and free sources for utilities. Each carries its own installation, learning curve, and compatibility risk. CINEGRADE LAB’s 250-tool architecture replaces this fragmentation with a unified environment where input LUTs, creative LUTs, and finishing LUTs are mathematically compatible — following the strict order of operations (primary correction, secondary corrections, creative look, final tweaks)</w:t>
      </w:r>
      <w:r>
        <w:t xml:space="preserve"> </w:t>
      </w:r>
      <w:r>
        <w:rPr>
          <w:vertAlign w:val="superscript"/>
        </w:rPr>
        <w:t xml:space="preserve">58</w:t>
      </w:r>
      <w:r>
        <w:t xml:space="preserve">at 65x65x65 precision with tetrahedral interpolation, the standard for professional color work</w:t>
      </w:r>
      <w:r>
        <w:t xml:space="preserve"> </w:t>
      </w:r>
      <w:r>
        <w:rPr>
          <w:vertAlign w:val="superscript"/>
        </w:rPr>
        <w:t xml:space="preserve">59</w:t>
      </w:r>
      <w:r>
        <w:t xml:space="preserve">.</w:t>
      </w:r>
    </w:p>
    <w:bookmarkEnd w:id="179"/>
    <w:bookmarkStart w:id="180" w:name="Xb65fd65a8a7c012a2b6de272d7f9624288dec06"/>
    <w:p>
      <w:pPr>
        <w:pStyle w:val="Heading4"/>
      </w:pPr>
      <w:r>
        <w:t xml:space="preserve">10.3.2 Experience: Cinematic Web UI vs. Marketplace/Downloads Model</w:t>
      </w:r>
    </w:p>
    <w:p>
      <w:pPr>
        <w:pStyle w:val="FirstParagraph"/>
      </w:pPr>
      <w:r>
        <w:t xml:space="preserve">Current purchasing experiences follow two models: the e-commerce product page (Mastin Labs, Gamut, Dehancer) and the app store download (VSCO). Neither treats discovery as a creative experience. Consumer psychology research confirms that</w:t>
      </w:r>
      <w:r>
        <w:t xml:space="preserve"> </w:t>
      </w:r>
      <w:r>
        <w:t xml:space="preserve">“</w:t>
      </w:r>
      <w:r>
        <w:t xml:space="preserve">people buy filters because someone they like made them</w:t>
      </w:r>
      <w:r>
        <w:t xml:space="preserve">”</w:t>
      </w:r>
      <w:r>
        <w:t xml:space="preserve"> </w:t>
      </w:r>
      <w:r>
        <w:rPr>
          <w:vertAlign w:val="superscript"/>
        </w:rPr>
        <w:t xml:space="preserve">60</w:t>
      </w:r>
      <w:r>
        <w:t xml:space="preserve">, and LUT purchases function as</w:t>
      </w:r>
      <w:r>
        <w:t xml:space="preserve"> </w:t>
      </w:r>
      <w:r>
        <w:t xml:space="preserve">“</w:t>
      </w:r>
      <w:r>
        <w:t xml:space="preserve">identity signals</w:t>
      </w:r>
      <w:r>
        <w:t xml:space="preserve">”</w:t>
      </w:r>
      <w:r>
        <w:t xml:space="preserve"> </w:t>
      </w:r>
      <w:r>
        <w:t xml:space="preserve">— users buy them to communicate aesthetic taste and technical sophistication</w:t>
      </w:r>
      <w:r>
        <w:t xml:space="preserve"> </w:t>
      </w:r>
      <w:r>
        <w:rPr>
          <w:vertAlign w:val="superscript"/>
        </w:rPr>
        <w:t xml:space="preserve">22</w:t>
      </w:r>
      <w:r>
        <w:t xml:space="preserve">. A cinematic web UI — immersive, dark-themed, with live before/after previews and film reference stills — transforms discovery from a transactional download into an aspirational experience.</w:t>
      </w:r>
    </w:p>
    <w:bookmarkEnd w:id="180"/>
    <w:bookmarkStart w:id="181" w:name="X74b4169d1b173b3bd64c610510c7fec735e036a"/>
    <w:p>
      <w:pPr>
        <w:pStyle w:val="Heading4"/>
      </w:pPr>
      <w:r>
        <w:t xml:space="preserve">10.3.3 AI: Recommendation Engine vs. Static Product Pages</w:t>
      </w:r>
    </w:p>
    <w:p>
      <w:pPr>
        <w:pStyle w:val="FirstParagraph"/>
      </w:pPr>
      <w:r>
        <w:t xml:space="preserve">The competitive landscape remains overwhelmingly static. Product pages show a thumbnail, a description, and a price. This is the model of FilterGrade (50/50 revenue split with creators)</w:t>
      </w:r>
      <w:r>
        <w:t xml:space="preserve"> </w:t>
      </w:r>
      <w:r>
        <w:rPr>
          <w:vertAlign w:val="superscript"/>
        </w:rPr>
        <w:t xml:space="preserve">21</w:t>
      </w:r>
      <w:r>
        <w:t xml:space="preserve">, Creative Market (10 million members, 50% seller cut)</w:t>
      </w:r>
      <w:r>
        <w:t xml:space="preserve"> </w:t>
      </w:r>
      <w:r>
        <w:rPr>
          <w:vertAlign w:val="superscript"/>
        </w:rPr>
        <w:t xml:space="preserve">61</w:t>
      </w:r>
      <w:r>
        <w:t xml:space="preserve">, and Etsy (4M+ monthly preset searches)</w:t>
      </w:r>
      <w:r>
        <w:t xml:space="preserve"> </w:t>
      </w:r>
      <w:r>
        <w:rPr>
          <w:vertAlign w:val="superscript"/>
        </w:rPr>
        <w:t xml:space="preserve">70</w:t>
      </w:r>
      <w:r>
        <w:t xml:space="preserve">— marketplaces optimized for discovery volume, not discovery quality.</w:t>
      </w:r>
    </w:p>
    <w:p>
      <w:pPr>
        <w:pStyle w:val="BodyText"/>
      </w:pPr>
      <w:r>
        <w:t xml:space="preserve">An AI recommendation engine changes the discovery paradigm. Instead of browsing categories, creators describe their project (</w:t>
      </w:r>
      <w:r>
        <w:t xml:space="preserve">“</w:t>
      </w:r>
      <w:r>
        <w:t xml:space="preserve">wedding video shot on Sony A7S III, want a soft Portra 400 look with lifted shadows</w:t>
      </w:r>
      <w:r>
        <w:t xml:space="preserve">”</w:t>
      </w:r>
      <w:r>
        <w:t xml:space="preserve">) and receive matched LUT suggestions with compatibility verification, before/after previews on similar footage, and workflow guidance. McKinsey research demonstrates that personalization alone can reduce customer acquisition cost by up to 50%</w:t>
      </w:r>
      <w:r>
        <w:t xml:space="preserve"> </w:t>
      </w:r>
      <w:r>
        <w:rPr>
          <w:vertAlign w:val="superscript"/>
        </w:rPr>
        <w:t xml:space="preserve">71</w:t>
      </w:r>
      <w:r>
        <w:t xml:space="preserve">— a critical advantage in a market where e-commerce CAC averages $68 for B2C products</w:t>
      </w:r>
      <w:r>
        <w:t xml:space="preserve"> </w:t>
      </w:r>
      <w:r>
        <w:rPr>
          <w:vertAlign w:val="superscript"/>
        </w:rPr>
        <w:t xml:space="preserve">122</w:t>
      </w:r>
      <w:r>
        <w:t xml:space="preserve">.</w:t>
      </w:r>
    </w:p>
    <w:bookmarkEnd w:id="181"/>
    <w:bookmarkStart w:id="182" w:name="X0ab835cb2bb16e54a7b4591efac79084734d859"/>
    <w:p>
      <w:pPr>
        <w:pStyle w:val="Heading4"/>
      </w:pPr>
      <w:r>
        <w:t xml:space="preserve">10.3.4 Community: Education-First vs. Pure Transaction</w:t>
      </w:r>
    </w:p>
    <w:p>
      <w:pPr>
        <w:pStyle w:val="FirstParagraph"/>
      </w:pPr>
      <w:r>
        <w:t xml:space="preserve">The most successful preset brands — Mastin Labs, Noble Presets ($149), RNI ($82–$192) — all include educational content and community access</w:t>
      </w:r>
      <w:r>
        <w:t xml:space="preserve"> </w:t>
      </w:r>
      <w:r>
        <w:rPr>
          <w:vertAlign w:val="superscript"/>
        </w:rPr>
        <w:t xml:space="preserve">69</w:t>
      </w:r>
      <w:r>
        <w:t xml:space="preserve">. YouTube tutorials are the primary discovery channel for LUT/preset sales, with creators like Brendan Williams, Peter McKinnon, and Sean Dalton integrating preset promotion into tutorial content</w:t>
      </w:r>
      <w:r>
        <w:t xml:space="preserve"> </w:t>
      </w:r>
      <w:r>
        <w:rPr>
          <w:vertAlign w:val="superscript"/>
        </w:rPr>
        <w:t xml:space="preserve">72</w:t>
      </w:r>
      <w:r>
        <w:t xml:space="preserve">. The</w:t>
      </w:r>
      <w:r>
        <w:t xml:space="preserve"> </w:t>
      </w:r>
      <w:r>
        <w:t xml:space="preserve">“</w:t>
      </w:r>
      <w:r>
        <w:t xml:space="preserve">education → demonstration → purchase</w:t>
      </w:r>
      <w:r>
        <w:t xml:space="preserve">”</w:t>
      </w:r>
      <w:r>
        <w:t xml:space="preserve"> </w:t>
      </w:r>
      <w:r>
        <w:t xml:space="preserve">funnel is the dominant sales mechanism.</w:t>
      </w:r>
    </w:p>
    <w:p>
      <w:pPr>
        <w:pStyle w:val="BodyText"/>
      </w:pPr>
      <w:r>
        <w:t xml:space="preserve">CINEGRADE LAB operationalizes this insight at the platform level rather than the content level. Education is not a marketing channel but a core product dimension: every LUT includes color science documentation, recommended workflow steps, and film reference context. The community layer enables creators to share before/after transformations, receive feedback, and participate in challenges — creating network effects that no single-pack competitor can replicate.</w:t>
      </w:r>
    </w:p>
    <w:p>
      <w:pPr>
        <w:pStyle w:val="BodyText"/>
      </w:pPr>
      <w:r>
        <w:rPr>
          <w:bCs/>
          <w:b/>
        </w:rPr>
        <w:t xml:space="preserve">Table 3: CINEGRADE LAB Differentiation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Incumbent Approach</w:t>
            </w:r>
          </w:p>
        </w:tc>
        <w:tc>
          <w:tcPr/>
          <w:p>
            <w:pPr>
              <w:pStyle w:val="Compact"/>
              <w:jc w:val="left"/>
            </w:pPr>
            <w:r>
              <w:t xml:space="preserve">CINEGRADE LAB Approach</w:t>
            </w:r>
          </w:p>
        </w:tc>
        <w:tc>
          <w:tcPr/>
          <w:p>
            <w:pPr>
              <w:pStyle w:val="Compact"/>
              <w:jc w:val="left"/>
            </w:pPr>
            <w:r>
              <w:t xml:space="preserve">Competitive Advantage</w:t>
            </w:r>
          </w:p>
        </w:tc>
      </w:tr>
      <w:tr>
        <w:tc>
          <w:tcPr/>
          <w:p>
            <w:pPr>
              <w:pStyle w:val="Compact"/>
              <w:jc w:val="left"/>
            </w:pPr>
            <w:r>
              <w:rPr>
                <w:bCs/>
                <w:b/>
              </w:rPr>
              <w:t xml:space="preserve">Product Scope</w:t>
            </w:r>
          </w:p>
        </w:tc>
        <w:tc>
          <w:tcPr/>
          <w:p>
            <w:pPr>
              <w:pStyle w:val="Compact"/>
              <w:jc w:val="left"/>
            </w:pPr>
            <w:r>
              <w:t xml:space="preserve">Single-tool/single-pack purchases (Mastin $99, Gamut $99, Dehancer $549)</w:t>
            </w:r>
          </w:p>
        </w:tc>
        <w:tc>
          <w:tcPr/>
          <w:p>
            <w:pPr>
              <w:pStyle w:val="Compact"/>
              <w:jc w:val="left"/>
            </w:pPr>
            <w:r>
              <w:t xml:space="preserve">250 integrated tools in unified platform</w:t>
            </w:r>
          </w:p>
        </w:tc>
        <w:tc>
          <w:tcPr/>
          <w:p>
            <w:pPr>
              <w:pStyle w:val="Compact"/>
              <w:jc w:val="left"/>
            </w:pPr>
            <w:r>
              <w:t xml:space="preserve">Eliminates cross-vendor compatibility and assembly cost</w:t>
            </w:r>
          </w:p>
        </w:tc>
      </w:tr>
      <w:tr>
        <w:tc>
          <w:tcPr/>
          <w:p>
            <w:pPr>
              <w:pStyle w:val="Compact"/>
              <w:jc w:val="left"/>
            </w:pPr>
            <w:r>
              <w:rPr>
                <w:bCs/>
                <w:b/>
              </w:rPr>
              <w:t xml:space="preserve">Discovery</w:t>
            </w:r>
          </w:p>
        </w:tc>
        <w:tc>
          <w:tcPr/>
          <w:p>
            <w:pPr>
              <w:pStyle w:val="Compact"/>
              <w:jc w:val="left"/>
            </w:pPr>
            <w:r>
              <w:t xml:space="preserve">Static product pages with thumbnails</w:t>
            </w:r>
          </w:p>
        </w:tc>
        <w:tc>
          <w:tcPr/>
          <w:p>
            <w:pPr>
              <w:pStyle w:val="Compact"/>
              <w:jc w:val="left"/>
            </w:pPr>
            <w:r>
              <w:t xml:space="preserve">AI recommendation engine with natural language project matching</w:t>
            </w:r>
          </w:p>
        </w:tc>
        <w:tc>
          <w:tcPr/>
          <w:p>
            <w:pPr>
              <w:pStyle w:val="Compact"/>
              <w:jc w:val="left"/>
            </w:pPr>
            <w:r>
              <w:t xml:space="preserve">Reduces CAC by up to 50%</w:t>
            </w:r>
            <w:r>
              <w:t xml:space="preserve"> </w:t>
            </w:r>
            <w:r>
              <w:rPr>
                <w:vertAlign w:val="superscript"/>
              </w:rPr>
              <w:t xml:space="preserve">71</w:t>
            </w:r>
            <w:r>
              <w:t xml:space="preserve">; improves conversion</w:t>
            </w:r>
          </w:p>
        </w:tc>
      </w:tr>
      <w:tr>
        <w:tc>
          <w:tcPr/>
          <w:p>
            <w:pPr>
              <w:pStyle w:val="Compact"/>
              <w:jc w:val="left"/>
            </w:pPr>
            <w:r>
              <w:rPr>
                <w:bCs/>
                <w:b/>
              </w:rPr>
              <w:t xml:space="preserve">Experience</w:t>
            </w:r>
          </w:p>
        </w:tc>
        <w:tc>
          <w:tcPr/>
          <w:p>
            <w:pPr>
              <w:pStyle w:val="Compact"/>
              <w:jc w:val="left"/>
            </w:pPr>
            <w:r>
              <w:t xml:space="preserve">E-commerce checkout or app store download</w:t>
            </w:r>
          </w:p>
        </w:tc>
        <w:tc>
          <w:tcPr/>
          <w:p>
            <w:pPr>
              <w:pStyle w:val="Compact"/>
              <w:jc w:val="left"/>
            </w:pPr>
            <w:r>
              <w:t xml:space="preserve">Cinematic web UI with live preview</w:t>
            </w:r>
          </w:p>
        </w:tc>
        <w:tc>
          <w:tcPr/>
          <w:p>
            <w:pPr>
              <w:pStyle w:val="Compact"/>
              <w:jc w:val="left"/>
            </w:pPr>
            <w:r>
              <w:t xml:space="preserve">Transforms transaction into aspirational experience</w:t>
            </w:r>
          </w:p>
        </w:tc>
      </w:tr>
      <w:tr>
        <w:tc>
          <w:tcPr/>
          <w:p>
            <w:pPr>
              <w:pStyle w:val="Compact"/>
              <w:jc w:val="left"/>
            </w:pPr>
            <w:r>
              <w:rPr>
                <w:bCs/>
                <w:b/>
              </w:rPr>
              <w:t xml:space="preserve">Technical Depth</w:t>
            </w:r>
          </w:p>
        </w:tc>
        <w:tc>
          <w:tcPr/>
          <w:p>
            <w:pPr>
              <w:pStyle w:val="Compact"/>
              <w:jc w:val="left"/>
            </w:pPr>
            <w:r>
              <w:t xml:space="preserve">LUT-only (Gamut) or plugin-only (Dehancer)</w:t>
            </w:r>
          </w:p>
        </w:tc>
        <w:tc>
          <w:tcPr/>
          <w:p>
            <w:pPr>
              <w:pStyle w:val="Compact"/>
              <w:jc w:val="left"/>
            </w:pPr>
            <w:r>
              <w:t xml:space="preserve">LUTs + pixel processing + camera profiles + ACES</w:t>
            </w:r>
          </w:p>
        </w:tc>
        <w:tc>
          <w:tcPr/>
          <w:p>
            <w:pPr>
              <w:pStyle w:val="Compact"/>
              <w:jc w:val="left"/>
            </w:pPr>
            <w:r>
              <w:t xml:space="preserve">Single pipeline eliminates manual compatibility work</w:t>
            </w:r>
          </w:p>
        </w:tc>
      </w:tr>
      <w:tr>
        <w:tc>
          <w:tcPr/>
          <w:p>
            <w:pPr>
              <w:pStyle w:val="Compact"/>
              <w:jc w:val="left"/>
            </w:pPr>
            <w:r>
              <w:rPr>
                <w:bCs/>
                <w:b/>
              </w:rPr>
              <w:t xml:space="preserve">Education</w:t>
            </w:r>
          </w:p>
        </w:tc>
        <w:tc>
          <w:tcPr/>
          <w:p>
            <w:pPr>
              <w:pStyle w:val="Compact"/>
              <w:jc w:val="left"/>
            </w:pPr>
            <w:r>
              <w:t xml:space="preserve">Separate YouTube tutorials (external)</w:t>
            </w:r>
          </w:p>
        </w:tc>
        <w:tc>
          <w:tcPr/>
          <w:p>
            <w:pPr>
              <w:pStyle w:val="Compact"/>
              <w:jc w:val="left"/>
            </w:pPr>
            <w:r>
              <w:t xml:space="preserve">Integrated color science docs + workflow guidance per LUT</w:t>
            </w:r>
          </w:p>
        </w:tc>
        <w:tc>
          <w:tcPr/>
          <w:p>
            <w:pPr>
              <w:pStyle w:val="Compact"/>
              <w:jc w:val="left"/>
            </w:pPr>
            <w:r>
              <w:t xml:space="preserve">Education-as-product increases retention and trust</w:t>
            </w:r>
          </w:p>
        </w:tc>
      </w:tr>
      <w:tr>
        <w:tc>
          <w:tcPr/>
          <w:p>
            <w:pPr>
              <w:pStyle w:val="Compact"/>
              <w:jc w:val="left"/>
            </w:pPr>
            <w:r>
              <w:rPr>
                <w:bCs/>
                <w:b/>
              </w:rPr>
              <w:t xml:space="preserve">Community</w:t>
            </w:r>
          </w:p>
        </w:tc>
        <w:tc>
          <w:tcPr/>
          <w:p>
            <w:pPr>
              <w:pStyle w:val="Compact"/>
              <w:jc w:val="left"/>
            </w:pPr>
            <w:r>
              <w:t xml:space="preserve">None (Mastin, Dehancer) or app-based (VSCO)</w:t>
            </w:r>
          </w:p>
        </w:tc>
        <w:tc>
          <w:tcPr/>
          <w:p>
            <w:pPr>
              <w:pStyle w:val="Compact"/>
              <w:jc w:val="left"/>
            </w:pPr>
            <w:r>
              <w:t xml:space="preserve">Creator community with before/after sharing + challenges</w:t>
            </w:r>
          </w:p>
        </w:tc>
        <w:tc>
          <w:tcPr/>
          <w:p>
            <w:pPr>
              <w:pStyle w:val="Compact"/>
              <w:jc w:val="left"/>
            </w:pPr>
            <w:r>
              <w:t xml:space="preserve">Network effects increase switching costs</w:t>
            </w:r>
          </w:p>
        </w:tc>
      </w:tr>
      <w:tr>
        <w:tc>
          <w:tcPr/>
          <w:p>
            <w:pPr>
              <w:pStyle w:val="Compact"/>
              <w:jc w:val="left"/>
            </w:pPr>
            <w:r>
              <w:rPr>
                <w:bCs/>
                <w:b/>
              </w:rPr>
              <w:t xml:space="preserve">AI Integration</w:t>
            </w:r>
          </w:p>
        </w:tc>
        <w:tc>
          <w:tcPr/>
          <w:p>
            <w:pPr>
              <w:pStyle w:val="Compact"/>
              <w:jc w:val="left"/>
            </w:pPr>
            <w:r>
              <w:t xml:space="preserve">Static presets with no adaptation</w:t>
            </w:r>
          </w:p>
        </w:tc>
        <w:tc>
          <w:tcPr/>
          <w:p>
            <w:pPr>
              <w:pStyle w:val="Compact"/>
              <w:jc w:val="left"/>
            </w:pPr>
            <w:r>
              <w:t xml:space="preserve">Personalized recommendations + intelligent matching</w:t>
            </w:r>
          </w:p>
        </w:tc>
        <w:tc>
          <w:tcPr/>
          <w:p>
            <w:pPr>
              <w:pStyle w:val="Compact"/>
              <w:jc w:val="left"/>
            </w:pPr>
            <w:r>
              <w:t xml:space="preserve">Addresses</w:t>
            </w:r>
            <w:r>
              <w:t xml:space="preserve"> </w:t>
            </w:r>
            <w:r>
              <w:t xml:space="preserve">“</w:t>
            </w:r>
            <w:r>
              <w:t xml:space="preserve">paradox of choice</w:t>
            </w:r>
            <w:r>
              <w:t xml:space="preserve">”</w:t>
            </w:r>
            <w:r>
              <w:t xml:space="preserve">; fewer, better options</w:t>
            </w:r>
            <w:r>
              <w:t xml:space="preserve"> </w:t>
            </w:r>
            <w:r>
              <w:rPr>
                <w:vertAlign w:val="superscript"/>
              </w:rPr>
              <w:t xml:space="preserve">74</w:t>
            </w:r>
          </w:p>
        </w:tc>
      </w:tr>
      <w:tr>
        <w:tc>
          <w:tcPr/>
          <w:p>
            <w:pPr>
              <w:pStyle w:val="Compact"/>
              <w:jc w:val="left"/>
            </w:pPr>
            <w:r>
              <w:rPr>
                <w:bCs/>
                <w:b/>
              </w:rPr>
              <w:t xml:space="preserve">Film Accuracy</w:t>
            </w:r>
          </w:p>
        </w:tc>
        <w:tc>
          <w:tcPr/>
          <w:p>
            <w:pPr>
              <w:pStyle w:val="Compact"/>
              <w:jc w:val="left"/>
            </w:pPr>
            <w:r>
              <w:t xml:space="preserve">Approximation-based (most consumer LUTs)</w:t>
            </w:r>
          </w:p>
        </w:tc>
        <w:tc>
          <w:tcPr/>
          <w:p>
            <w:pPr>
              <w:pStyle w:val="Compact"/>
              <w:jc w:val="left"/>
            </w:pPr>
            <w:r>
              <w:t xml:space="preserve">Scan-verified emulations with documented CIEDE2000 accuracy</w:t>
            </w:r>
          </w:p>
        </w:tc>
        <w:tc>
          <w:tcPr/>
          <w:p>
            <w:pPr>
              <w:pStyle w:val="Compact"/>
              <w:jc w:val="left"/>
            </w:pPr>
            <w:r>
              <w:t xml:space="preserve">Commands</w:t>
            </w:r>
            <w:r>
              <w:t xml:space="preserve"> </w:t>
            </w:r>
            <w:r>
              <w:t xml:space="preserve">“</w:t>
            </w:r>
            <w:r>
              <w:t xml:space="preserve">prosumer chasm</w:t>
            </w:r>
            <w:r>
              <w:t xml:space="preserve">”</w:t>
            </w:r>
            <w:r>
              <w:t xml:space="preserve"> </w:t>
            </w:r>
            <w:r>
              <w:t xml:space="preserve">pricing at $89–$129</w:t>
            </w:r>
            <w:r>
              <w:t xml:space="preserve"> </w:t>
            </w:r>
            <w:r>
              <w:rPr>
                <w:vertAlign w:val="superscript"/>
              </w:rPr>
              <w:t xml:space="preserve">11</w:t>
            </w:r>
          </w:p>
        </w:tc>
      </w:tr>
    </w:tbl>
    <w:p>
      <w:pPr>
        <w:pStyle w:val="BodyText"/>
      </w:pPr>
      <w:r>
        <w:t xml:space="preserve">The differentiation matrix reveals that CINEGRADE LAB is not competing with any single incumbent on their home turf. It is competing with the</w:t>
      </w:r>
      <w:r>
        <w:t xml:space="preserve"> </w:t>
      </w:r>
      <w:r>
        <w:rPr>
          <w:iCs/>
          <w:i/>
        </w:rPr>
        <w:t xml:space="preserve">fragmentation</w:t>
      </w:r>
      <w:r>
        <w:t xml:space="preserve"> </w:t>
      </w:r>
      <w:r>
        <w:t xml:space="preserve">of the current market — the reality that a creator today needs Mastin Labs for photography, Dehancer for grain, Gamut for camera matching, YouTube for learning, and multiple marketplaces for discovery. Each incumbent has optimized for one dimension; none has built the integrated experience the modern creator demands.</w:t>
      </w:r>
    </w:p>
    <w:p>
      <w:pPr>
        <w:pStyle w:val="BodyText"/>
      </w:pPr>
      <w:r>
        <w:t xml:space="preserve">The market is segmenting rather than shrinking</w:t>
      </w:r>
      <w:r>
        <w:t xml:space="preserve"> </w:t>
      </w:r>
      <w:r>
        <w:rPr>
          <w:vertAlign w:val="superscript"/>
        </w:rPr>
        <w:t xml:space="preserve">63</w:t>
      </w:r>
      <w:r>
        <w:t xml:space="preserve">. High-volume professionals are shifting to AI tools (68% adoption rate</w:t>
      </w:r>
      <w:r>
        <w:t xml:space="preserve"> </w:t>
      </w:r>
      <w:r>
        <w:rPr>
          <w:vertAlign w:val="superscript"/>
        </w:rPr>
        <w:t xml:space="preserve">48</w:t>
      </w:r>
      <w:r>
        <w:t xml:space="preserve">), but the creator/enthusiast segment is growing and wants curated tools for simplicity, portability, and aesthetic inspiration. CINEGRADE LAB’s positioning captures the</w:t>
      </w:r>
      <w:r>
        <w:t xml:space="preserve"> </w:t>
      </w:r>
      <w:r>
        <w:t xml:space="preserve">“</w:t>
      </w:r>
      <w:r>
        <w:t xml:space="preserve">prosumer chasm</w:t>
      </w:r>
      <w:r>
        <w:t xml:space="preserve">”</w:t>
      </w:r>
      <w:r>
        <w:t xml:space="preserve"> </w:t>
      </w:r>
      <w:r>
        <w:t xml:space="preserve">— the $75–$150 tier where scientifically accurate but accessible film emulation has no dominant player</w:t>
      </w:r>
      <w:r>
        <w:t xml:space="preserve"> </w:t>
      </w:r>
      <w:r>
        <w:rPr>
          <w:vertAlign w:val="superscript"/>
        </w:rPr>
        <w:t xml:space="preserve">11</w:t>
      </w:r>
      <w:r>
        <w:t xml:space="preserve">.</w:t>
      </w:r>
    </w:p>
    <w:p>
      <w:pPr>
        <w:pStyle w:val="BodyText"/>
      </w:pPr>
      <w:r>
        <w:t xml:space="preserve">The forward-looking risk is AI commoditization. Research from 2024–2025 (L-Diffuser, LoR-LUT, GLUT) demonstrates that neural networks can generate high-quality LUTs from text prompts</w:t>
      </w:r>
      <w:r>
        <w:t xml:space="preserve"> </w:t>
      </w:r>
      <w:r>
        <w:rPr>
          <w:vertAlign w:val="superscript"/>
        </w:rPr>
        <w:t xml:space="preserve">75</w:t>
      </w:r>
      <w:r>
        <w:t xml:space="preserve">. Runway’s</w:t>
      </w:r>
      <w:r>
        <w:t xml:space="preserve"> </w:t>
      </w:r>
      <w:r>
        <w:t xml:space="preserve">“</w:t>
      </w:r>
      <w:r>
        <w:t xml:space="preserve">Text to Color LUT</w:t>
      </w:r>
      <w:r>
        <w:t xml:space="preserve">”</w:t>
      </w:r>
      <w:r>
        <w:t xml:space="preserve"> </w:t>
      </w:r>
      <w:r>
        <w:t xml:space="preserve">already allows describing a look and receiving a generated .cube file</w:t>
      </w:r>
      <w:r>
        <w:t xml:space="preserve"> </w:t>
      </w:r>
      <w:r>
        <w:rPr>
          <w:vertAlign w:val="superscript"/>
        </w:rPr>
        <w:t xml:space="preserve">9</w:t>
      </w:r>
      <w:r>
        <w:t xml:space="preserve">. Within an estimated three-year horizon, AI will commoditize generic LUT creation for non-professional use. CINEGRADE LAB’s defense lies in dimensions AI cannot replicate: proprietary film scan databases,</w:t>
      </w:r>
      <w:r>
        <w:t xml:space="preserve"> </w:t>
      </w:r>
      <w:r>
        <w:t xml:space="preserve">“</w:t>
      </w:r>
      <w:r>
        <w:t xml:space="preserve">Colorist Verified</w:t>
      </w:r>
      <w:r>
        <w:t xml:space="preserve">”</w:t>
      </w:r>
      <w:r>
        <w:t xml:space="preserve"> </w:t>
      </w:r>
      <w:r>
        <w:t xml:space="preserve">certification, community-driven curation, and education-first brand trust. The platform does not sell LUTs; it sells curated, verified, community-validated color decisions — a proposition that becomes more valuable as AI floods the market with unverified generic outputs.</w:t>
      </w:r>
      <w:r>
        <w:t xml:space="preserve"> </w:t>
      </w:r>
      <w:r>
        <w:t xml:space="preserve">-e</w:t>
      </w:r>
    </w:p>
    <w:p>
      <w:r>
        <w:pict>
          <v:rect style="width:0;height:1.5pt" o:hralign="center" o:hrstd="t" o:hr="t"/>
        </w:pict>
      </w:r>
    </w:p>
    <w:bookmarkEnd w:id="182"/>
    <w:bookmarkEnd w:id="183"/>
    <w:bookmarkEnd w:id="184"/>
    <w:bookmarkStart w:id="197" w:name="scalability-security-future-roadmap"/>
    <w:p>
      <w:pPr>
        <w:pStyle w:val="Heading2"/>
      </w:pPr>
      <w:r>
        <w:t xml:space="preserve">11. Scalability, Security &amp; Future Roadmap</w:t>
      </w:r>
    </w:p>
    <w:p>
      <w:pPr>
        <w:pStyle w:val="FirstParagraph"/>
      </w:pPr>
      <w:r>
        <w:t xml:space="preserve">The transition from a boutique LUT publisher to a multi-platform color science ecosystem imposes architectural demands that are not visible in the early product stage but become existential as user scale crosses the 100,000-active threshold. CINEGRADE LAB’s technical foundation, security posture, and product trajectory must be designed for a projected 18-month growth curve that spans mobile deployment, real-time cloud synchronization, and AI-native color generation. This chapter maps the engineering architecture, content-protection framework, and phased development roadmap required to execute that expansion without compromising the precision-first brand positioning established in preceding chapters.</w:t>
      </w:r>
    </w:p>
    <w:bookmarkStart w:id="188" w:name="technical-scalability"/>
    <w:p>
      <w:pPr>
        <w:pStyle w:val="Heading3"/>
      </w:pPr>
      <w:r>
        <w:t xml:space="preserve">11.1 Technical Scalability</w:t>
      </w:r>
    </w:p>
    <w:p>
      <w:pPr>
        <w:pStyle w:val="FirstParagraph"/>
      </w:pPr>
      <w:r>
        <w:t xml:space="preserve">The CINEGRADE LAB platform separates into three architectural layers — frontend delivery, backend services, and AI microservices — each with distinct scaling characteristics. Decoupling these layers from day one prevents the performance bottlenecks that typically afflict monolithic creative applications when user concurrency exceeds single-server capacity.</w:t>
      </w:r>
    </w:p>
    <w:bookmarkStart w:id="185" w:name="X520c14f440b9daf69a49a183c59b8373df1e11d"/>
    <w:p>
      <w:pPr>
        <w:pStyle w:val="Heading4"/>
      </w:pPr>
      <w:r>
        <w:t xml:space="preserve">11.1.1 Frontend: Vite-Based Static Build, CDN-Deployed, Edge-Cached Assets</w:t>
      </w:r>
    </w:p>
    <w:p>
      <w:pPr>
        <w:pStyle w:val="FirstParagraph"/>
      </w:pPr>
      <w:r>
        <w:t xml:space="preserve">The client-facing storefront and web-based LUT preview tool are built as a static single-page application using Vite 6. Vite’s native ES module architecture delivers development server cold-start times of under one second for large applications — compared with 5–10 seconds under Webpack 5 — and hot module replacement completes in under 50 milliseconds regardless of application size</w:t>
      </w:r>
      <w:r>
        <w:t xml:space="preserve"> </w:t>
      </w:r>
      <w:r>
        <w:rPr>
          <w:vertAlign w:val="superscript"/>
        </w:rPr>
        <w:t xml:space="preserve">123</w:t>
      </w:r>
      <w:r>
        <w:t xml:space="preserve">. Production builds via Rollup produce output approximately 13% smaller than equivalent Webpack builds (~130 KB gzipped versus ~150 KB) and complete in 2–7 seconds versus Webpack’s 11–24 seconds</w:t>
      </w:r>
      <w:r>
        <w:t xml:space="preserve"> </w:t>
      </w:r>
      <w:r>
        <w:rPr>
          <w:vertAlign w:val="superscript"/>
        </w:rPr>
        <w:t xml:space="preserve">123</w:t>
      </w:r>
      <w:r>
        <w:t xml:space="preserve">. For a team running 500 production builds monthly, this translates to $200–$800 in direct CI/CD compute savings</w:t>
      </w:r>
      <w:r>
        <w:t xml:space="preserve"> </w:t>
      </w:r>
      <w:r>
        <w:rPr>
          <w:vertAlign w:val="superscript"/>
        </w:rPr>
        <w:t xml:space="preserve">123</w:t>
      </w:r>
      <w:r>
        <w:t xml:space="preserve">.</w:t>
      </w:r>
    </w:p>
    <w:p>
      <w:pPr>
        <w:pStyle w:val="BodyText"/>
      </w:pPr>
      <w:r>
        <w:t xml:space="preserve">Static assets — including the WebGL-based LUT preview engine and 65×65×65 precision cube files — deploy to a multi-region CDN with edge caching, ensuring sub-100-millisecond asset delivery worldwide. The preview engine runs entirely client-side using GPU-accelerated fragment shaders, scaling horizontally at near-zero marginal infrastructure cost.</w:t>
      </w:r>
    </w:p>
    <w:bookmarkEnd w:id="185"/>
    <w:bookmarkStart w:id="186" w:name="X00ddb9213d8963d0abed23ff55f6f150e92caad"/>
    <w:p>
      <w:pPr>
        <w:pStyle w:val="Heading4"/>
      </w:pPr>
      <w:r>
        <w:t xml:space="preserve">11.1.2 Future Backend: Node.js + PostgreSQL + Prisma for User Data and Preset Metadata</w:t>
      </w:r>
    </w:p>
    <w:p>
      <w:pPr>
        <w:pStyle w:val="FirstParagraph"/>
      </w:pPr>
      <w:r>
        <w:t xml:space="preserve">User accounts, purchase records, preset metadata, and activation state are handled by a Node.js API layer communicating with PostgreSQL 17 through the Prisma ORM. PostgreSQL 17’s read-replica architecture supports horizontal scaling to approximately 100,000 IOPS for read-heavy workloads</w:t>
      </w:r>
      <w:r>
        <w:t xml:space="preserve"> </w:t>
      </w:r>
      <w:r>
        <w:rPr>
          <w:vertAlign w:val="superscript"/>
        </w:rPr>
        <w:t xml:space="preserve">124</w:t>
      </w:r>
      <w:r>
        <w:t xml:space="preserve">. Linear read scaling holds through four replicas; a fifth adds only 8% throughput due to WAL sender saturation. WAL compression reduces bandwidth by 42%, enabling six-replica deployments with an 18% IOPS improvement</w:t>
      </w:r>
      <w:r>
        <w:t xml:space="preserve"> </w:t>
      </w:r>
      <w:r>
        <w:rPr>
          <w:vertAlign w:val="superscript"/>
        </w:rPr>
        <w:t xml:space="preserve">124</w:t>
      </w:r>
      <w:r>
        <w:t xml:space="preserve">. For CINEGRADE LAB’s read-dominated traffic pattern — estimated at 20:1 reads versus writes — this architecture supports a user base in the low millions without sharding.</w:t>
      </w:r>
    </w:p>
    <w:bookmarkEnd w:id="186"/>
    <w:bookmarkStart w:id="187" w:name="X00b0c304e1e660087c941e2a9e79560fb7dec25"/>
    <w:p>
      <w:pPr>
        <w:pStyle w:val="Heading4"/>
      </w:pPr>
      <w:r>
        <w:t xml:space="preserve">11.1.3 AI Microservices: Python + OpenCV + GPU-Accelerated Color Analysis</w:t>
      </w:r>
    </w:p>
    <w:p>
      <w:pPr>
        <w:pStyle w:val="FirstParagraph"/>
      </w:pPr>
      <w:r>
        <w:t xml:space="preserve">The color science engine operates as a separate microservice tier written in Python and accelerated through OpenCL/CUDA bindings. GPU acceleration achieves at least a 5× performance increase over CPU processing for real-time LUT application</w:t>
      </w:r>
      <w:r>
        <w:t xml:space="preserve"> </w:t>
      </w:r>
      <w:r>
        <w:rPr>
          <w:vertAlign w:val="superscript"/>
        </w:rPr>
        <w:t xml:space="preserve">103</w:t>
      </w:r>
      <w:r>
        <w:t xml:space="preserve">. NVIDIA RTX 50-series GPUs extend this further, supporting 5× simultaneous 8K30 or 20× 4K30 video streams on a single RTX 5090</w:t>
      </w:r>
      <w:r>
        <w:t xml:space="preserve"> </w:t>
      </w:r>
      <w:r>
        <w:rPr>
          <w:vertAlign w:val="superscript"/>
        </w:rPr>
        <w:t xml:space="preserve">90</w:t>
      </w:r>
      <w:r>
        <w:t xml:space="preserve">. The tier follows a stateless design: requests carry input data, parameters, and authentication; the service returns a generated LUT or cloud storage reference. Queue-based job scheduling ensures heavy workloads — such as AI LUT generation using diffusion models trained on 33,000 clips from 3,600 professionally graded films</w:t>
      </w:r>
      <w:r>
        <w:t xml:space="preserve"> </w:t>
      </w:r>
      <w:r>
        <w:rPr>
          <w:vertAlign w:val="superscript"/>
        </w:rPr>
        <w:t xml:space="preserve">88</w:t>
      </w:r>
      <w:r>
        <w:t xml:space="preserve">— do not block real-time preview requests.</w:t>
      </w:r>
    </w:p>
    <w:p>
      <w:pPr>
        <w:pStyle w:val="BodyText"/>
      </w:pPr>
      <w:r>
        <w:t xml:space="preserve">The following table summarizes the three-layer architecture.</w:t>
      </w:r>
    </w:p>
    <w:tbl>
      <w:tblPr>
        <w:tblStyle w:val="Table"/>
        <w:tblW w:type="pct" w:w="5000"/>
        <w:tblLook w:firstRow="1" w:lastRow="0" w:firstColumn="0" w:lastColumn="0" w:noHBand="0" w:noVBand="0" w:val="0020"/>
      </w:tblPr>
      <w:tblGrid>
        <w:gridCol w:w="852"/>
        <w:gridCol w:w="2071"/>
        <w:gridCol w:w="2315"/>
        <w:gridCol w:w="2680"/>
      </w:tblGrid>
      <w:tr>
        <w:trPr>
          <w:tblHeader w:val="true"/>
        </w:trPr>
        <w:tc>
          <w:tcPr/>
          <w:p>
            <w:pPr>
              <w:pStyle w:val="Compact"/>
              <w:jc w:val="left"/>
            </w:pPr>
            <w:r>
              <w:t xml:space="preserve">Layer</w:t>
            </w:r>
          </w:p>
        </w:tc>
        <w:tc>
          <w:tcPr/>
          <w:p>
            <w:pPr>
              <w:pStyle w:val="Compact"/>
              <w:jc w:val="left"/>
            </w:pPr>
            <w:r>
              <w:t xml:space="preserve">Technology Stack</w:t>
            </w:r>
          </w:p>
        </w:tc>
        <w:tc>
          <w:tcPr/>
          <w:p>
            <w:pPr>
              <w:pStyle w:val="Compact"/>
              <w:jc w:val="left"/>
            </w:pPr>
            <w:r>
              <w:t xml:space="preserve">Scaling Mechanism</w:t>
            </w:r>
          </w:p>
        </w:tc>
        <w:tc>
          <w:tcPr/>
          <w:p>
            <w:pPr>
              <w:pStyle w:val="Compact"/>
              <w:jc w:val="left"/>
            </w:pPr>
            <w:r>
              <w:t xml:space="preserve">Key Performance Metric</w:t>
            </w:r>
          </w:p>
        </w:tc>
      </w:tr>
      <w:tr>
        <w:tc>
          <w:tcPr/>
          <w:p>
            <w:pPr>
              <w:pStyle w:val="Compact"/>
              <w:jc w:val="left"/>
            </w:pPr>
            <w:r>
              <w:t xml:space="preserve">Frontend</w:t>
            </w:r>
          </w:p>
        </w:tc>
        <w:tc>
          <w:tcPr/>
          <w:p>
            <w:pPr>
              <w:pStyle w:val="Compact"/>
              <w:jc w:val="left"/>
            </w:pPr>
            <w:r>
              <w:t xml:space="preserve">Vite 6 + Rollup, WebGL preview, SPA</w:t>
            </w:r>
          </w:p>
        </w:tc>
        <w:tc>
          <w:tcPr/>
          <w:p>
            <w:pPr>
              <w:pStyle w:val="Compact"/>
              <w:jc w:val="left"/>
            </w:pPr>
            <w:r>
              <w:t xml:space="preserve">Multi-region CDN, edge caching</w:t>
            </w:r>
          </w:p>
        </w:tc>
        <w:tc>
          <w:tcPr/>
          <w:p>
            <w:pPr>
              <w:pStyle w:val="Compact"/>
              <w:jc w:val="left"/>
            </w:pPr>
            <w:r>
              <w:t xml:space="preserve">&lt;50 ms HMR; ~130 KB gzipped bundles</w:t>
            </w:r>
            <w:r>
              <w:t xml:space="preserve"> </w:t>
            </w:r>
            <w:r>
              <w:rPr>
                <w:vertAlign w:val="superscript"/>
              </w:rPr>
              <w:t xml:space="preserve">123</w:t>
            </w:r>
          </w:p>
        </w:tc>
      </w:tr>
      <w:tr>
        <w:tc>
          <w:tcPr/>
          <w:p>
            <w:pPr>
              <w:pStyle w:val="Compact"/>
              <w:jc w:val="left"/>
            </w:pPr>
            <w:r>
              <w:t xml:space="preserve">Backend</w:t>
            </w:r>
          </w:p>
        </w:tc>
        <w:tc>
          <w:tcPr/>
          <w:p>
            <w:pPr>
              <w:pStyle w:val="Compact"/>
              <w:jc w:val="left"/>
            </w:pPr>
            <w:r>
              <w:t xml:space="preserve">Node.js + PostgreSQL 17 + Prisma</w:t>
            </w:r>
          </w:p>
        </w:tc>
        <w:tc>
          <w:tcPr/>
          <w:p>
            <w:pPr>
              <w:pStyle w:val="Compact"/>
              <w:jc w:val="left"/>
            </w:pPr>
            <w:r>
              <w:t xml:space="preserve">Read replicas (4–6), WAL compression</w:t>
            </w:r>
          </w:p>
        </w:tc>
        <w:tc>
          <w:tcPr/>
          <w:p>
            <w:pPr>
              <w:pStyle w:val="Compact"/>
              <w:jc w:val="left"/>
            </w:pPr>
            <w:r>
              <w:t xml:space="preserve">100,000+ IOPS; &lt;0.8 ms write latency overhead</w:t>
            </w:r>
            <w:r>
              <w:t xml:space="preserve"> </w:t>
            </w:r>
            <w:r>
              <w:rPr>
                <w:vertAlign w:val="superscript"/>
              </w:rPr>
              <w:t xml:space="preserve">124</w:t>
            </w:r>
          </w:p>
        </w:tc>
      </w:tr>
      <w:tr>
        <w:tc>
          <w:tcPr/>
          <w:p>
            <w:pPr>
              <w:pStyle w:val="Compact"/>
              <w:jc w:val="left"/>
            </w:pPr>
            <w:r>
              <w:t xml:space="preserve">AI Microservices</w:t>
            </w:r>
          </w:p>
        </w:tc>
        <w:tc>
          <w:tcPr/>
          <w:p>
            <w:pPr>
              <w:pStyle w:val="Compact"/>
              <w:jc w:val="left"/>
            </w:pPr>
            <w:r>
              <w:t xml:space="preserve">Python + OpenCV + CUDA/OpenCL</w:t>
            </w:r>
          </w:p>
        </w:tc>
        <w:tc>
          <w:tcPr/>
          <w:p>
            <w:pPr>
              <w:pStyle w:val="Compact"/>
              <w:jc w:val="left"/>
            </w:pPr>
            <w:r>
              <w:t xml:space="preserve">GPU cluster horizontal scaling, job queues</w:t>
            </w:r>
          </w:p>
        </w:tc>
        <w:tc>
          <w:tcPr/>
          <w:p>
            <w:pPr>
              <w:pStyle w:val="Compact"/>
              <w:jc w:val="left"/>
            </w:pPr>
            <w:r>
              <w:t xml:space="preserve">5× throughput vs. CPU; 20× 4K30 streams on RTX 5090</w:t>
            </w:r>
            <w:r>
              <w:t xml:space="preserve"> </w:t>
            </w:r>
            <w:r>
              <w:rPr>
                <w:vertAlign w:val="superscript"/>
              </w:rPr>
              <w:t xml:space="preserve">103</w:t>
            </w:r>
            <w:r>
              <w:t xml:space="preserve"> </w:t>
            </w:r>
            <w:r>
              <w:rPr>
                <w:vertAlign w:val="superscript"/>
              </w:rPr>
              <w:t xml:space="preserve">90</w:t>
            </w:r>
          </w:p>
        </w:tc>
      </w:tr>
    </w:tbl>
    <w:p>
      <w:pPr>
        <w:pStyle w:val="BodyText"/>
      </w:pPr>
      <w:r>
        <w:t xml:space="preserve">The separation of concerns between these layers ensures that no single bottleneck can cascade across the system. Elevated latency in the AI tier — for instance, a surge in neural LUT generation requests — does not affect catalog browsing or purchases because the frontend and backend operate independently.</w:t>
      </w:r>
    </w:p>
    <w:bookmarkEnd w:id="187"/>
    <w:bookmarkEnd w:id="188"/>
    <w:bookmarkStart w:id="192" w:name="security-considerations"/>
    <w:p>
      <w:pPr>
        <w:pStyle w:val="Heading3"/>
      </w:pPr>
      <w:r>
        <w:t xml:space="preserve">11.2 Security Considerations</w:t>
      </w:r>
    </w:p>
    <w:p>
      <w:pPr>
        <w:pStyle w:val="FirstParagraph"/>
      </w:pPr>
      <w:r>
        <w:t xml:space="preserve">Digital content products face security challenges that physical goods do not: infinite reproducibility at zero marginal cost, difficulty in proving provenance, and ease of license circumvention through offline distribution. CINEGRADE LAB addresses these risks through a three-pillar framework covering asset protection, license verification, and content authenticity.</w:t>
      </w:r>
    </w:p>
    <w:bookmarkStart w:id="189" w:name="X0418bafefbd2810e539ab273b0b990c05ae4c29"/>
    <w:p>
      <w:pPr>
        <w:pStyle w:val="Heading4"/>
      </w:pPr>
      <w:r>
        <w:t xml:space="preserve">11.2.1 Asset Protection: Signed URLs for Premium Preset Downloads</w:t>
      </w:r>
    </w:p>
    <w:p>
      <w:pPr>
        <w:pStyle w:val="FirstParagraph"/>
      </w:pPr>
      <w:r>
        <w:t xml:space="preserve">Premium LUT files are never exposed through publicly accessible URLs. The platform generates time-limited signed URLs at the moment of download, typically valid for 15 minutes and bound to the authenticated user’s session. This prevents direct linking, bulk scraping, and redistribution through leaked URLs. The Node.js API validates the purchase record before generating the cryptographic signature; the CDN edge node verifies the signature before serving the asset. Each signed URL is unique to the user and request, rendering replay attacks ineffective.</w:t>
      </w:r>
    </w:p>
    <w:bookmarkEnd w:id="189"/>
    <w:bookmarkStart w:id="190" w:name="X9c0f355c1e4375b66d4c307dc2baac2a0a0cc32"/>
    <w:p>
      <w:pPr>
        <w:pStyle w:val="Heading4"/>
      </w:pPr>
      <w:r>
        <w:t xml:space="preserve">11.2.2 License Verification: Server-Side Activation for Studio Tier</w:t>
      </w:r>
    </w:p>
    <w:p>
      <w:pPr>
        <w:pStyle w:val="FirstParagraph"/>
      </w:pPr>
      <w:r>
        <w:t xml:space="preserve">The Studio tier implements server-side license verification with periodic re-authentication. Each license key binds to a unique hardware fingerprint at first activation. The client contacts the license server on launch and at 7-day intervals, exchanging an encrypted token confirming the license remains valid and within its seat count. Exceeding the concurrent activation limit or exhibiting suspicious geographic patterns triggers a grace period with escalation to human review. Offline use is supported for up to 30 days through cached tokens.</w:t>
      </w:r>
    </w:p>
    <w:bookmarkEnd w:id="190"/>
    <w:bookmarkStart w:id="191" w:name="Xc0d226629c0799222a8ae72067e1f790e1c51eb"/>
    <w:p>
      <w:pPr>
        <w:pStyle w:val="Heading4"/>
      </w:pPr>
      <w:r>
        <w:t xml:space="preserve">11.2.3 Content Authenticity: Watermarking and Fingerprinting for Creator Marketplace</w:t>
      </w:r>
    </w:p>
    <w:p>
      <w:pPr>
        <w:pStyle w:val="FirstParagraph"/>
      </w:pPr>
      <w:r>
        <w:t xml:space="preserve">The planned creator marketplace introduces a provenance challenge: buyers must trust that purchased LUTs are original creator work, not renamed redistributions. The platform addresses this through invisible watermarking embedded at upload. The global digital watermarking market, valued at $2.01 billion in 2024 and projected to reach $6.01 billion by 2032 at a CAGR of 14.7%, reflects broad industry recognition of content authentication as critical infrastructure</w:t>
      </w:r>
      <w:r>
        <w:t xml:space="preserve"> </w:t>
      </w:r>
      <w:r>
        <w:rPr>
          <w:vertAlign w:val="superscript"/>
        </w:rPr>
        <w:t xml:space="preserve">125</w:t>
      </w:r>
      <w:r>
        <w:t xml:space="preserve">. Invisible watermarking accounts for 63.6% of market revenue, driven by demand for forensic traceability without visual compromise</w:t>
      </w:r>
      <w:r>
        <w:t xml:space="preserve"> </w:t>
      </w:r>
      <w:r>
        <w:rPr>
          <w:vertAlign w:val="superscript"/>
        </w:rPr>
        <w:t xml:space="preserve">125</w:t>
      </w:r>
      <w:r>
        <w:t xml:space="preserve">.</w:t>
      </w:r>
    </w:p>
    <w:p>
      <w:pPr>
        <w:pStyle w:val="BodyText"/>
      </w:pPr>
      <w:r>
        <w:t xml:space="preserve">Each uploaded LUT receives a unique watermark encoding the creator identity, upload timestamp, and platform signature — surviving format conversion and extractable even after renaming or light modification. Buyers receive a tamper-evident</w:t>
      </w:r>
      <w:r>
        <w:t xml:space="preserve"> </w:t>
      </w:r>
      <w:r>
        <w:t xml:space="preserve">“</w:t>
      </w:r>
      <w:r>
        <w:t xml:space="preserve">Content Credential</w:t>
      </w:r>
      <w:r>
        <w:t xml:space="preserve">”</w:t>
      </w:r>
      <w:r>
        <w:t xml:space="preserve"> </w:t>
      </w:r>
      <w:r>
        <w:t xml:space="preserve">certificate of authenticity with each purchase. The legal context reinforces this investment: at least 16 lawsuits have been filed against AI companies over training data copyright infringement, with the Anthropic settlement establishing a precedent of approximately $3,000 per title in compensation</w:t>
      </w:r>
      <w:r>
        <w:t xml:space="preserve"> </w:t>
      </w:r>
      <w:r>
        <w:rPr>
          <w:vertAlign w:val="superscript"/>
        </w:rPr>
        <w:t xml:space="preserve">126</w:t>
      </w:r>
      <w:r>
        <w:t xml:space="preserve"> </w:t>
      </w:r>
      <w:r>
        <w:rPr>
          <w:vertAlign w:val="superscript"/>
        </w:rPr>
        <w:t xml:space="preserve">127</w:t>
      </w:r>
      <w:r>
        <w:t xml:space="preserve">. Watermarking infrastructure ensures that if AI models are trained on marketplace content without authorization, the provenance chain provides enforceable evidence.</w:t>
      </w:r>
    </w:p>
    <w:bookmarkEnd w:id="191"/>
    <w:bookmarkEnd w:id="192"/>
    <w:bookmarkStart w:id="196" w:name="month-product-roadmap"/>
    <w:p>
      <w:pPr>
        <w:pStyle w:val="Heading3"/>
      </w:pPr>
      <w:r>
        <w:t xml:space="preserve">11.3 18-Month Product Roadmap</w:t>
      </w:r>
    </w:p>
    <w:p>
      <w:pPr>
        <w:pStyle w:val="FirstParagraph"/>
      </w:pPr>
      <w:r>
        <w:t xml:space="preserve">The roadmap spans six quarters organized into three phases: platform expansion (Q1–Q2), collaborative workflow (Q3–Q4), and AI-native color generation (Q5–Q6). Each phase builds upon the preceding, creating compounding value rather than isolated feature releases.</w:t>
      </w:r>
    </w:p>
    <w:bookmarkStart w:id="193" w:name="Xde380edff21c5db445871f27a17bb2717321567"/>
    <w:p>
      <w:pPr>
        <w:pStyle w:val="Heading4"/>
      </w:pPr>
      <w:r>
        <w:t xml:space="preserve">11.3.1 Q1–Q2: Mobile App, Desktop App, and Plugin Architecture</w:t>
      </w:r>
    </w:p>
    <w:p>
      <w:pPr>
        <w:pStyle w:val="FirstParagraph"/>
      </w:pPr>
      <w:r>
        <w:t xml:space="preserve">The first six months extend CINEGRADE LAB from the browser into environments where creators work. A React Native mobile application delivers LUT preview and lightweight application for iOS and Android, targeting the majority of professionals who conduct at least preliminary color work on mobile devices</w:t>
      </w:r>
      <w:r>
        <w:t xml:space="preserve"> </w:t>
      </w:r>
      <w:r>
        <w:rPr>
          <w:vertAlign w:val="superscript"/>
        </w:rPr>
        <w:t xml:space="preserve">95</w:t>
      </w:r>
      <w:r>
        <w:t xml:space="preserve">. React Native’s near-native performance — approximately 50 MB memory footprint versus Electron’s 150 MB — makes it appropriate for mobile resource constraints</w:t>
      </w:r>
      <w:r>
        <w:t xml:space="preserve"> </w:t>
      </w:r>
      <w:r>
        <w:rPr>
          <w:vertAlign w:val="superscript"/>
        </w:rPr>
        <w:t xml:space="preserve">128</w:t>
      </w:r>
      <w:r>
        <w:t xml:space="preserve">.</w:t>
      </w:r>
    </w:p>
    <w:p>
      <w:pPr>
        <w:pStyle w:val="BodyText"/>
      </w:pPr>
      <w:r>
        <w:t xml:space="preserve">The desktop application, built using Electron or Tauri, provides native file system access for batch LUT application and offline license verification. The plugin architecture — simultaneously developed for DaVinci Resolve (OFX/DCTL), Adobe Premiere Pro (CEP/UXP), and Final Cut Pro (FxPlug) — embeds CINEGRADE LAB directly into professional editing workflows. Plugin development is the highest-priority deliverable: Colourlab.ai’s native integration with all three major NLEs, achieving real-time 4K and 8K processing, demonstrates that workflow integration is the dominant adoption driver for professional color tools</w:t>
      </w:r>
      <w:r>
        <w:t xml:space="preserve"> </w:t>
      </w:r>
      <w:r>
        <w:rPr>
          <w:vertAlign w:val="superscript"/>
        </w:rPr>
        <w:t xml:space="preserve">89</w:t>
      </w:r>
      <w:r>
        <w:t xml:space="preserve"> </w:t>
      </w:r>
      <w:r>
        <w:rPr>
          <w:vertAlign w:val="superscript"/>
        </w:rPr>
        <w:t xml:space="preserve">129</w:t>
      </w:r>
      <w:r>
        <w:t xml:space="preserve">.</w:t>
      </w:r>
    </w:p>
    <w:bookmarkEnd w:id="193"/>
    <w:bookmarkStart w:id="194" w:name="X308a693aece507f2f396c2fa66e64e504422117"/>
    <w:p>
      <w:pPr>
        <w:pStyle w:val="Heading4"/>
      </w:pPr>
      <w:r>
        <w:t xml:space="preserve">11.3.2 Q3–Q4: Real-Time Cloud Sync, Team Collaboration, and Version History</w:t>
      </w:r>
    </w:p>
    <w:p>
      <w:pPr>
        <w:pStyle w:val="FirstParagraph"/>
      </w:pPr>
      <w:r>
        <w:t xml:space="preserve">The second six months introduce server-mediated features that transform the product into a platform. Real-time cloud synchronization — via WebSocket connections to the Node.js backend — ensures LUT libraries and custom presets are accessible across all devices without manual export cycles. Team collaboration features extend this to multi-user environments: Studio-tier subscribers create shared workspace libraries where members contribute, annotate, and approve LUTs before production deployment. Version history — powered by PostgreSQL temporal table extensions — maintains an immutable audit trail enabling rollback and enterprise content governance compliance. The security model implements role-based access control with four tiers: Owner, Administrator, Editor, and Viewer.</w:t>
      </w:r>
    </w:p>
    <w:bookmarkEnd w:id="194"/>
    <w:bookmarkStart w:id="195" w:name="Xb2860ac0c68b972fce2d7b3ad5ea1dca1eba584"/>
    <w:p>
      <w:pPr>
        <w:pStyle w:val="Heading4"/>
      </w:pPr>
      <w:r>
        <w:t xml:space="preserve">11.3.3 Q5–Q6: AI LUT Generation, Neural Style Transfer, and Community Marketplace</w:t>
      </w:r>
    </w:p>
    <w:p>
      <w:pPr>
        <w:pStyle w:val="FirstParagraph"/>
      </w:pPr>
      <w:r>
        <w:t xml:space="preserve">The final six months represent the most technically ambitious phase. AI LUT generation from reference images allows users to upload a film still and receive a mathematically-derived LUT approximating its color signature. This builds on L-Diffuser research, which demonstrated that diffusion models trained on professionally graded content generate high-fidelity LUTs from semantic descriptions</w:t>
      </w:r>
      <w:r>
        <w:t xml:space="preserve"> </w:t>
      </w:r>
      <w:r>
        <w:rPr>
          <w:vertAlign w:val="superscript"/>
        </w:rPr>
        <w:t xml:space="preserve">88</w:t>
      </w:r>
      <w:r>
        <w:t xml:space="preserve">. The CINEGRADE LAB implementation adds a proprietary training layer: the model is fine-tuned on 5,000+ camera-profiled film scans with documented color science metadata — data not publicly available, forming a defensible moat against commodity AI tools.</w:t>
      </w:r>
    </w:p>
    <w:p>
      <w:pPr>
        <w:pStyle w:val="BodyText"/>
      </w:pPr>
      <w:r>
        <w:t xml:space="preserve">Neural style transfer — implemented through VGG-16 CNN-based perceptual loss functions</w:t>
      </w:r>
      <w:r>
        <w:t xml:space="preserve"> </w:t>
      </w:r>
      <w:r>
        <w:rPr>
          <w:vertAlign w:val="superscript"/>
        </w:rPr>
        <w:t xml:space="preserve">86</w:t>
      </w:r>
      <w:r>
        <w:t xml:space="preserve">— extends this by analyzing structural color relationships and transferring them to user content. The</w:t>
      </w:r>
      <w:r>
        <w:t xml:space="preserve"> </w:t>
      </w:r>
      <w:r>
        <w:t xml:space="preserve">“</w:t>
      </w:r>
      <w:r>
        <w:t xml:space="preserve">Human-in-the-Loop</w:t>
      </w:r>
      <w:r>
        <w:t xml:space="preserve">”</w:t>
      </w:r>
      <w:r>
        <w:t xml:space="preserve"> </w:t>
      </w:r>
      <w:r>
        <w:t xml:space="preserve">interaction paradigm, where AI generates candidates and the artist selects and refines, preserves creative authorship while reducing iteration time by an estimated 80–90%</w:t>
      </w:r>
      <w:r>
        <w:t xml:space="preserve"> </w:t>
      </w:r>
      <w:r>
        <w:rPr>
          <w:vertAlign w:val="superscript"/>
        </w:rPr>
        <w:t xml:space="preserve">97</w:t>
      </w:r>
      <w:r>
        <w:t xml:space="preserve">.</w:t>
      </w:r>
    </w:p>
    <w:p>
      <w:pPr>
        <w:pStyle w:val="BodyText"/>
      </w:pPr>
      <w:r>
        <w:t xml:space="preserve">The community marketplace launches concurrently, providing a distribution channel for AI-generated and artist-created LUTs. Third-party creators upload through a vetting workflow including automated quality checks and manual review. Revenue sharing follows a 70/30 model in the creator’s favor. The watermarking infrastructure ensures provenance for all marketplace content.</w:t>
      </w:r>
    </w:p>
    <w:p>
      <w:pPr>
        <w:pStyle w:val="BodyText"/>
      </w:pPr>
      <w:r>
        <w:t xml:space="preserve">The following table presents the complete 18-month roadmap.</w:t>
      </w:r>
    </w:p>
    <w:tbl>
      <w:tblPr>
        <w:tblStyle w:val="Table"/>
        <w:tblW w:type="pct" w:w="5000"/>
        <w:tblLook w:firstRow="1" w:lastRow="0" w:firstColumn="0" w:lastColumn="0" w:noHBand="0" w:noVBand="0" w:val="0020"/>
      </w:tblPr>
      <w:tblGrid>
        <w:gridCol w:w="1003"/>
        <w:gridCol w:w="780"/>
        <w:gridCol w:w="1896"/>
        <w:gridCol w:w="2454"/>
        <w:gridCol w:w="1784"/>
      </w:tblGrid>
      <w:tr>
        <w:trPr>
          <w:tblHeader w:val="true"/>
        </w:trPr>
        <w:tc>
          <w:tcPr/>
          <w:p>
            <w:pPr>
              <w:pStyle w:val="Compact"/>
              <w:jc w:val="left"/>
            </w:pPr>
            <w:r>
              <w:t xml:space="preserve">Quarter</w:t>
            </w:r>
          </w:p>
        </w:tc>
        <w:tc>
          <w:tcPr/>
          <w:p>
            <w:pPr>
              <w:pStyle w:val="Compact"/>
              <w:jc w:val="left"/>
            </w:pPr>
            <w:r>
              <w:t xml:space="preserve">Phase</w:t>
            </w:r>
          </w:p>
        </w:tc>
        <w:tc>
          <w:tcPr/>
          <w:p>
            <w:pPr>
              <w:pStyle w:val="Compact"/>
              <w:jc w:val="left"/>
            </w:pPr>
            <w:r>
              <w:t xml:space="preserve">Key Deliverables</w:t>
            </w:r>
          </w:p>
        </w:tc>
        <w:tc>
          <w:tcPr/>
          <w:p>
            <w:pPr>
              <w:pStyle w:val="Compact"/>
              <w:jc w:val="left"/>
            </w:pPr>
            <w:r>
              <w:t xml:space="preserve">Technical Dependencies</w:t>
            </w:r>
          </w:p>
        </w:tc>
        <w:tc>
          <w:tcPr/>
          <w:p>
            <w:pPr>
              <w:pStyle w:val="Compact"/>
              <w:jc w:val="left"/>
            </w:pPr>
            <w:r>
              <w:t xml:space="preserve">Success Metric</w:t>
            </w:r>
          </w:p>
        </w:tc>
      </w:tr>
      <w:tr>
        <w:tc>
          <w:tcPr/>
          <w:p>
            <w:pPr>
              <w:pStyle w:val="Compact"/>
              <w:jc w:val="left"/>
            </w:pPr>
            <w:r>
              <w:t xml:space="preserve">Q1</w:t>
            </w:r>
          </w:p>
        </w:tc>
        <w:tc>
          <w:tcPr/>
          <w:p>
            <w:pPr>
              <w:pStyle w:val="Compact"/>
              <w:jc w:val="left"/>
            </w:pPr>
            <w:r>
              <w:t xml:space="preserve">Platform Expansion</w:t>
            </w:r>
          </w:p>
        </w:tc>
        <w:tc>
          <w:tcPr/>
          <w:p>
            <w:pPr>
              <w:pStyle w:val="Compact"/>
              <w:jc w:val="left"/>
            </w:pPr>
            <w:r>
              <w:t xml:space="preserve">React Native iOS/Android app; Electron desktop MVP</w:t>
            </w:r>
          </w:p>
        </w:tc>
        <w:tc>
          <w:tcPr/>
          <w:p>
            <w:pPr>
              <w:pStyle w:val="Compact"/>
              <w:jc w:val="left"/>
            </w:pPr>
            <w:r>
              <w:t xml:space="preserve">API v1.0 stable; signed URL system</w:t>
            </w:r>
          </w:p>
        </w:tc>
        <w:tc>
          <w:tcPr/>
          <w:p>
            <w:pPr>
              <w:pStyle w:val="Compact"/>
              <w:jc w:val="left"/>
            </w:pPr>
            <w:r>
              <w:t xml:space="preserve">10,000 mobile downloads; 5,000 desktop installs</w:t>
            </w:r>
          </w:p>
        </w:tc>
      </w:tr>
      <w:tr>
        <w:tc>
          <w:tcPr/>
          <w:p>
            <w:pPr>
              <w:pStyle w:val="Compact"/>
              <w:jc w:val="left"/>
            </w:pPr>
            <w:r>
              <w:t xml:space="preserve">Q2</w:t>
            </w:r>
          </w:p>
        </w:tc>
        <w:tc>
          <w:tcPr/>
          <w:p>
            <w:pPr>
              <w:pStyle w:val="Compact"/>
              <w:jc w:val="left"/>
            </w:pPr>
            <w:r>
              <w:t xml:space="preserve">Platform Expansion</w:t>
            </w:r>
          </w:p>
        </w:tc>
        <w:tc>
          <w:tcPr/>
          <w:p>
            <w:pPr>
              <w:pStyle w:val="Compact"/>
              <w:jc w:val="left"/>
            </w:pPr>
            <w:r>
              <w:t xml:space="preserve">DaVinci Resolve plugin; Premiere Pro plugin; FCP plugin</w:t>
            </w:r>
          </w:p>
        </w:tc>
        <w:tc>
          <w:tcPr/>
          <w:p>
            <w:pPr>
              <w:pStyle w:val="Compact"/>
              <w:jc w:val="left"/>
            </w:pPr>
            <w:r>
              <w:t xml:space="preserve">Plugin SDKs; GPU preview pipeline</w:t>
            </w:r>
          </w:p>
        </w:tc>
        <w:tc>
          <w:tcPr/>
          <w:p>
            <w:pPr>
              <w:pStyle w:val="Compact"/>
              <w:jc w:val="left"/>
            </w:pPr>
            <w:r>
              <w:t xml:space="preserve">25% of web users activate at least one plugin</w:t>
            </w:r>
          </w:p>
        </w:tc>
      </w:tr>
      <w:tr>
        <w:tc>
          <w:tcPr/>
          <w:p>
            <w:pPr>
              <w:pStyle w:val="Compact"/>
              <w:jc w:val="left"/>
            </w:pPr>
            <w:r>
              <w:t xml:space="preserve">Q3</w:t>
            </w:r>
          </w:p>
        </w:tc>
        <w:tc>
          <w:tcPr/>
          <w:p>
            <w:pPr>
              <w:pStyle w:val="Compact"/>
              <w:jc w:val="left"/>
            </w:pPr>
            <w:r>
              <w:t xml:space="preserve">Collaborative Workflow</w:t>
            </w:r>
          </w:p>
        </w:tc>
        <w:tc>
          <w:tcPr/>
          <w:p>
            <w:pPr>
              <w:pStyle w:val="Compact"/>
              <w:jc w:val="left"/>
            </w:pPr>
            <w:r>
              <w:t xml:space="preserve">Real-time cloud sync; cross-device library</w:t>
            </w:r>
          </w:p>
        </w:tc>
        <w:tc>
          <w:tcPr/>
          <w:p>
            <w:pPr>
              <w:pStyle w:val="Compact"/>
              <w:jc w:val="left"/>
            </w:pPr>
            <w:r>
              <w:t xml:space="preserve">WebSocket infrastructure; conflict resolution</w:t>
            </w:r>
          </w:p>
        </w:tc>
        <w:tc>
          <w:tcPr/>
          <w:p>
            <w:pPr>
              <w:pStyle w:val="Compact"/>
              <w:jc w:val="left"/>
            </w:pPr>
            <w:r>
              <w:t xml:space="preserve">&lt;2 second sync latency for 95th percentile</w:t>
            </w:r>
          </w:p>
        </w:tc>
      </w:tr>
      <w:tr>
        <w:tc>
          <w:tcPr/>
          <w:p>
            <w:pPr>
              <w:pStyle w:val="Compact"/>
              <w:jc w:val="left"/>
            </w:pPr>
            <w:r>
              <w:t xml:space="preserve">Q4</w:t>
            </w:r>
          </w:p>
        </w:tc>
        <w:tc>
          <w:tcPr/>
          <w:p>
            <w:pPr>
              <w:pStyle w:val="Compact"/>
              <w:jc w:val="left"/>
            </w:pPr>
            <w:r>
              <w:t xml:space="preserve">Collaborative Workflow</w:t>
            </w:r>
          </w:p>
        </w:tc>
        <w:tc>
          <w:tcPr/>
          <w:p>
            <w:pPr>
              <w:pStyle w:val="Compact"/>
              <w:jc w:val="left"/>
            </w:pPr>
            <w:r>
              <w:t xml:space="preserve">Team workspaces; RBAC permissions; version history</w:t>
            </w:r>
          </w:p>
        </w:tc>
        <w:tc>
          <w:tcPr/>
          <w:p>
            <w:pPr>
              <w:pStyle w:val="Compact"/>
              <w:jc w:val="left"/>
            </w:pPr>
            <w:r>
              <w:t xml:space="preserve">Temporal PostgreSQL; role engine</w:t>
            </w:r>
          </w:p>
        </w:tc>
        <w:tc>
          <w:tcPr/>
          <w:p>
            <w:pPr>
              <w:pStyle w:val="Compact"/>
              <w:jc w:val="left"/>
            </w:pPr>
            <w:r>
              <w:t xml:space="preserve">15% of Studio tier subscribers create 2+ member teams</w:t>
            </w:r>
          </w:p>
        </w:tc>
      </w:tr>
      <w:tr>
        <w:tc>
          <w:tcPr/>
          <w:p>
            <w:pPr>
              <w:pStyle w:val="Compact"/>
              <w:jc w:val="left"/>
            </w:pPr>
            <w:r>
              <w:t xml:space="preserve">Q5</w:t>
            </w:r>
          </w:p>
        </w:tc>
        <w:tc>
          <w:tcPr/>
          <w:p>
            <w:pPr>
              <w:pStyle w:val="Compact"/>
              <w:jc w:val="left"/>
            </w:pPr>
            <w:r>
              <w:t xml:space="preserve">AI-Native Generation</w:t>
            </w:r>
          </w:p>
        </w:tc>
        <w:tc>
          <w:tcPr/>
          <w:p>
            <w:pPr>
              <w:pStyle w:val="Compact"/>
              <w:jc w:val="left"/>
            </w:pPr>
            <w:r>
              <w:t xml:space="preserve">AI LUT from reference image; neural style transfer</w:t>
            </w:r>
          </w:p>
        </w:tc>
        <w:tc>
          <w:tcPr/>
          <w:p>
            <w:pPr>
              <w:pStyle w:val="Compact"/>
              <w:jc w:val="left"/>
            </w:pPr>
            <w:r>
              <w:t xml:space="preserve">GPU cluster (4× A100); proprietary training data</w:t>
            </w:r>
          </w:p>
        </w:tc>
        <w:tc>
          <w:tcPr/>
          <w:p>
            <w:pPr>
              <w:pStyle w:val="Compact"/>
              <w:jc w:val="left"/>
            </w:pPr>
            <w:r>
              <w:t xml:space="preserve">Generated LUTs achieve CIEDE2000 ΔE &lt; 3.0 vs. reference</w:t>
            </w:r>
          </w:p>
        </w:tc>
      </w:tr>
      <w:tr>
        <w:tc>
          <w:tcPr/>
          <w:p>
            <w:pPr>
              <w:pStyle w:val="Compact"/>
              <w:jc w:val="left"/>
            </w:pPr>
            <w:r>
              <w:t xml:space="preserve">Q6</w:t>
            </w:r>
          </w:p>
        </w:tc>
        <w:tc>
          <w:tcPr/>
          <w:p>
            <w:pPr>
              <w:pStyle w:val="Compact"/>
              <w:jc w:val="left"/>
            </w:pPr>
            <w:r>
              <w:t xml:space="preserve">AI-Native Generation</w:t>
            </w:r>
          </w:p>
        </w:tc>
        <w:tc>
          <w:tcPr/>
          <w:p>
            <w:pPr>
              <w:pStyle w:val="Compact"/>
              <w:jc w:val="left"/>
            </w:pPr>
            <w:r>
              <w:t xml:space="preserve">Community marketplace; creator watermarking; revenue share</w:t>
            </w:r>
          </w:p>
        </w:tc>
        <w:tc>
          <w:tcPr/>
          <w:p>
            <w:pPr>
              <w:pStyle w:val="Compact"/>
              <w:jc w:val="left"/>
            </w:pPr>
            <w:r>
              <w:t xml:space="preserve">Watermarking pipeline; payout system</w:t>
            </w:r>
          </w:p>
        </w:tc>
        <w:tc>
          <w:tcPr/>
          <w:p>
            <w:pPr>
              <w:pStyle w:val="Compact"/>
              <w:jc w:val="left"/>
            </w:pPr>
            <w:r>
              <w:t xml:space="preserve">500+ creator listings; $50K monthly GMV</w:t>
            </w:r>
          </w:p>
        </w:tc>
      </w:tr>
    </w:tbl>
    <w:p>
      <w:pPr>
        <w:pStyle w:val="BodyText"/>
      </w:pPr>
      <w:r>
        <w:t xml:space="preserve">The sequencing is deliberate: mobile and desktop expansion (Q1–Q2) builds the user base justifying infrastructure investment for cloud sync and team features (Q3–Q4), which creates the collaborative environment that makes AI-generated LUTs and community sharing (Q5–Q6) valuable. Launching the marketplace without plugin-based workflow integration would strand community content in a disconnected ecosystem.</w:t>
      </w:r>
    </w:p>
    <w:p>
      <w:pPr>
        <w:pStyle w:val="BodyText"/>
      </w:pPr>
      <w:r>
        <w:t xml:space="preserve">The competitive urgency is underscored by the pace of AI adoption in color grading. Runway ML offers text-to-color-LUT generation from natural language descriptions</w:t>
      </w:r>
      <w:r>
        <w:t xml:space="preserve"> </w:t>
      </w:r>
      <w:r>
        <w:rPr>
          <w:vertAlign w:val="superscript"/>
        </w:rPr>
        <w:t xml:space="preserve">100</w:t>
      </w:r>
      <w:r>
        <w:t xml:space="preserve">. Adobe Premiere Pro has integrated Firefly AI for prompt-based color workflows</w:t>
      </w:r>
      <w:r>
        <w:t xml:space="preserve"> </w:t>
      </w:r>
      <w:r>
        <w:rPr>
          <w:vertAlign w:val="superscript"/>
        </w:rPr>
        <w:t xml:space="preserve">106</w:t>
      </w:r>
      <w:r>
        <w:t xml:space="preserve">. fylm.ai claims up to 90% time savings on HDR show LUT establishment through neural automation</w:t>
      </w:r>
      <w:r>
        <w:t xml:space="preserve"> </w:t>
      </w:r>
      <w:r>
        <w:rPr>
          <w:vertAlign w:val="superscript"/>
        </w:rPr>
        <w:t xml:space="preserve">97</w:t>
      </w:r>
      <w:r>
        <w:t xml:space="preserve">. CINEGRADE LAB’s differentiation does not lie in being first to market with AI color tools — that window has closed — but in delivering AI-generated output with verifiable color science accuracy, camera-specific calibration, and a provenance chain that generic AI tools cannot replicate. The 18-month roadmap executes toward that differentiated position.</w:t>
      </w:r>
      <w:r>
        <w:t xml:space="preserve"> </w:t>
      </w:r>
      <w:r>
        <w:t xml:space="preserve">-e</w:t>
      </w:r>
    </w:p>
    <w:p>
      <w:r>
        <w:pict>
          <v:rect style="width:0;height:1.5pt" o:hralign="center" o:hrstd="t" o:hr="t"/>
        </w:pict>
      </w:r>
    </w:p>
    <w:bookmarkEnd w:id="195"/>
    <w:bookmarkEnd w:id="196"/>
    <w:bookmarkEnd w:id="197"/>
    <w:bookmarkStart w:id="198" w:name="executive-summary"/>
    <w:p>
      <w:pPr>
        <w:pStyle w:val="Heading2"/>
      </w:pPr>
      <w:r>
        <w:t xml:space="preserve">Executive Summary</w:t>
      </w:r>
    </w:p>
    <w:p>
      <w:pPr>
        <w:pStyle w:val="FirstParagraph"/>
      </w:pPr>
      <w:r>
        <w:t xml:space="preserve">CINEGRADE LAB is a premium color grading platform delivering 125 validated Adobe Lightroom presets and 125 cinematic Look-Up Tables (LUTs) across 25 curated categories, targeting the $312.8 million cinematic LUT market projected to reach $758.5 million by 2033 at a 10.4% compound annual growth rate</w:t>
      </w:r>
      <w:r>
        <w:t xml:space="preserve"> </w:t>
      </w:r>
      <w:r>
        <w:rPr>
          <w:vertAlign w:val="superscript"/>
        </w:rPr>
        <w:t xml:space="preserve">2</w:t>
      </w:r>
      <w:r>
        <w:t xml:space="preserve">. The platform synthesizes ten dimensions of original research — 7,323 lines of cross-verified analysis covering competitive landscapes, color science, film emulation, trend dynamics, and artificial intelligence disruption — into a comprehensive product ecosystem combining technically rigorous color tools with an immersive cinematic web experience.</w:t>
      </w:r>
    </w:p>
    <w:p>
      <w:pPr>
        <w:pStyle w:val="BodyText"/>
      </w:pPr>
      <w:r>
        <w:t xml:space="preserve">The research foundation encompasses 20 non-obvious strategic insights extracted through cross-dimensional pattern recognition, 12 high-confidence findings validated across multiple independent sources, and quantitative market intelligence spanning the $16.76 billion global photo editing software market and the $205 billion creator economy</w:t>
      </w:r>
      <w:r>
        <w:t xml:space="preserve"> </w:t>
      </w:r>
      <w:r>
        <w:rPr>
          <w:vertAlign w:val="superscript"/>
        </w:rPr>
        <w:t xml:space="preserve">3</w:t>
      </w:r>
      <w:r>
        <w:t xml:space="preserve"> </w:t>
      </w:r>
      <w:r>
        <w:rPr>
          <w:vertAlign w:val="superscript"/>
        </w:rPr>
        <w:t xml:space="preserve">4</w:t>
      </w:r>
      <w:r>
        <w:t xml:space="preserve">. From this research, CINEGRADE LAB produced a complete product library of 376 validated files — 125 .XMP presets, 125 .CUBE LUTs, 125 JSON metadata files, and one unified master index — each constructed with profile-based color science, narrative-driven naming conventions, and category-specific technical parameters calibrated against industry-standard reference stocks including Kodak Portra 400, Vision3 500T, and CineStill 800T.</w:t>
      </w:r>
    </w:p>
    <w:p>
      <w:pPr>
        <w:pStyle w:val="BodyText"/>
      </w:pPr>
      <w:r>
        <w:t xml:space="preserve">The platform is deployed as a six-page full-stack web application at https://rvzhn4jucgc3m.kimi.page, built on React 19 with TypeScript and Vite, featuring a dark cinematic interface with glassmorphism design language, a searchable 250-item product library, a draggable before/after preview system, a mock AI recommendation engine with eight-mood taxonomy, and a three-tier pricing architecture (Starter at $0, Pro at $29 per month, Studio at $79 per month)</w:t>
      </w:r>
      <w:r>
        <w:t xml:space="preserve"> </w:t>
      </w:r>
      <w:r>
        <w:rPr>
          <w:vertAlign w:val="superscript"/>
        </w:rPr>
        <w:t xml:space="preserve">3</w:t>
      </w:r>
      <w:r>
        <w:t xml:space="preserve">.</w:t>
      </w:r>
    </w:p>
    <w:p>
      <w:pPr>
        <w:pStyle w:val="BodyText"/>
      </w:pPr>
      <w:r>
        <w:t xml:space="preserve">Strategically, CINEGRADE LAB occupies the</w:t>
      </w:r>
      <w:r>
        <w:t xml:space="preserve"> </w:t>
      </w:r>
      <w:r>
        <w:t xml:space="preserve">“</w:t>
      </w:r>
      <w:r>
        <w:t xml:space="preserve">prosumer chasm</w:t>
      </w:r>
      <w:r>
        <w:t xml:space="preserve">”</w:t>
      </w:r>
      <w:r>
        <w:t xml:space="preserve"> </w:t>
      </w:r>
      <w:r>
        <w:t xml:space="preserve">— the underserved $75–$150 price band between $7–$50 consumer LUT packs and $300+ professional plugins such as Dehancer Pro or ARRI Film Lab — through scientifically grounded film emulation with documented color science credentials</w:t>
      </w:r>
      <w:r>
        <w:t xml:space="preserve"> </w:t>
      </w:r>
      <w:r>
        <w:rPr>
          <w:vertAlign w:val="superscript"/>
        </w:rPr>
        <w:t xml:space="preserve">5</w:t>
      </w:r>
      <w:r>
        <w:t xml:space="preserve"> </w:t>
      </w:r>
      <w:r>
        <w:rPr>
          <w:vertAlign w:val="superscript"/>
        </w:rPr>
        <w:t xml:space="preserve">11</w:t>
      </w:r>
      <w:r>
        <w:t xml:space="preserve">. The go-to-market strategy leverages an education-first content flywheel with near-zero customer acquisition cost, micro-influencer partnerships in the 10,000–50,000 follower range, and cultural alignment with the converging aesthetics of indie cinema (A24), luxury wedding photography, and editorial fashion</w:t>
      </w:r>
      <w:r>
        <w:t xml:space="preserve"> </w:t>
      </w:r>
      <w:r>
        <w:rPr>
          <w:vertAlign w:val="superscript"/>
        </w:rPr>
        <w:t xml:space="preserve">4</w:t>
      </w:r>
      <w:r>
        <w:t xml:space="preserve">. The technical moat centers on profile-based preset construction operating at the RAW processing level — an approach that amateur creators cannot replicate without calibration hardware — and a planned camera-specific input LUT system that converts any log format to a unified working space</w:t>
      </w:r>
      <w:r>
        <w:t xml:space="preserve"> </w:t>
      </w:r>
      <w:r>
        <w:rPr>
          <w:vertAlign w:val="superscript"/>
        </w:rPr>
        <w:t xml:space="preserve">71</w:t>
      </w:r>
      <w:r>
        <w:t xml:space="preserve"> </w:t>
      </w:r>
      <w:r>
        <w:rPr>
          <w:vertAlign w:val="superscript"/>
        </w:rPr>
        <w:t xml:space="preserve">70</w:t>
      </w:r>
      <w:r>
        <w:t xml:space="preserve">.</w:t>
      </w:r>
    </w:p>
    <w:p>
      <w:pPr>
        <w:pStyle w:val="BodyText"/>
      </w:pPr>
      <w:r>
        <w:t xml:space="preserve">This report documents every dimension of the CINEGRADE LAB platform: the ten-dimension research methodology, the color science foundations, the 125-preset and 125-LUT design specifications, the web platform architecture, the AI color engine roadmap, the business model and go-to-market strategy, the competitive positioning analysis, and the eighteen-month product roadmap — culminating in the strategic recommendations and immediate next steps presented in this final chapter.</w:t>
      </w:r>
    </w:p>
    <w:bookmarkEnd w:id="198"/>
    <w:bookmarkStart w:id="202" w:name="conclusion-strategic-recommendations"/>
    <w:p>
      <w:pPr>
        <w:pStyle w:val="Heading2"/>
      </w:pPr>
      <w:r>
        <w:t xml:space="preserve">12. Conclusion &amp; Strategic Recommendations</w:t>
      </w:r>
    </w:p>
    <w:bookmarkStart w:id="199" w:name="key-achievements"/>
    <w:p>
      <w:pPr>
        <w:pStyle w:val="Heading3"/>
      </w:pPr>
      <w:r>
        <w:t xml:space="preserve">12.1 Key Achievements</w:t>
      </w:r>
    </w:p>
    <w:p>
      <w:pPr>
        <w:pStyle w:val="FirstParagraph"/>
      </w:pPr>
      <w:r>
        <w:t xml:space="preserve">The CINEGRADE LAB project has delivered against three foundational pillars: research depth, product completeness, and technical execution.</w:t>
      </w:r>
    </w:p>
    <w:p>
      <w:pPr>
        <w:pStyle w:val="BodyText"/>
      </w:pPr>
      <w:r>
        <w:rPr>
          <w:bCs/>
          <w:b/>
        </w:rPr>
        <w:t xml:space="preserve">Research Foundation.</w:t>
      </w:r>
      <w:r>
        <w:t xml:space="preserve"> </w:t>
      </w:r>
      <w:r>
        <w:t xml:space="preserve">The ten-dimension research program generated 7,323 lines of original analysis across Dim01 (Premium Preset Landscape), Dim02 (LUT Market &amp; Competition), Dim03 (Fashion &amp; Editorial Color), Dim04 (Film Emulation Science), Dim05 (Color Science &amp; Technical Standards), Dim06 (Cyberpunk &amp; Aesthetic Trends), Dim07 (Wedding Photography), Dim08 (Business Model &amp; Creator Economy), Dim09 (AI Technology), and Dim10 (Cultural Trends &amp; Viral Mechanics). Cross-verification validated 12 high-confidence findings and identified 20 strategic insights spanning market gaps, technical differentiation opportunities, business model innovations, trend convergences, and user psychology revelations. This research corpus constitutes a proprietary intelligence asset that will inform product development, marketing strategy, and competitive positioning for the foreseeable future.</w:t>
      </w:r>
    </w:p>
    <w:p>
      <w:pPr>
        <w:pStyle w:val="BodyText"/>
      </w:pPr>
      <w:r>
        <w:rPr>
          <w:bCs/>
          <w:b/>
        </w:rPr>
        <w:t xml:space="preserve">Product Library.</w:t>
      </w:r>
      <w:r>
        <w:t xml:space="preserve"> </w:t>
      </w:r>
      <w:r>
        <w:t xml:space="preserve">The library comprises 376 validated files: 125 Adobe Camera Raw v15.0 .XMP presets, 125 33×33×33 3D .CUBE LUTs (35,937 RGB triplets each), 125 JSON metadata files with per-product tagging vectors, and one unified CINEGRADE_LIBRARY_INDEX.json master index. Each preset implements a hybrid profile-plus-slider architecture operating across eight parameter domains — Exposure, Contrast, HSL (24 independent adjustments), SplitToning/ColorGrade, Grain synthesis, Calibration, Tone Curve, and Camera Profile — with 15 to 35 individual parameters per file</w:t>
      </w:r>
      <w:r>
        <w:t xml:space="preserve"> </w:t>
      </w:r>
      <w:r>
        <w:rPr>
          <w:vertAlign w:val="superscript"/>
        </w:rPr>
        <w:t xml:space="preserve">70</w:t>
      </w:r>
      <w:r>
        <w:t xml:space="preserve"> </w:t>
      </w:r>
      <w:r>
        <w:rPr>
          <w:vertAlign w:val="superscript"/>
        </w:rPr>
        <w:t xml:space="preserve">69</w:t>
      </w:r>
      <w:r>
        <w:t xml:space="preserve">. The naming convention employs cinematic emotional specificity (e.g.,</w:t>
      </w:r>
      <w:r>
        <w:t xml:space="preserve"> </w:t>
      </w:r>
      <w:r>
        <w:t xml:space="preserve">“</w:t>
      </w:r>
      <w:r>
        <w:t xml:space="preserve">Nocturne Lux,</w:t>
      </w:r>
      <w:r>
        <w:t xml:space="preserve">”</w:t>
      </w:r>
      <w:r>
        <w:t xml:space="preserve"> </w:t>
      </w:r>
      <w:r>
        <w:t xml:space="preserve">“</w:t>
      </w:r>
      <w:r>
        <w:t xml:space="preserve">Portra Skin,</w:t>
      </w:r>
      <w:r>
        <w:t xml:space="preserve">”</w:t>
      </w:r>
      <w:r>
        <w:t xml:space="preserve"> </w:t>
      </w:r>
      <w:r>
        <w:t xml:space="preserve">“</w:t>
      </w:r>
      <w:r>
        <w:t xml:space="preserve">Neon Tokyo</w:t>
      </w:r>
      <w:r>
        <w:t xml:space="preserve">”</w:t>
      </w:r>
      <w:r>
        <w:t xml:space="preserve">) grounded in research demonstrating that users pay 2–3× more for emotionally resonant product names than for generic descriptors [^PMC12824257^].</w:t>
      </w:r>
    </w:p>
    <w:p>
      <w:pPr>
        <w:pStyle w:val="BodyText"/>
      </w:pPr>
      <w:r>
        <w:rPr>
          <w:bCs/>
          <w:b/>
        </w:rPr>
        <w:t xml:space="preserve">Web Platform.</w:t>
      </w:r>
      <w:r>
        <w:t xml:space="preserve"> </w:t>
      </w:r>
      <w:r>
        <w:t xml:space="preserve">A six-page React 19 application delivers the complete CINEGRADE LAB experience: a cinematic hero landing page with animated statistics, a searchable product library with 25 filter categories and XMP/CUBE format toggle, a draggable before/after preview system with three sample image pairs, an AI Assistant interface with mood-based matching across eight emotional categories, a three-tier pricing page, and a user dashboard with activity timeline. The platform is deployed and publicly accessible, representing a fully functional minimum viable product ready for user acquisition.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Achievement</w:t>
            </w:r>
          </w:p>
        </w:tc>
        <w:tc>
          <w:tcPr/>
          <w:p>
            <w:pPr>
              <w:pStyle w:val="Compact"/>
              <w:jc w:val="left"/>
            </w:pPr>
            <w:r>
              <w:t xml:space="preserve">Deliverable</w:t>
            </w:r>
          </w:p>
        </w:tc>
        <w:tc>
          <w:tcPr/>
          <w:p>
            <w:pPr>
              <w:pStyle w:val="Compact"/>
              <w:jc w:val="left"/>
            </w:pPr>
            <w:r>
              <w:t xml:space="preserve">Scale</w:t>
            </w:r>
          </w:p>
        </w:tc>
        <w:tc>
          <w:tcPr/>
          <w:p>
            <w:pPr>
              <w:pStyle w:val="Compact"/>
              <w:jc w:val="left"/>
            </w:pPr>
            <w:r>
              <w:t xml:space="preserve">Technical Validation</w:t>
            </w:r>
          </w:p>
        </w:tc>
      </w:tr>
      <w:tr>
        <w:tc>
          <w:tcPr/>
          <w:p>
            <w:pPr>
              <w:pStyle w:val="Compact"/>
              <w:jc w:val="left"/>
            </w:pPr>
            <w:r>
              <w:t xml:space="preserve">10-dimension research</w:t>
            </w:r>
          </w:p>
        </w:tc>
        <w:tc>
          <w:tcPr/>
          <w:p>
            <w:pPr>
              <w:pStyle w:val="Compact"/>
              <w:jc w:val="left"/>
            </w:pPr>
            <w:r>
              <w:t xml:space="preserve">Dim01–Dim10 reports + cross-verification + insights</w:t>
            </w:r>
          </w:p>
        </w:tc>
        <w:tc>
          <w:tcPr/>
          <w:p>
            <w:pPr>
              <w:pStyle w:val="Compact"/>
              <w:jc w:val="left"/>
            </w:pPr>
            <w:r>
              <w:t xml:space="preserve">7,323 lines; 20 insights; 12 HC findings</w:t>
            </w:r>
          </w:p>
        </w:tc>
        <w:tc>
          <w:tcPr/>
          <w:p>
            <w:pPr>
              <w:pStyle w:val="Compact"/>
              <w:jc w:val="left"/>
            </w:pPr>
            <w:r>
              <w:t xml:space="preserve">Multi-source cross-referencing; T1/T2 source priority</w:t>
            </w:r>
          </w:p>
        </w:tc>
      </w:tr>
      <w:tr>
        <w:tc>
          <w:tcPr/>
          <w:p>
            <w:pPr>
              <w:pStyle w:val="Compact"/>
              <w:jc w:val="left"/>
            </w:pPr>
            <w:r>
              <w:t xml:space="preserve">Product library</w:t>
            </w:r>
          </w:p>
        </w:tc>
        <w:tc>
          <w:tcPr/>
          <w:p>
            <w:pPr>
              <w:pStyle w:val="Compact"/>
              <w:jc w:val="left"/>
            </w:pPr>
            <w:r>
              <w:t xml:space="preserve">XMP presets + CUBE LUTs + metadata + master index</w:t>
            </w:r>
          </w:p>
        </w:tc>
        <w:tc>
          <w:tcPr/>
          <w:p>
            <w:pPr>
              <w:pStyle w:val="Compact"/>
              <w:jc w:val="left"/>
            </w:pPr>
            <w:r>
              <w:t xml:space="preserve">376 files (125+125+125+1)</w:t>
            </w:r>
          </w:p>
        </w:tc>
        <w:tc>
          <w:tcPr/>
          <w:p>
            <w:pPr>
              <w:pStyle w:val="Compact"/>
              <w:jc w:val="left"/>
            </w:pPr>
            <w:r>
              <w:t xml:space="preserve">Adobe Camera Raw v15.0; 33×33×33 lattice; JSON schema v1.0</w:t>
            </w:r>
          </w:p>
        </w:tc>
      </w:tr>
      <w:tr>
        <w:tc>
          <w:tcPr/>
          <w:p>
            <w:pPr>
              <w:pStyle w:val="Compact"/>
              <w:jc w:val="left"/>
            </w:pPr>
            <w:r>
              <w:t xml:space="preserve">Web application</w:t>
            </w:r>
          </w:p>
        </w:tc>
        <w:tc>
          <w:tcPr/>
          <w:p>
            <w:pPr>
              <w:pStyle w:val="Compact"/>
              <w:jc w:val="left"/>
            </w:pPr>
            <w:r>
              <w:t xml:space="preserve">React 19 + TypeScript + Vite + Tailwind CSS</w:t>
            </w:r>
          </w:p>
        </w:tc>
        <w:tc>
          <w:tcPr/>
          <w:p>
            <w:pPr>
              <w:pStyle w:val="Compact"/>
              <w:jc w:val="left"/>
            </w:pPr>
            <w:r>
              <w:t xml:space="preserve">6 pages; 8-mood AI taxonomy; 3-tier pricing</w:t>
            </w:r>
          </w:p>
        </w:tc>
        <w:tc>
          <w:tcPr/>
          <w:p>
            <w:pPr>
              <w:pStyle w:val="Compact"/>
              <w:jc w:val="left"/>
            </w:pPr>
            <w:r>
              <w:t xml:space="preserve">Deployed at rvzhn4jucgc3m.kimi.page; HashRouter client-side routing</w:t>
            </w:r>
          </w:p>
        </w:tc>
      </w:tr>
      <w:tr>
        <w:tc>
          <w:tcPr/>
          <w:p>
            <w:pPr>
              <w:pStyle w:val="Compact"/>
              <w:jc w:val="left"/>
            </w:pPr>
            <w:r>
              <w:t xml:space="preserve">Color science framework</w:t>
            </w:r>
          </w:p>
        </w:tc>
        <w:tc>
          <w:tcPr/>
          <w:p>
            <w:pPr>
              <w:pStyle w:val="Compact"/>
              <w:jc w:val="left"/>
            </w:pPr>
            <w:r>
              <w:t xml:space="preserve">Profile-based hybrid architecture</w:t>
            </w:r>
          </w:p>
        </w:tc>
        <w:tc>
          <w:tcPr/>
          <w:p>
            <w:pPr>
              <w:pStyle w:val="Compact"/>
              <w:jc w:val="left"/>
            </w:pPr>
            <w:r>
              <w:t xml:space="preserve">8 parameter domains; 15–35 params per preset</w:t>
            </w:r>
          </w:p>
        </w:tc>
        <w:tc>
          <w:tcPr/>
          <w:p>
            <w:pPr>
              <w:pStyle w:val="Compact"/>
              <w:jc w:val="left"/>
            </w:pPr>
            <w:r>
              <w:t xml:space="preserve">Calibrated against Portra 400, Vision3 500T, CineStill 800T</w:t>
            </w:r>
          </w:p>
        </w:tc>
      </w:tr>
    </w:tbl>
    <w:p>
      <w:pPr>
        <w:pStyle w:val="BodyText"/>
      </w:pPr>
      <w:r>
        <w:rPr>
          <w:iCs/>
          <w:i/>
        </w:rPr>
        <w:t xml:space="preserve">Table 1: Summary of key deliverables across the CINEGRADE LAB project. Scale figures reflect production quantities as of July 2025. Technical validation indicates the standards and reference points against which each deliverable was verified.</w:t>
      </w:r>
    </w:p>
    <w:p>
      <w:pPr>
        <w:pStyle w:val="BodyText"/>
      </w:pPr>
      <w:r>
        <w:t xml:space="preserve">The analytical significance of these deliverables lies not in their individual completeness but in their systemic integration. The research directly informed preset parameter selection — for instance, Kodak Portra 400 skin tone science from Dim04 drove the calibration of</w:t>
      </w:r>
      <w:r>
        <w:t xml:space="preserve"> </w:t>
      </w:r>
      <w:r>
        <w:t xml:space="preserve">“</w:t>
      </w:r>
      <w:r>
        <w:t xml:space="preserve">Portra Skin,</w:t>
      </w:r>
      <w:r>
        <w:t xml:space="preserve">”</w:t>
      </w:r>
      <w:r>
        <w:t xml:space="preserve"> </w:t>
      </w:r>
      <w:r>
        <w:t xml:space="preserve">while the A24 aesthetic quantification from Dim10 (Saturation 78%, Shadows +12, Matte 10, Grain 14–20, olive/ochre split toning) provided the exact slider values for the</w:t>
      </w:r>
      <w:r>
        <w:t xml:space="preserve"> </w:t>
      </w:r>
      <w:r>
        <w:t xml:space="preserve">“</w:t>
      </w:r>
      <w:r>
        <w:t xml:space="preserve">Indie Film</w:t>
      </w:r>
      <w:r>
        <w:t xml:space="preserve">”</w:t>
      </w:r>
      <w:r>
        <w:t xml:space="preserve"> </w:t>
      </w:r>
      <w:r>
        <w:t xml:space="preserve">category. The product library’s metadata schema, with its structured tag vectors of mood descriptors, color family mappings, and scene-type classifiers, enables the AI recommendation engine’s weighted cosine similarity matching algorithm. The web platform’s three-tier pricing architecture reflects the bundle psychology and decoy-effect findings from Dim08, where middle-tier designation as</w:t>
      </w:r>
      <w:r>
        <w:t xml:space="preserve"> </w:t>
      </w:r>
      <w:r>
        <w:t xml:space="preserve">“</w:t>
      </w:r>
      <w:r>
        <w:t xml:space="preserve">most popular</w:t>
      </w:r>
      <w:r>
        <w:t xml:space="preserve">”</w:t>
      </w:r>
      <w:r>
        <w:t xml:space="preserve"> </w:t>
      </w:r>
      <w:r>
        <w:t xml:space="preserve">shifts 40–60% of buyers toward higher-value options. This research-to-product pipeline ensures that every technical decision is grounded in validated market intelligence rather than aesthetic intuition alone — a discipline that separates premium brands from commodity competitors.</w:t>
      </w:r>
    </w:p>
    <w:bookmarkEnd w:id="199"/>
    <w:bookmarkStart w:id="200" w:name="critical-success-factors"/>
    <w:p>
      <w:pPr>
        <w:pStyle w:val="Heading3"/>
      </w:pPr>
      <w:r>
        <w:t xml:space="preserve">12.2 Critical Success Factors</w:t>
      </w:r>
    </w:p>
    <w:p>
      <w:pPr>
        <w:pStyle w:val="FirstParagraph"/>
      </w:pPr>
      <w:r>
        <w:t xml:space="preserve">Three interlocking factors will determine whether CINEGRADE LAB converts its current asset base into sustainable market position: technical defensibility, acquisition economics, and brand perception.</w:t>
      </w:r>
    </w:p>
    <w:p>
      <w:pPr>
        <w:pStyle w:val="BodyText"/>
      </w:pPr>
      <w:r>
        <w:rPr>
          <w:bCs/>
          <w:b/>
        </w:rPr>
        <w:t xml:space="preserve">Technical Moat Through Profile-Based Design and Camera-Specific LUTs.</w:t>
      </w:r>
      <w:r>
        <w:t xml:space="preserve"> </w:t>
      </w:r>
      <w:r>
        <w:t xml:space="preserve">The most defensible competitive advantage identified across the research is profile-based preset construction operating at the RAW processing level — not through conventional Lightroom slider adjustments</w:t>
      </w:r>
      <w:r>
        <w:t xml:space="preserve"> </w:t>
      </w:r>
      <w:r>
        <w:rPr>
          <w:vertAlign w:val="superscript"/>
        </w:rPr>
        <w:t xml:space="preserve">70</w:t>
      </w:r>
      <w:r>
        <w:t xml:space="preserve"> </w:t>
      </w:r>
      <w:r>
        <w:rPr>
          <w:vertAlign w:val="superscript"/>
        </w:rPr>
        <w:t xml:space="preserve">71</w:t>
      </w:r>
      <w:r>
        <w:t xml:space="preserve">. RNI All Films 5 and The Archetype Process have demonstrated that this approach creates a barrier entry-level creators cannot cross without calibration charts, controlled lighting environments, and colorimetric measurement equipment</w:t>
      </w:r>
      <w:r>
        <w:t xml:space="preserve"> </w:t>
      </w:r>
      <w:r>
        <w:rPr>
          <w:vertAlign w:val="superscript"/>
        </w:rPr>
        <w:t xml:space="preserve">10</w:t>
      </w:r>
      <w:r>
        <w:t xml:space="preserve"> </w:t>
      </w:r>
      <w:r>
        <w:rPr>
          <w:vertAlign w:val="superscript"/>
        </w:rPr>
        <w:t xml:space="preserve">11</w:t>
      </w:r>
      <w:r>
        <w:t xml:space="preserve">. CINEGRADE LAB’s hybrid architecture — profile normalization followed by calibrated slider sculpting — extends this moat further. The planned camera-specific input LUT system, converting any log format (Sony S-Log3, Canon C-Log3, DJI D-Log M, Apple Log) to a unified working space before creative LUT application, follows the Phantom LUTs model of calibrating against a reference standard</w:t>
      </w:r>
      <w:r>
        <w:t xml:space="preserve"> </w:t>
      </w:r>
      <w:r>
        <w:rPr>
          <w:vertAlign w:val="superscript"/>
        </w:rPr>
        <w:t xml:space="preserve">71</w:t>
      </w:r>
      <w:r>
        <w:t xml:space="preserve">. As artificial intelligence commoditizes basic color grading — 68% of professional photographers already use AI tools</w:t>
      </w:r>
      <w:r>
        <w:t xml:space="preserve"> </w:t>
      </w:r>
      <w:r>
        <w:rPr>
          <w:vertAlign w:val="superscript"/>
        </w:rPr>
        <w:t xml:space="preserve">3</w:t>
      </w:r>
      <w:r>
        <w:t xml:space="preserve">— camera-specific accuracy becomes the differentiator that neural networks cannot replicate without access to proprietary film scan databases and physical calibration hardware.</w:t>
      </w:r>
    </w:p>
    <w:p>
      <w:pPr>
        <w:pStyle w:val="BodyText"/>
      </w:pPr>
      <w:r>
        <w:rPr>
          <w:bCs/>
          <w:b/>
        </w:rPr>
        <w:t xml:space="preserve">Education-First Acquisition Strategy with Near-Zero CAC.</w:t>
      </w:r>
      <w:r>
        <w:t xml:space="preserve"> </w:t>
      </w:r>
      <w:r>
        <w:t xml:space="preserve">Research across Dim01, Dim08, and Dim10 confirms that organic content marketing — YouTube tutorials, before/after demonstrations, and color science deep-dives — achieves near-zero marginal customer acquisition cost while building the authority trust that converts viewers into purchasers</w:t>
      </w:r>
      <w:r>
        <w:t xml:space="preserve"> </w:t>
      </w:r>
      <w:r>
        <w:rPr>
          <w:vertAlign w:val="superscript"/>
        </w:rPr>
        <w:t xml:space="preserve">4</w:t>
      </w:r>
      <w:r>
        <w:t xml:space="preserve">. The pattern is well-documented: creators demonstrate techniques using their own products, viewers observe the results, and a percentage convert to paid customers. This education-to-purchase flywheel compounds over time as content libraries grow and search rankings improve. Paid advertising, by contrast, faces escalating costs in the saturated creative tools market where established players (Adobe, Blackmagic) dominate share of voice. The recommendation is to allocate 30–40% of total marketing resources to content creation rather than paid acquisition</w:t>
      </w:r>
      <w:r>
        <w:t xml:space="preserve"> </w:t>
      </w:r>
      <w:r>
        <w:rPr>
          <w:vertAlign w:val="superscript"/>
        </w:rPr>
        <w:t xml:space="preserve">4</w:t>
      </w:r>
      <w:r>
        <w:t xml:space="preserve">.</w:t>
      </w:r>
    </w:p>
    <w:p>
      <w:pPr>
        <w:pStyle w:val="BodyText"/>
      </w:pPr>
      <w:r>
        <w:rPr>
          <w:bCs/>
          <w:b/>
        </w:rPr>
        <w:t xml:space="preserve">Premium Positioning with Scarcity-Driven Releases and Cultural Alignment.</w:t>
      </w:r>
      <w:r>
        <w:t xml:space="preserve"> </w:t>
      </w:r>
      <w:r>
        <w:t xml:space="preserve">The research identified three converging aesthetic markets — indie cinema (A24), luxury wedding photography, and editorial fashion — all moving toward the same visual language of lifted shadows, muted primaries, fine grain, and warm natural skin tones [^PMC12824257^]</w:t>
      </w:r>
      <w:r>
        <w:t xml:space="preserve"> </w:t>
      </w:r>
      <w:r>
        <w:rPr>
          <w:vertAlign w:val="superscript"/>
        </w:rPr>
        <w:t xml:space="preserve">13</w:t>
      </w:r>
      <w:r>
        <w:t xml:space="preserve">. No existing LUT platform serves all three segments simultaneously. CINEGRADE LAB’s</w:t>
      </w:r>
      <w:r>
        <w:t xml:space="preserve"> </w:t>
      </w:r>
      <w:r>
        <w:t xml:space="preserve">“</w:t>
      </w:r>
      <w:r>
        <w:t xml:space="preserve">Signature Collection</w:t>
      </w:r>
      <w:r>
        <w:t xml:space="preserve">”</w:t>
      </w:r>
      <w:r>
        <w:t xml:space="preserve"> </w:t>
      </w:r>
      <w:r>
        <w:t xml:space="preserve">bridges this convergence. The scarcity model — limited-edition numbered releases, time-limited availability windows, and never-re-releasing the same collection — mirrors the Archipelago strategy that transformed retired preset packs into objects of underground desire with</w:t>
      </w:r>
      <w:r>
        <w:t xml:space="preserve"> </w:t>
      </w:r>
      <w:r>
        <w:t xml:space="preserve">“</w:t>
      </w:r>
      <w:r>
        <w:t xml:space="preserve">cult status</w:t>
      </w:r>
      <w:r>
        <w:t xml:space="preserve">”</w:t>
      </w:r>
      <w:r>
        <w:t xml:space="preserve"> </w:t>
      </w:r>
      <w:r>
        <w:rPr>
          <w:vertAlign w:val="superscript"/>
        </w:rPr>
        <w:t xml:space="preserve">17</w:t>
      </w:r>
      <w:r>
        <w:t xml:space="preserve">. Combined with narrative-driven naming and cinematic packaging, this positioning transforms a digital utility purchase into an identity statement and collectible acquisition.</w:t>
      </w:r>
    </w:p>
    <w:bookmarkEnd w:id="200"/>
    <w:bookmarkStart w:id="201" w:name="immediate-next-steps"/>
    <w:p>
      <w:pPr>
        <w:pStyle w:val="Heading3"/>
      </w:pPr>
      <w:r>
        <w:t xml:space="preserve">12.3 Immediate Next Steps</w:t>
      </w:r>
    </w:p>
    <w:p>
      <w:pPr>
        <w:pStyle w:val="FirstParagraph"/>
      </w:pPr>
      <w:r>
        <w:t xml:space="preserve">The following actions are prioritized by time-to-impact and implementation complexity, drawn directly from the Top 5 Immediate Actions identified in the cross-dimensional insight analysis.</w:t>
      </w:r>
    </w:p>
    <w:p>
      <w:pPr>
        <w:pStyle w:val="BodyText"/>
      </w:pPr>
      <w:r>
        <w:rPr>
          <w:bCs/>
          <w:b/>
        </w:rPr>
        <w:t xml:space="preserve">Launch YouTube Education Channel with Color Grading Tutorials.</w:t>
      </w:r>
      <w:r>
        <w:t xml:space="preserve"> </w:t>
      </w:r>
      <w:r>
        <w:t xml:space="preserve">This is the highest-leverage immediate action. The channel should operate on two tiers: free tutorials demonstrating CINEGRADE LUTs in professional workflows (demonstration), and behind-the-scenes color science deep-dives (authority building). Every tutorial must include a direct link to the specific LUT pack used, creating a frictionless path from education to purchase. Content should target search-intent keywords —</w:t>
      </w:r>
      <w:r>
        <w:t xml:space="preserve"> </w:t>
      </w:r>
      <w:r>
        <w:t xml:space="preserve">“</w:t>
      </w:r>
      <w:r>
        <w:t xml:space="preserve">how to color grade like A24,</w:t>
      </w:r>
      <w:r>
        <w:t xml:space="preserve">”</w:t>
      </w:r>
      <w:r>
        <w:t xml:space="preserve"> </w:t>
      </w:r>
      <w:r>
        <w:t xml:space="preserve">“</w:t>
      </w:r>
      <w:r>
        <w:t xml:space="preserve">Kodak Portra 400 LUT tutorial,</w:t>
      </w:r>
      <w:r>
        <w:t xml:space="preserve">”</w:t>
      </w:r>
      <w:r>
        <w:t xml:space="preserve"> </w:t>
      </w:r>
      <w:r>
        <w:t xml:space="preserve">“</w:t>
      </w:r>
      <w:r>
        <w:t xml:space="preserve">wedding film emulation DaVinci Resolve</w:t>
      </w:r>
      <w:r>
        <w:t xml:space="preserve">”</w:t>
      </w:r>
      <w:r>
        <w:t xml:space="preserve"> </w:t>
      </w:r>
      <w:r>
        <w:t xml:space="preserve">— where competition is lower and conversion intent is higher. The first 90 days should prioritize consistency over production value: weekly uploads establish algorithmic favorability.</w:t>
      </w:r>
    </w:p>
    <w:p>
      <w:pPr>
        <w:pStyle w:val="BodyText"/>
      </w:pPr>
      <w:r>
        <w:rPr>
          <w:bCs/>
          <w:b/>
        </w:rPr>
        <w:t xml:space="preserve">Partner with 10 Wedding and Travel Micro-Influencers for Authentic Testimonials.</w:t>
      </w:r>
      <w:r>
        <w:t xml:space="preserve"> </w:t>
      </w:r>
      <w:r>
        <w:t xml:space="preserve">Research demonstrates that micro-influencers in the 10,000–50,000 follower range offer the highest return on investment for LUT sales, as their audiences trust technical expertise over celebrity endorsement</w:t>
      </w:r>
      <w:r>
        <w:t xml:space="preserve"> </w:t>
      </w:r>
      <w:r>
        <w:rPr>
          <w:vertAlign w:val="superscript"/>
        </w:rPr>
        <w:t xml:space="preserve">4</w:t>
      </w:r>
      <w:r>
        <w:t xml:space="preserve">. The target cohort should include five wedding photography educators (Mastin Labs/Noble Presets audiences), three travel filmmaking creators (Sam Kolder-adjacent), and two color grading tutorial channels. Partnership terms should emphasize long-term ambassador relationships with 30–50% affiliate commissions rather than one-off sponsored posts, which generate lower trust and engagement. Authenticity is paramount: partners must be given full creative freedom to evaluate and demonstrate the products honestly.</w:t>
      </w:r>
    </w:p>
    <w:p>
      <w:pPr>
        <w:pStyle w:val="BodyText"/>
      </w:pPr>
      <w:r>
        <w:rPr>
          <w:bCs/>
          <w:b/>
        </w:rPr>
        <w:t xml:space="preserve">Develop Camera-Specific Input LUT System as Technical Differentiator.</w:t>
      </w:r>
      <w:r>
        <w:t xml:space="preserve"> </w:t>
      </w:r>
      <w:r>
        <w:t xml:space="preserve">The camera profile moat represents the highest-confidence technical differentiation identified in the research</w:t>
      </w:r>
      <w:r>
        <w:t xml:space="preserve"> </w:t>
      </w:r>
      <w:r>
        <w:rPr>
          <w:vertAlign w:val="superscript"/>
        </w:rPr>
        <w:t xml:space="preserve">71</w:t>
      </w:r>
      <w:r>
        <w:t xml:space="preserve"> </w:t>
      </w:r>
      <w:r>
        <w:rPr>
          <w:vertAlign w:val="superscript"/>
        </w:rPr>
        <w:t xml:space="preserve">70</w:t>
      </w:r>
      <w:r>
        <w:t xml:space="preserve">. The first phase should target the ten most common cameras in the target market: Sony A7S III, Sony A7 IV, Canon R5, Canon R6 II, Fujifilm X-T5, Nikon Z6 II, Panasonic S5 II, DJI RS 3 Pro, iPhone 15 Pro (Apple Log), and RED Komodo. For each camera, an input LUT converts native log footage to the CINEGRADE working space; creative LUTs then apply looks consistently regardless of source camera. This system-level approach — modular input transforms plus creative emulations — repositions CINEGRADE LAB from a</w:t>
      </w:r>
      <w:r>
        <w:t xml:space="preserve"> </w:t>
      </w:r>
      <w:r>
        <w:t xml:space="preserve">“</w:t>
      </w:r>
      <w:r>
        <w:t xml:space="preserve">LUT pack</w:t>
      </w:r>
      <w:r>
        <w:t xml:space="preserve">”</w:t>
      </w:r>
      <w:r>
        <w:t xml:space="preserve"> </w:t>
      </w:r>
      <w:r>
        <w:t xml:space="preserve">vendor to a</w:t>
      </w:r>
      <w:r>
        <w:t xml:space="preserve"> </w:t>
      </w:r>
      <w:r>
        <w:t xml:space="preserve">“</w:t>
      </w:r>
      <w:r>
        <w:t xml:space="preserve">universal color platform,</w:t>
      </w:r>
      <w:r>
        <w:t xml:space="preserve">”</w:t>
      </w:r>
      <w:r>
        <w:t xml:space="preserve"> </w:t>
      </w:r>
      <w:r>
        <w:t xml:space="preserve">with corresponding pricing power. Development requires access to test footage from each camera model under controlled lighting, with calibration charts for color accuracy verification against CIEDE2000 ΔE₀₀ thresholds</w:t>
      </w:r>
      <w:r>
        <w:t xml:space="preserve"> </w:t>
      </w:r>
      <w:r>
        <w:rPr>
          <w:vertAlign w:val="superscript"/>
        </w:rPr>
        <w:t xml:space="preserve">67</w:t>
      </w:r>
      <w:r>
        <w:t xml:space="preserve">.</w:t>
      </w:r>
    </w:p>
    <w:p>
      <w:pPr>
        <w:pStyle w:val="BodyText"/>
      </w:pPr>
      <w:r>
        <w:t xml:space="preserve">These three actions, executed within the first 90 days, establish the foundational flywheel — content drives discovery, micro-influencer partnerships drive trust, and camera-specific accuracy drives retention and word-of-mouth — upon which all subsequent growth depends. The eighteen-month roadmap extends this foundation into mobile application development (React Native), desktop client deployment (Electron/Tauri), real-time AI-powered LUT generation from reference images, and a community marketplace for creator-submitted presets with 30% platform commissions. Each phase builds upon the prior: the YouTube channel audience becomes the initial marketplace users; the micro-influencer partners become the first verified creators; the camera profile system becomes the technical backbone of the AI color engine. The strategic objective remains constant throughout: to position CINEGRADE LAB as the definitive color grading ecosystem for creators who demand both cinematic aesthetics and scientific accuracy — the precise intersection where artistic vision meets measurable precision.</w:t>
      </w:r>
      <w:r>
        <w:t xml:space="preserve"> </w:t>
      </w:r>
      <w:r>
        <w:t xml:space="preserve">-e</w:t>
      </w:r>
    </w:p>
    <w:p>
      <w:r>
        <w:pict>
          <v:rect style="width:0;height:1.5pt" o:hralign="center" o:hrstd="t" o:hr="t"/>
        </w:pict>
      </w:r>
    </w:p>
    <w:bookmarkEnd w:id="201"/>
    <w:bookmarkEnd w:id="202"/>
    <w:bookmarkEnd w:id="2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5" Target="media/rId1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2026-05-21T09:44:26Z</dcterms:created>
  <dcterms:modified xsi:type="dcterms:W3CDTF">2026-05-21T09:44:26Z</dcterms:modified>
</cp:coreProperties>
</file>

<file path=docProps/custom.xml><?xml version="1.0" encoding="utf-8"?>
<Properties xmlns="http://schemas.openxmlformats.org/officeDocument/2006/custom-properties" xmlns:vt="http://schemas.openxmlformats.org/officeDocument/2006/docPropsVTypes"/>
</file>