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DBEB7" w14:textId="516534A9" w:rsidR="00B430A7" w:rsidRDefault="00B265DD" w:rsidP="00970C90">
      <w:pPr>
        <w:pStyle w:val="Title"/>
        <w:rPr>
          <w:lang w:val="es-ES"/>
        </w:rPr>
      </w:pPr>
      <w:r>
        <w:rPr>
          <w:lang w:val="es-ES"/>
        </w:rPr>
        <w:t>La Movilización Universitaria en la Formación del Estado Peruano (1917</w:t>
      </w:r>
      <w:r w:rsidR="0073443C" w:rsidRPr="0073443C">
        <w:rPr>
          <w:lang w:val="es-ES"/>
        </w:rPr>
        <w:t>-1993)</w:t>
      </w:r>
    </w:p>
    <w:p w14:paraId="410F7650" w14:textId="30CB2431" w:rsidR="0040261A" w:rsidRDefault="009D456C" w:rsidP="00294850">
      <w:pPr>
        <w:pStyle w:val="Subtitle"/>
        <w:rPr>
          <w:b w:val="0"/>
          <w:i w:val="0"/>
          <w:lang w:val="es-ES"/>
        </w:rPr>
      </w:pPr>
      <w:r w:rsidRPr="00294850">
        <w:rPr>
          <w:b w:val="0"/>
          <w:i w:val="0"/>
          <w:lang w:val="es-ES"/>
        </w:rPr>
        <w:t>Plan de</w:t>
      </w:r>
      <w:r w:rsidR="00B265DD" w:rsidRPr="00294850">
        <w:rPr>
          <w:b w:val="0"/>
          <w:i w:val="0"/>
          <w:lang w:val="es-ES"/>
        </w:rPr>
        <w:t xml:space="preserve"> tesis</w:t>
      </w:r>
      <w:r w:rsidR="004303DC" w:rsidRPr="00294850">
        <w:rPr>
          <w:b w:val="0"/>
          <w:i w:val="0"/>
          <w:lang w:val="es-ES"/>
        </w:rPr>
        <w:t xml:space="preserve"> de licenciatura</w:t>
      </w:r>
      <w:r w:rsidR="00B265DD" w:rsidRPr="00294850">
        <w:rPr>
          <w:b w:val="0"/>
          <w:i w:val="0"/>
          <w:lang w:val="es-ES"/>
        </w:rPr>
        <w:t xml:space="preserve"> el</w:t>
      </w:r>
      <w:r w:rsidRPr="00294850">
        <w:rPr>
          <w:b w:val="0"/>
          <w:i w:val="0"/>
          <w:lang w:val="es-ES"/>
        </w:rPr>
        <w:t>aborado</w:t>
      </w:r>
      <w:r w:rsidR="00B265DD" w:rsidRPr="00294850">
        <w:rPr>
          <w:b w:val="0"/>
          <w:i w:val="0"/>
          <w:lang w:val="es-ES"/>
        </w:rPr>
        <w:t xml:space="preserve"> en el marco del Grupo de Investigación </w:t>
      </w:r>
      <w:r w:rsidR="004303DC" w:rsidRPr="00294850">
        <w:rPr>
          <w:b w:val="0"/>
          <w:i w:val="0"/>
          <w:lang w:val="es-ES"/>
        </w:rPr>
        <w:t>“Historia y Ciudadanía Activa” del Instituto de Historia Rural Andina de la Universidad Nacional Mayor de San Marcos</w:t>
      </w:r>
    </w:p>
    <w:p w14:paraId="7C382C29" w14:textId="77777777" w:rsidR="00294850" w:rsidRPr="00294850" w:rsidRDefault="00294850" w:rsidP="00294850">
      <w:pPr>
        <w:pStyle w:val="NoSpacing"/>
        <w:rPr>
          <w:lang w:val="es-ES"/>
        </w:rPr>
      </w:pPr>
    </w:p>
    <w:p w14:paraId="12032239" w14:textId="0156E5D7" w:rsidR="00294850" w:rsidRPr="0040261A" w:rsidRDefault="0040261A" w:rsidP="005218CC">
      <w:pPr>
        <w:pStyle w:val="NoSpacing"/>
        <w:jc w:val="right"/>
        <w:rPr>
          <w:i/>
          <w:lang w:val="es-ES"/>
        </w:rPr>
      </w:pPr>
      <w:r w:rsidRPr="0040261A">
        <w:rPr>
          <w:i/>
          <w:lang w:val="es-ES"/>
        </w:rPr>
        <w:t>José Manuel Mejía Villena</w:t>
      </w:r>
      <w:r w:rsidR="00294850" w:rsidRPr="00294850">
        <w:rPr>
          <w:rStyle w:val="FootnoteReference"/>
          <w:lang w:val="es-ES"/>
        </w:rPr>
        <w:footnoteReference w:id="1"/>
      </w:r>
    </w:p>
    <w:p w14:paraId="1C09217C" w14:textId="1E5971EE" w:rsidR="00970C90" w:rsidRDefault="000F1B48" w:rsidP="00970C90">
      <w:pPr>
        <w:pStyle w:val="Heading1"/>
        <w:rPr>
          <w:lang w:val="es-ES"/>
        </w:rPr>
      </w:pPr>
      <w:r>
        <w:rPr>
          <w:lang w:val="es-ES"/>
        </w:rPr>
        <w:t>Problematización</w:t>
      </w:r>
    </w:p>
    <w:p w14:paraId="21BF35C3" w14:textId="3C8CE301" w:rsidR="007E11A5" w:rsidRDefault="009B16BE" w:rsidP="00F02EEF">
      <w:pPr>
        <w:rPr>
          <w:lang w:val="es-ES"/>
        </w:rPr>
      </w:pPr>
      <w:r>
        <w:rPr>
          <w:lang w:val="es-ES"/>
        </w:rPr>
        <w:t xml:space="preserve">La </w:t>
      </w:r>
      <w:r w:rsidR="00BD1683">
        <w:rPr>
          <w:lang w:val="es-ES"/>
        </w:rPr>
        <w:t xml:space="preserve">trayectoria de movilización universitaria en el Perú coincide con los albores de la Reforma de Córdoba y se sostiene hasta nuestros días. Sin embargo, las formas de acción colectiva que adoptó </w:t>
      </w:r>
      <w:r w:rsidR="00833675">
        <w:rPr>
          <w:lang w:val="es-ES"/>
        </w:rPr>
        <w:t xml:space="preserve">la movilización universitaria </w:t>
      </w:r>
      <w:r w:rsidR="00BD1683">
        <w:rPr>
          <w:lang w:val="es-ES"/>
        </w:rPr>
        <w:t>no siempre fueron</w:t>
      </w:r>
      <w:r w:rsidR="00833675">
        <w:rPr>
          <w:lang w:val="es-ES"/>
        </w:rPr>
        <w:t>,</w:t>
      </w:r>
      <w:r w:rsidR="00BD1683">
        <w:rPr>
          <w:lang w:val="es-ES"/>
        </w:rPr>
        <w:t xml:space="preserve"> </w:t>
      </w:r>
      <w:r w:rsidR="00833675">
        <w:rPr>
          <w:lang w:val="es-ES"/>
        </w:rPr>
        <w:t>o son, propias de</w:t>
      </w:r>
      <w:r w:rsidR="00BD1683">
        <w:rPr>
          <w:lang w:val="es-ES"/>
        </w:rPr>
        <w:t xml:space="preserve"> </w:t>
      </w:r>
      <w:r w:rsidR="00833675">
        <w:rPr>
          <w:lang w:val="es-ES"/>
        </w:rPr>
        <w:t>un</w:t>
      </w:r>
      <w:r w:rsidR="00BD1683">
        <w:rPr>
          <w:lang w:val="es-ES"/>
        </w:rPr>
        <w:t xml:space="preserve"> movimiento social </w:t>
      </w:r>
      <w:r w:rsidR="00BD1683">
        <w:rPr>
          <w:lang w:val="es-ES"/>
        </w:rPr>
        <w:fldChar w:fldCharType="begin"/>
      </w:r>
      <w:r w:rsidR="0061675F">
        <w:rPr>
          <w:lang w:val="es-ES"/>
        </w:rPr>
        <w:instrText xml:space="preserve"> ADDIN ZOTERO_ITEM CSL_CITATION {"citationID":"ZIgtEbGv","properties":{"formattedCitation":"(Diani 2015a)","plainCitation":"(Diani 2015a)"},"citationItems":[{"id":2886,"uris":["http://zotero.org/users/4081719/items/TXF7FNW8"],"uri":["http://zotero.org/users/4081719/items/TXF7FNW8"],"itemData":{"id":2886,"type":"article-journal","title":"Revisando el concepto de movimiento social","container-title":"Encrucijadas. Revista Crítica de Ciencias Sociales","page":"r0902","volume":"9","shortTitle":"Revisando el concepto de movimiento social","author":[{"family":"Diani","given":"Mario"}],"issued":{"date-parts":[["2015"]]}}}],"schema":"https://github.com/citation-style-language/schema/raw/master/csl-citation.json"} </w:instrText>
      </w:r>
      <w:r w:rsidR="00BD1683">
        <w:rPr>
          <w:lang w:val="es-ES"/>
        </w:rPr>
        <w:fldChar w:fldCharType="separate"/>
      </w:r>
      <w:r w:rsidR="0061675F">
        <w:rPr>
          <w:noProof/>
          <w:lang w:val="es-ES"/>
        </w:rPr>
        <w:t>(Diani 2015a)</w:t>
      </w:r>
      <w:r w:rsidR="00BD1683">
        <w:rPr>
          <w:lang w:val="es-ES"/>
        </w:rPr>
        <w:fldChar w:fldCharType="end"/>
      </w:r>
      <w:r w:rsidR="00BD1683">
        <w:rPr>
          <w:lang w:val="es-ES"/>
        </w:rPr>
        <w:t>.</w:t>
      </w:r>
      <w:r w:rsidR="00D9504F">
        <w:rPr>
          <w:lang w:val="es-ES"/>
        </w:rPr>
        <w:t xml:space="preserve"> </w:t>
      </w:r>
      <w:r w:rsidR="006A5DF0" w:rsidRPr="006A5DF0">
        <w:rPr>
          <w:lang w:val="es-ES"/>
        </w:rPr>
        <w:t>La propuesta de conceptualización del movimiento social como un modo de coordinación de la acción colectiva</w:t>
      </w:r>
      <w:r w:rsidR="00833675">
        <w:rPr>
          <w:lang w:val="es-ES"/>
        </w:rPr>
        <w:t>,</w:t>
      </w:r>
      <w:r w:rsidR="006A5DF0">
        <w:rPr>
          <w:lang w:val="es-ES"/>
        </w:rPr>
        <w:t xml:space="preserve"> es útil</w:t>
      </w:r>
      <w:r w:rsidR="006A5DF0" w:rsidRPr="006A5DF0">
        <w:rPr>
          <w:lang w:val="es-ES"/>
        </w:rPr>
        <w:t xml:space="preserve"> para superar la afición por observar movimientos sociales </w:t>
      </w:r>
      <w:r w:rsidR="00C111DD">
        <w:rPr>
          <w:lang w:val="es-ES"/>
        </w:rPr>
        <w:t>cuando</w:t>
      </w:r>
      <w:r w:rsidR="006A5DF0" w:rsidRPr="006A5DF0">
        <w:rPr>
          <w:lang w:val="es-ES"/>
        </w:rPr>
        <w:t xml:space="preserve"> </w:t>
      </w:r>
      <w:r w:rsidR="009A7237">
        <w:rPr>
          <w:lang w:val="es-ES"/>
        </w:rPr>
        <w:t>–tal vez–</w:t>
      </w:r>
      <w:r w:rsidR="006A5DF0" w:rsidRPr="006A5DF0">
        <w:rPr>
          <w:lang w:val="es-ES"/>
        </w:rPr>
        <w:t xml:space="preserve"> la movilización </w:t>
      </w:r>
      <w:r w:rsidR="009A7237">
        <w:rPr>
          <w:lang w:val="es-ES"/>
        </w:rPr>
        <w:t>(</w:t>
      </w:r>
      <w:r w:rsidR="00C111DD">
        <w:rPr>
          <w:lang w:val="es-ES"/>
        </w:rPr>
        <w:t>universitaria, por ejemplo</w:t>
      </w:r>
      <w:r w:rsidR="009A7237">
        <w:rPr>
          <w:lang w:val="es-ES"/>
        </w:rPr>
        <w:t>)</w:t>
      </w:r>
      <w:r w:rsidR="00C111DD">
        <w:rPr>
          <w:lang w:val="es-ES"/>
        </w:rPr>
        <w:t xml:space="preserve"> </w:t>
      </w:r>
      <w:r w:rsidR="006A5DF0" w:rsidRPr="006A5DF0">
        <w:rPr>
          <w:lang w:val="es-ES"/>
        </w:rPr>
        <w:t xml:space="preserve">se </w:t>
      </w:r>
      <w:r w:rsidR="00C111DD">
        <w:rPr>
          <w:lang w:val="es-ES"/>
        </w:rPr>
        <w:t>comprende mejor</w:t>
      </w:r>
      <w:r w:rsidR="006A5DF0" w:rsidRPr="006A5DF0">
        <w:rPr>
          <w:lang w:val="es-ES"/>
        </w:rPr>
        <w:t xml:space="preserve"> </w:t>
      </w:r>
      <w:r w:rsidR="00C111DD">
        <w:rPr>
          <w:lang w:val="es-ES"/>
        </w:rPr>
        <w:t>con</w:t>
      </w:r>
      <w:r w:rsidR="006A5DF0" w:rsidRPr="006A5DF0">
        <w:rPr>
          <w:lang w:val="es-ES"/>
        </w:rPr>
        <w:t xml:space="preserve"> otros modos </w:t>
      </w:r>
      <w:r w:rsidR="00C111DD">
        <w:rPr>
          <w:lang w:val="es-ES"/>
        </w:rPr>
        <w:t xml:space="preserve">(tipos conceptuales) </w:t>
      </w:r>
      <w:r w:rsidR="006A5DF0" w:rsidRPr="006A5DF0">
        <w:rPr>
          <w:lang w:val="es-ES"/>
        </w:rPr>
        <w:t>de coor</w:t>
      </w:r>
      <w:r w:rsidR="00C111DD">
        <w:rPr>
          <w:lang w:val="es-ES"/>
        </w:rPr>
        <w:t>dinación de la acción colectiva como</w:t>
      </w:r>
      <w:r w:rsidR="00833675">
        <w:rPr>
          <w:lang w:val="es-ES"/>
        </w:rPr>
        <w:t xml:space="preserve"> las</w:t>
      </w:r>
      <w:r w:rsidR="006A5DF0" w:rsidRPr="006A5DF0">
        <w:rPr>
          <w:lang w:val="es-ES"/>
        </w:rPr>
        <w:t xml:space="preserve"> coaliciones, organizaciones y/o s</w:t>
      </w:r>
      <w:r w:rsidR="00C111DD">
        <w:rPr>
          <w:lang w:val="es-ES"/>
        </w:rPr>
        <w:t xml:space="preserve">ubculturas </w:t>
      </w:r>
      <w:r w:rsidR="00A42471">
        <w:rPr>
          <w:lang w:val="es-ES"/>
        </w:rPr>
        <w:fldChar w:fldCharType="begin"/>
      </w:r>
      <w:r w:rsidR="0061675F">
        <w:rPr>
          <w:lang w:val="es-ES"/>
        </w:rPr>
        <w:instrText xml:space="preserve"> ADDIN ZOTERO_ITEM CSL_CITATION {"citationID":"NfIu4eTo","properties":{"formattedCitation":"(Diani 2015a, 10-12)","plainCitation":"(Diani 2015a, 10-12)"},"citationItems":[{"id":2886,"uris":["http://zotero.org/users/4081719/items/TXF7FNW8"],"uri":["http://zotero.org/users/4081719/items/TXF7FNW8"],"itemData":{"id":2886,"type":"article-journal","title":"Revisando el concepto de movimiento social","container-title":"Encrucijadas. Revista Crítica de Ciencias Sociales","page":"r0902","volume":"9","shortTitle":"Revisando el concepto de movimiento social","author":[{"family":"Diani","given":"Mario"}],"issued":{"date-parts":[["2015"]]}},"locator":"10-12","label":"page"}],"schema":"https://github.com/citation-style-language/schema/raw/master/csl-citation.json"} </w:instrText>
      </w:r>
      <w:r w:rsidR="00A42471">
        <w:rPr>
          <w:lang w:val="es-ES"/>
        </w:rPr>
        <w:fldChar w:fldCharType="separate"/>
      </w:r>
      <w:r w:rsidR="0061675F">
        <w:rPr>
          <w:noProof/>
          <w:lang w:val="es-ES"/>
        </w:rPr>
        <w:t>(Diani 2015a, 10-12)</w:t>
      </w:r>
      <w:r w:rsidR="00A42471">
        <w:rPr>
          <w:lang w:val="es-ES"/>
        </w:rPr>
        <w:fldChar w:fldCharType="end"/>
      </w:r>
      <w:r w:rsidR="00DA67FB">
        <w:rPr>
          <w:lang w:val="es-ES"/>
        </w:rPr>
        <w:t>.</w:t>
      </w:r>
      <w:r w:rsidR="002B7C9B">
        <w:rPr>
          <w:rStyle w:val="FootnoteReference"/>
          <w:lang w:val="es-ES"/>
        </w:rPr>
        <w:footnoteReference w:id="2"/>
      </w:r>
    </w:p>
    <w:p w14:paraId="14052BF8" w14:textId="230BCEFA" w:rsidR="00B21CCF" w:rsidRDefault="00DA67FB" w:rsidP="00F02EEF">
      <w:pPr>
        <w:rPr>
          <w:lang w:val="es-ES"/>
        </w:rPr>
      </w:pPr>
      <w:r>
        <w:rPr>
          <w:lang w:val="es-ES"/>
        </w:rPr>
        <w:t>Pero, m</w:t>
      </w:r>
      <w:r w:rsidR="00451325">
        <w:rPr>
          <w:lang w:val="es-ES"/>
        </w:rPr>
        <w:t xml:space="preserve">ás allá de esbozar este problema </w:t>
      </w:r>
      <w:r w:rsidR="00833675">
        <w:rPr>
          <w:lang w:val="es-ES"/>
        </w:rPr>
        <w:t>conceptual</w:t>
      </w:r>
      <w:r w:rsidR="00451325">
        <w:rPr>
          <w:lang w:val="es-ES"/>
        </w:rPr>
        <w:t>, esta tesis busca explicar los efectos duraderos de</w:t>
      </w:r>
      <w:r w:rsidR="009A7237">
        <w:rPr>
          <w:lang w:val="es-ES"/>
        </w:rPr>
        <w:t xml:space="preserve"> la movilización universitaria en</w:t>
      </w:r>
      <w:r w:rsidR="00451325">
        <w:rPr>
          <w:lang w:val="es-ES"/>
        </w:rPr>
        <w:t xml:space="preserve"> la configuración de instituciones </w:t>
      </w:r>
      <w:r w:rsidR="00566457">
        <w:rPr>
          <w:lang w:val="es-ES"/>
        </w:rPr>
        <w:t xml:space="preserve">y estructuras sociales que definen el contexto histórico </w:t>
      </w:r>
      <w:r w:rsidR="009A7237">
        <w:rPr>
          <w:lang w:val="es-ES"/>
        </w:rPr>
        <w:t>de los</w:t>
      </w:r>
      <w:r w:rsidR="007F1B8F">
        <w:rPr>
          <w:lang w:val="es-ES"/>
        </w:rPr>
        <w:t xml:space="preserve"> </w:t>
      </w:r>
      <w:r w:rsidR="00566457">
        <w:rPr>
          <w:lang w:val="es-ES"/>
        </w:rPr>
        <w:t>eventos contenciosos sucesivos</w:t>
      </w:r>
      <w:r w:rsidR="00240249">
        <w:rPr>
          <w:lang w:val="es-ES"/>
        </w:rPr>
        <w:t xml:space="preserve"> dentro y fuera del </w:t>
      </w:r>
      <w:r w:rsidR="00240249" w:rsidRPr="009A7237">
        <w:rPr>
          <w:highlight w:val="yellow"/>
          <w:lang w:val="es-ES"/>
        </w:rPr>
        <w:t>campo de contienda universitario</w:t>
      </w:r>
      <w:r w:rsidR="00566457">
        <w:rPr>
          <w:lang w:val="es-ES"/>
        </w:rPr>
        <w:t>.</w:t>
      </w:r>
      <w:r>
        <w:rPr>
          <w:lang w:val="es-ES"/>
        </w:rPr>
        <w:t xml:space="preserve"> </w:t>
      </w:r>
      <w:r w:rsidR="00566457">
        <w:rPr>
          <w:lang w:val="es-ES"/>
        </w:rPr>
        <w:t xml:space="preserve">En ese sentido, </w:t>
      </w:r>
      <w:r w:rsidR="00240249">
        <w:rPr>
          <w:lang w:val="es-ES"/>
        </w:rPr>
        <w:t>los efectos durables que produjo</w:t>
      </w:r>
      <w:r w:rsidR="00566457">
        <w:rPr>
          <w:lang w:val="es-ES"/>
        </w:rPr>
        <w:t xml:space="preserve"> la lucha política colectiva de los universitarios en el Perú no solo deben evidenciarse en la configuración de instituciones educativas y estructuras sociales espacializadas en la universidad. Aquí se sostiene que la movilización universitaria conecta las luchas políticas colectivas de dos campos de contienda</w:t>
      </w:r>
      <w:r w:rsidR="001612A9">
        <w:rPr>
          <w:lang w:val="es-ES"/>
        </w:rPr>
        <w:t xml:space="preserve"> superpuestos: el campo de contienda campesino y el campo de contienda sindical. </w:t>
      </w:r>
    </w:p>
    <w:p w14:paraId="5CFAAB46" w14:textId="4F1B3EA4" w:rsidR="00566457" w:rsidRDefault="001612A9" w:rsidP="00F02EEF">
      <w:pPr>
        <w:rPr>
          <w:lang w:val="es-ES"/>
        </w:rPr>
      </w:pPr>
      <w:r w:rsidRPr="000008CA">
        <w:rPr>
          <w:lang w:val="es-ES"/>
        </w:rPr>
        <w:lastRenderedPageBreak/>
        <w:t>Así, los efectos durables de la movilización universitaria debieran trascender el propio campo de contienda universitario, haciéndose evidentes a través del rastreo de sus redes de acción colectiva y</w:t>
      </w:r>
      <w:r w:rsidR="00B21CCF" w:rsidRPr="000008CA">
        <w:rPr>
          <w:lang w:val="es-ES"/>
        </w:rPr>
        <w:t xml:space="preserve"> de los</w:t>
      </w:r>
      <w:r w:rsidRPr="000008CA">
        <w:rPr>
          <w:lang w:val="es-ES"/>
        </w:rPr>
        <w:t xml:space="preserve"> </w:t>
      </w:r>
      <w:r w:rsidR="00144766" w:rsidRPr="000008CA">
        <w:rPr>
          <w:lang w:val="es-ES"/>
        </w:rPr>
        <w:t xml:space="preserve">bordes sociales que definen su identidad colectiva en relación a </w:t>
      </w:r>
      <w:r w:rsidR="00E70AFC" w:rsidRPr="000008CA">
        <w:rPr>
          <w:lang w:val="es-ES"/>
        </w:rPr>
        <w:t xml:space="preserve">la dinámica de contienda política peruana que </w:t>
      </w:r>
      <w:r w:rsidR="005A31D5" w:rsidRPr="000008CA">
        <w:rPr>
          <w:lang w:val="es-ES"/>
        </w:rPr>
        <w:t>comprende</w:t>
      </w:r>
      <w:r w:rsidR="00CF2824" w:rsidRPr="000008CA">
        <w:rPr>
          <w:lang w:val="es-ES"/>
        </w:rPr>
        <w:t>,</w:t>
      </w:r>
      <w:r w:rsidR="00144766" w:rsidRPr="000008CA">
        <w:rPr>
          <w:lang w:val="es-ES"/>
        </w:rPr>
        <w:t xml:space="preserve"> </w:t>
      </w:r>
      <w:r w:rsidR="00DA67FB" w:rsidRPr="000008CA">
        <w:rPr>
          <w:lang w:val="es-ES"/>
        </w:rPr>
        <w:t>además</w:t>
      </w:r>
      <w:r w:rsidR="00CF2824" w:rsidRPr="000008CA">
        <w:rPr>
          <w:lang w:val="es-ES"/>
        </w:rPr>
        <w:t>,</w:t>
      </w:r>
      <w:r w:rsidR="00DA67FB" w:rsidRPr="000008CA">
        <w:rPr>
          <w:lang w:val="es-ES"/>
        </w:rPr>
        <w:t xml:space="preserve"> </w:t>
      </w:r>
      <w:r w:rsidR="005A31D5" w:rsidRPr="000008CA">
        <w:rPr>
          <w:lang w:val="es-ES"/>
        </w:rPr>
        <w:t xml:space="preserve">los campos de contienda </w:t>
      </w:r>
      <w:r w:rsidR="00144766" w:rsidRPr="000008CA">
        <w:rPr>
          <w:lang w:val="es-ES"/>
        </w:rPr>
        <w:t>campesino y sindical.</w:t>
      </w:r>
    </w:p>
    <w:p w14:paraId="3BEC0728" w14:textId="7F5551B6" w:rsidR="005A31D5" w:rsidRDefault="006152D4" w:rsidP="00F02EEF">
      <w:pPr>
        <w:rPr>
          <w:lang w:val="es-ES"/>
        </w:rPr>
      </w:pPr>
      <w:r>
        <w:rPr>
          <w:lang w:val="es-ES"/>
        </w:rPr>
        <w:t>Con la finalidad de justificar la definición del periodo de estudio, d</w:t>
      </w:r>
      <w:r w:rsidR="005D45CF">
        <w:rPr>
          <w:lang w:val="es-ES"/>
        </w:rPr>
        <w:t xml:space="preserve">os elementos </w:t>
      </w:r>
      <w:r w:rsidR="002A7D45">
        <w:rPr>
          <w:lang w:val="es-ES"/>
        </w:rPr>
        <w:t>específicos</w:t>
      </w:r>
      <w:r w:rsidR="005D45CF">
        <w:rPr>
          <w:lang w:val="es-ES"/>
        </w:rPr>
        <w:t xml:space="preserve"> se</w:t>
      </w:r>
      <w:r w:rsidR="001B3071">
        <w:rPr>
          <w:lang w:val="es-ES"/>
        </w:rPr>
        <w:t xml:space="preserve"> insertan en </w:t>
      </w:r>
      <w:r w:rsidR="003E47BC">
        <w:rPr>
          <w:lang w:val="es-ES"/>
        </w:rPr>
        <w:t>el marco teórico de esta tesis</w:t>
      </w:r>
      <w:r>
        <w:rPr>
          <w:lang w:val="es-ES"/>
        </w:rPr>
        <w:t>.</w:t>
      </w:r>
      <w:r w:rsidR="005D45CF">
        <w:rPr>
          <w:lang w:val="es-ES"/>
        </w:rPr>
        <w:t xml:space="preserve"> </w:t>
      </w:r>
      <w:r>
        <w:rPr>
          <w:lang w:val="es-ES"/>
        </w:rPr>
        <w:t>E</w:t>
      </w:r>
      <w:r w:rsidR="005D45CF">
        <w:rPr>
          <w:lang w:val="es-ES"/>
        </w:rPr>
        <w:t>l primero se refiere al proceso de democratización</w:t>
      </w:r>
      <w:r>
        <w:rPr>
          <w:lang w:val="es-ES"/>
        </w:rPr>
        <w:t xml:space="preserve"> del régimen oligárquico,</w:t>
      </w:r>
      <w:r w:rsidR="005D45CF">
        <w:rPr>
          <w:lang w:val="es-ES"/>
        </w:rPr>
        <w:t xml:space="preserve"> en tanto</w:t>
      </w:r>
      <w:r w:rsidR="007E626B">
        <w:rPr>
          <w:lang w:val="es-ES"/>
        </w:rPr>
        <w:t>,</w:t>
      </w:r>
      <w:r w:rsidR="005D45CF">
        <w:rPr>
          <w:lang w:val="es-ES"/>
        </w:rPr>
        <w:t xml:space="preserve"> el segundo atiende </w:t>
      </w:r>
      <w:r w:rsidR="007E626B">
        <w:rPr>
          <w:lang w:val="es-ES"/>
        </w:rPr>
        <w:t>a</w:t>
      </w:r>
      <w:r w:rsidR="005D45CF">
        <w:rPr>
          <w:lang w:val="es-ES"/>
        </w:rPr>
        <w:t xml:space="preserve">l episodio revolucionario como </w:t>
      </w:r>
      <w:r w:rsidR="001B3071">
        <w:rPr>
          <w:lang w:val="es-ES"/>
        </w:rPr>
        <w:t>configurativos</w:t>
      </w:r>
      <w:r w:rsidR="00DA7D5A">
        <w:rPr>
          <w:lang w:val="es-ES"/>
        </w:rPr>
        <w:t xml:space="preserve"> de la trayectoria </w:t>
      </w:r>
      <w:r w:rsidR="001B3071">
        <w:rPr>
          <w:lang w:val="es-ES"/>
        </w:rPr>
        <w:t>–</w:t>
      </w:r>
      <w:r w:rsidR="00DA7D5A">
        <w:rPr>
          <w:lang w:val="es-ES"/>
        </w:rPr>
        <w:t>y situación</w:t>
      </w:r>
      <w:r w:rsidR="007E626B">
        <w:rPr>
          <w:lang w:val="es-ES"/>
        </w:rPr>
        <w:t xml:space="preserve"> histórica</w:t>
      </w:r>
      <w:r w:rsidR="001B3071">
        <w:rPr>
          <w:lang w:val="es-ES"/>
        </w:rPr>
        <w:t>–</w:t>
      </w:r>
      <w:r w:rsidR="00DA7D5A">
        <w:rPr>
          <w:lang w:val="es-ES"/>
        </w:rPr>
        <w:t xml:space="preserve"> particular del conflicto político</w:t>
      </w:r>
      <w:r w:rsidR="001B3071">
        <w:rPr>
          <w:lang w:val="es-ES"/>
        </w:rPr>
        <w:t xml:space="preserve"> peruano</w:t>
      </w:r>
      <w:r w:rsidR="003E47BC">
        <w:rPr>
          <w:lang w:val="es-ES"/>
        </w:rPr>
        <w:t xml:space="preserve"> hasta 1993</w:t>
      </w:r>
      <w:r w:rsidR="00DA67FB">
        <w:rPr>
          <w:lang w:val="es-ES"/>
        </w:rPr>
        <w:t>,</w:t>
      </w:r>
      <w:r w:rsidR="001B3071">
        <w:rPr>
          <w:lang w:val="es-ES"/>
        </w:rPr>
        <w:t xml:space="preserve"> enmarcando</w:t>
      </w:r>
      <w:r w:rsidR="007E626B">
        <w:rPr>
          <w:lang w:val="es-ES"/>
        </w:rPr>
        <w:t xml:space="preserve"> la movilización universitaria en un proceso social</w:t>
      </w:r>
      <w:r w:rsidR="00DA7D5A">
        <w:rPr>
          <w:lang w:val="es-ES"/>
        </w:rPr>
        <w:t xml:space="preserve"> </w:t>
      </w:r>
      <w:r w:rsidR="003E47BC">
        <w:rPr>
          <w:lang w:val="es-ES"/>
        </w:rPr>
        <w:t xml:space="preserve">de </w:t>
      </w:r>
      <w:r w:rsidR="00463163">
        <w:rPr>
          <w:lang w:val="es-ES"/>
        </w:rPr>
        <w:t>mayor robustez</w:t>
      </w:r>
      <w:r w:rsidR="005A31D5">
        <w:rPr>
          <w:lang w:val="es-ES"/>
        </w:rPr>
        <w:t>:</w:t>
      </w:r>
      <w:r w:rsidR="00DA7D5A">
        <w:rPr>
          <w:lang w:val="es-ES"/>
        </w:rPr>
        <w:t xml:space="preserve"> la formación del estado peruano.</w:t>
      </w:r>
      <w:r>
        <w:rPr>
          <w:lang w:val="es-ES"/>
        </w:rPr>
        <w:t xml:space="preserve"> </w:t>
      </w:r>
      <w:r w:rsidR="00B52E11">
        <w:rPr>
          <w:lang w:val="es-ES"/>
        </w:rPr>
        <w:t>Así, es posible estudiar de manera consistente la movilización universitaria entre 1917 y 1993</w:t>
      </w:r>
      <w:r w:rsidR="00F35046">
        <w:rPr>
          <w:lang w:val="es-ES"/>
        </w:rPr>
        <w:t xml:space="preserve"> en tanto sus eventos contenciosos se conectan</w:t>
      </w:r>
      <w:r w:rsidR="000C5B15">
        <w:rPr>
          <w:lang w:val="es-ES"/>
        </w:rPr>
        <w:t xml:space="preserve"> </w:t>
      </w:r>
      <w:r w:rsidR="00F35046">
        <w:rPr>
          <w:lang w:val="es-ES"/>
        </w:rPr>
        <w:t xml:space="preserve">con </w:t>
      </w:r>
      <w:r w:rsidR="000C5B15">
        <w:rPr>
          <w:lang w:val="es-ES"/>
        </w:rPr>
        <w:t xml:space="preserve">i) </w:t>
      </w:r>
      <w:r w:rsidR="00F35046">
        <w:rPr>
          <w:lang w:val="es-ES"/>
        </w:rPr>
        <w:t xml:space="preserve">la movilización campesina y sindical en las trayectorias de lucha que definieron el carácter institucional de la democratización del régimen oligárquico, y </w:t>
      </w:r>
      <w:r w:rsidR="000C5B15">
        <w:rPr>
          <w:lang w:val="es-ES"/>
        </w:rPr>
        <w:t xml:space="preserve">ii) </w:t>
      </w:r>
      <w:r w:rsidR="00F35046">
        <w:rPr>
          <w:lang w:val="es-ES"/>
        </w:rPr>
        <w:t xml:space="preserve">con la radicalización propia del episodio revolucionario </w:t>
      </w:r>
      <w:r w:rsidR="00EF5CD0">
        <w:rPr>
          <w:lang w:val="es-ES"/>
        </w:rPr>
        <w:t>que de</w:t>
      </w:r>
      <w:r w:rsidR="000C5B15">
        <w:rPr>
          <w:lang w:val="es-ES"/>
        </w:rPr>
        <w:t>nota</w:t>
      </w:r>
      <w:r w:rsidR="00EF5CD0">
        <w:rPr>
          <w:lang w:val="es-ES"/>
        </w:rPr>
        <w:t xml:space="preserve"> el hito final de esta investigació</w:t>
      </w:r>
      <w:r w:rsidR="000C5B15">
        <w:rPr>
          <w:lang w:val="es-ES"/>
        </w:rPr>
        <w:t>n, como un punto crítico en la formación del estado peruano.</w:t>
      </w:r>
    </w:p>
    <w:p w14:paraId="207C4FB5" w14:textId="5CE32CA8" w:rsidR="00A3361B" w:rsidRPr="008F4056" w:rsidRDefault="001D23F1" w:rsidP="00563E54">
      <w:pPr>
        <w:rPr>
          <w:lang w:val="es-ES"/>
        </w:rPr>
      </w:pPr>
      <w:r>
        <w:rPr>
          <w:lang w:val="es-ES"/>
        </w:rPr>
        <w:t>Entonces, esta</w:t>
      </w:r>
      <w:r w:rsidR="008F4056" w:rsidRPr="008F4056">
        <w:rPr>
          <w:lang w:val="es-ES"/>
        </w:rPr>
        <w:t xml:space="preserve"> trayectoria de movilización universitaria </w:t>
      </w:r>
      <w:r w:rsidR="00273BE3">
        <w:rPr>
          <w:lang w:val="es-ES"/>
        </w:rPr>
        <w:t>debe</w:t>
      </w:r>
      <w:r w:rsidR="008F4056" w:rsidRPr="008F4056">
        <w:rPr>
          <w:lang w:val="es-ES"/>
        </w:rPr>
        <w:t xml:space="preserve"> comprenderse en relación a la formación del estado peruano –a nivel nacional– y</w:t>
      </w:r>
      <w:r w:rsidR="002A7D45">
        <w:rPr>
          <w:lang w:val="es-ES"/>
        </w:rPr>
        <w:t>, por tanto,</w:t>
      </w:r>
      <w:r w:rsidR="008F4056" w:rsidRPr="008F4056">
        <w:rPr>
          <w:lang w:val="es-ES"/>
        </w:rPr>
        <w:t xml:space="preserve"> en relación al proceso de colonización –a nivel regional,</w:t>
      </w:r>
      <w:r w:rsidR="00DA67FB">
        <w:rPr>
          <w:lang w:val="es-ES"/>
        </w:rPr>
        <w:t xml:space="preserve"> o</w:t>
      </w:r>
      <w:r w:rsidR="008F4056" w:rsidRPr="008F4056">
        <w:rPr>
          <w:lang w:val="es-ES"/>
        </w:rPr>
        <w:t xml:space="preserve"> incluso global–. El p</w:t>
      </w:r>
      <w:r w:rsidR="002A7D45">
        <w:rPr>
          <w:lang w:val="es-ES"/>
        </w:rPr>
        <w:t>roceso de colonización configuró</w:t>
      </w:r>
      <w:r w:rsidR="008F4056" w:rsidRPr="008F4056">
        <w:rPr>
          <w:lang w:val="es-ES"/>
        </w:rPr>
        <w:t xml:space="preserve"> l</w:t>
      </w:r>
      <w:r w:rsidR="00A243CD">
        <w:rPr>
          <w:lang w:val="es-ES"/>
        </w:rPr>
        <w:t>a estructura de clases sociales</w:t>
      </w:r>
      <w:r w:rsidR="00273BE3">
        <w:rPr>
          <w:lang w:val="es-ES"/>
        </w:rPr>
        <w:t xml:space="preserve"> en el marco del imperialismo</w:t>
      </w:r>
      <w:r>
        <w:rPr>
          <w:lang w:val="es-ES"/>
        </w:rPr>
        <w:t>,</w:t>
      </w:r>
      <w:r w:rsidR="008F4056" w:rsidRPr="008F4056">
        <w:rPr>
          <w:lang w:val="es-ES"/>
        </w:rPr>
        <w:t xml:space="preserve"> </w:t>
      </w:r>
      <w:r w:rsidR="00273BE3">
        <w:rPr>
          <w:lang w:val="es-ES"/>
        </w:rPr>
        <w:t>con</w:t>
      </w:r>
      <w:r w:rsidR="008F4056" w:rsidRPr="008F4056">
        <w:rPr>
          <w:lang w:val="es-ES"/>
        </w:rPr>
        <w:t xml:space="preserve"> la formación de la oligarquía nacional como enclave capitalista tr</w:t>
      </w:r>
      <w:r w:rsidR="00273BE3">
        <w:rPr>
          <w:lang w:val="es-ES"/>
        </w:rPr>
        <w:t>as las guerras independentistas. Así, e</w:t>
      </w:r>
      <w:r w:rsidR="008F4056" w:rsidRPr="008F4056">
        <w:rPr>
          <w:lang w:val="es-ES"/>
        </w:rPr>
        <w:t>l proceso de formación del estado peruano inicia su trayectoria republicana en un contexto histórico que ya evidenciaba un episodio de conflicto étnico robusto</w:t>
      </w:r>
      <w:r w:rsidR="00273BE3">
        <w:rPr>
          <w:lang w:val="es-ES"/>
        </w:rPr>
        <w:t xml:space="preserve"> configurado por la colonización</w:t>
      </w:r>
      <w:r w:rsidR="00563E54">
        <w:rPr>
          <w:lang w:val="es-ES"/>
        </w:rPr>
        <w:t xml:space="preserve">. </w:t>
      </w:r>
      <w:r w:rsidR="00273BE3">
        <w:rPr>
          <w:lang w:val="es-ES"/>
        </w:rPr>
        <w:t>La</w:t>
      </w:r>
      <w:r w:rsidR="008F63FE">
        <w:rPr>
          <w:lang w:val="es-ES"/>
        </w:rPr>
        <w:t xml:space="preserve"> formación del estado peruano y el conflicto étnico configuran </w:t>
      </w:r>
      <w:r w:rsidR="00104458">
        <w:rPr>
          <w:lang w:val="es-ES"/>
        </w:rPr>
        <w:t xml:space="preserve">un primer </w:t>
      </w:r>
      <w:r w:rsidR="00563E54">
        <w:rPr>
          <w:lang w:val="es-ES"/>
        </w:rPr>
        <w:t>campo de contienda campesino</w:t>
      </w:r>
      <w:r w:rsidR="00A3361B">
        <w:rPr>
          <w:lang w:val="es-ES"/>
        </w:rPr>
        <w:t>,</w:t>
      </w:r>
      <w:r w:rsidR="00104458">
        <w:rPr>
          <w:lang w:val="es-ES"/>
        </w:rPr>
        <w:t xml:space="preserve"> </w:t>
      </w:r>
      <w:r w:rsidR="00CB1BEF">
        <w:rPr>
          <w:lang w:val="es-ES"/>
        </w:rPr>
        <w:t>precedente</w:t>
      </w:r>
      <w:r w:rsidR="00104458">
        <w:rPr>
          <w:lang w:val="es-ES"/>
        </w:rPr>
        <w:t xml:space="preserve"> al propio de</w:t>
      </w:r>
      <w:r w:rsidR="00563E54" w:rsidRPr="008F4056">
        <w:rPr>
          <w:lang w:val="es-ES"/>
        </w:rPr>
        <w:t xml:space="preserve"> la movilización </w:t>
      </w:r>
      <w:r w:rsidR="00104458">
        <w:rPr>
          <w:lang w:val="es-ES"/>
        </w:rPr>
        <w:t>universitaria</w:t>
      </w:r>
      <w:r w:rsidR="00563E54" w:rsidRPr="008F4056">
        <w:rPr>
          <w:lang w:val="es-ES"/>
        </w:rPr>
        <w:t xml:space="preserve"> </w:t>
      </w:r>
      <w:r w:rsidR="00CB1BEF">
        <w:rPr>
          <w:lang w:val="es-ES"/>
        </w:rPr>
        <w:t>que</w:t>
      </w:r>
      <w:r>
        <w:rPr>
          <w:lang w:val="es-ES"/>
        </w:rPr>
        <w:t xml:space="preserve"> –</w:t>
      </w:r>
      <w:r w:rsidR="00CB1BEF">
        <w:rPr>
          <w:lang w:val="es-ES"/>
        </w:rPr>
        <w:t>a su vez</w:t>
      </w:r>
      <w:r>
        <w:rPr>
          <w:lang w:val="es-ES"/>
        </w:rPr>
        <w:t xml:space="preserve">– </w:t>
      </w:r>
      <w:r w:rsidR="00CB1BEF">
        <w:rPr>
          <w:lang w:val="es-ES"/>
        </w:rPr>
        <w:t>precede a la configuración del campo de contienda sindical.</w:t>
      </w:r>
    </w:p>
    <w:p w14:paraId="1944392D" w14:textId="139A0B60" w:rsidR="000008CA" w:rsidRDefault="0064153C" w:rsidP="000008CA">
      <w:pPr>
        <w:rPr>
          <w:lang w:val="es-ES"/>
        </w:rPr>
      </w:pPr>
      <w:r>
        <w:rPr>
          <w:lang w:val="es-ES"/>
        </w:rPr>
        <w:t>La</w:t>
      </w:r>
      <w:r w:rsidR="00563E54" w:rsidRPr="008F4056">
        <w:rPr>
          <w:lang w:val="es-ES"/>
        </w:rPr>
        <w:t xml:space="preserve"> movilización universitaria se radicaliza con la generación del veinte, más precisamente con la formación de una masa crítica de intelectuales </w:t>
      </w:r>
      <w:r w:rsidR="00676FEA">
        <w:rPr>
          <w:lang w:val="es-ES"/>
        </w:rPr>
        <w:t xml:space="preserve">ligados al indigenismo </w:t>
      </w:r>
      <w:r w:rsidR="00563E54" w:rsidRPr="008F4056">
        <w:rPr>
          <w:lang w:val="es-ES"/>
        </w:rPr>
        <w:t>entre los que destacó José Carlos Mariátegui con la construcción del Partido Comunista del Perú (PCP), el Sindicato Único de Trabajadores por la Educación del Perú (SUTEP), la Central General de Trabajadores del Perú (CGTP) y el Frente de Estudiantes Revolucionario (FER)</w:t>
      </w:r>
      <w:r w:rsidR="00563E54">
        <w:rPr>
          <w:lang w:val="es-ES"/>
        </w:rPr>
        <w:t>.</w:t>
      </w:r>
      <w:r w:rsidR="00CB1BEF">
        <w:rPr>
          <w:lang w:val="es-ES"/>
        </w:rPr>
        <w:t xml:space="preserve"> </w:t>
      </w:r>
      <w:r w:rsidR="00A06E5E">
        <w:rPr>
          <w:lang w:val="es-ES"/>
        </w:rPr>
        <w:t>Este</w:t>
      </w:r>
      <w:r w:rsidR="00563E54" w:rsidRPr="008F4056">
        <w:rPr>
          <w:lang w:val="es-ES"/>
        </w:rPr>
        <w:t xml:space="preserve"> proceso de radicalización de la movilizac</w:t>
      </w:r>
      <w:r w:rsidR="00B033C8">
        <w:rPr>
          <w:lang w:val="es-ES"/>
        </w:rPr>
        <w:t>ión universitaria que va de 1918</w:t>
      </w:r>
      <w:r w:rsidR="00563E54" w:rsidRPr="008F4056">
        <w:rPr>
          <w:lang w:val="es-ES"/>
        </w:rPr>
        <w:t xml:space="preserve"> (Reforma de Córdoba) a 1993 (Constitución neoliberal) </w:t>
      </w:r>
      <w:r w:rsidR="000008CA">
        <w:rPr>
          <w:lang w:val="es-ES"/>
        </w:rPr>
        <w:t>puede rastrearse</w:t>
      </w:r>
      <w:r w:rsidR="000008CA" w:rsidRPr="008F4056">
        <w:rPr>
          <w:lang w:val="es-ES"/>
        </w:rPr>
        <w:t xml:space="preserve"> </w:t>
      </w:r>
      <w:r w:rsidR="000008CA">
        <w:rPr>
          <w:lang w:val="es-ES"/>
        </w:rPr>
        <w:t xml:space="preserve">en los catálogos de sus eventos contenciosos y </w:t>
      </w:r>
      <w:r w:rsidR="000008CA" w:rsidRPr="008F4056">
        <w:rPr>
          <w:lang w:val="es-ES"/>
        </w:rPr>
        <w:t xml:space="preserve">en la </w:t>
      </w:r>
      <w:r w:rsidR="000008CA" w:rsidRPr="008F4056">
        <w:rPr>
          <w:lang w:val="es-ES"/>
        </w:rPr>
        <w:lastRenderedPageBreak/>
        <w:t>historia de sus organizaciones</w:t>
      </w:r>
      <w:r w:rsidR="000008CA">
        <w:rPr>
          <w:lang w:val="es-ES"/>
        </w:rPr>
        <w:t xml:space="preserve"> y redes de contienda política, solo cuando </w:t>
      </w:r>
      <w:r w:rsidR="000008CA" w:rsidRPr="008F4056">
        <w:rPr>
          <w:lang w:val="es-ES"/>
        </w:rPr>
        <w:t>se estudia a la luz del contexto macro histórico en que se enmarcan sus trayectorias de lucha.</w:t>
      </w:r>
      <w:r w:rsidR="000008CA">
        <w:rPr>
          <w:lang w:val="es-ES"/>
        </w:rPr>
        <w:t xml:space="preserve"> </w:t>
      </w:r>
      <w:r w:rsidR="000008CA" w:rsidRPr="008F4056">
        <w:rPr>
          <w:lang w:val="es-ES"/>
        </w:rPr>
        <w:t>Cuando dicho contexto es configurado por la acumulación de los efectos durabl</w:t>
      </w:r>
      <w:r w:rsidR="000008CA">
        <w:rPr>
          <w:lang w:val="es-ES"/>
        </w:rPr>
        <w:t xml:space="preserve">es producidos con los </w:t>
      </w:r>
      <w:r w:rsidR="000008CA" w:rsidRPr="008F4056">
        <w:rPr>
          <w:lang w:val="es-ES"/>
        </w:rPr>
        <w:t>eventos que encarnaron</w:t>
      </w:r>
      <w:r w:rsidR="000008CA">
        <w:rPr>
          <w:lang w:val="es-ES"/>
        </w:rPr>
        <w:t xml:space="preserve"> la lucha popular en el pasado, constriñendo así las condiciones en que se desarrolla la contienda política del presente y futuro.</w:t>
      </w:r>
    </w:p>
    <w:p w14:paraId="0B4F0057" w14:textId="093FD340" w:rsidR="001C3022" w:rsidRDefault="001C3022" w:rsidP="000008CA">
      <w:pPr>
        <w:rPr>
          <w:lang w:val="es-ES"/>
        </w:rPr>
      </w:pPr>
      <w:r>
        <w:rPr>
          <w:lang w:val="es-ES"/>
        </w:rPr>
        <w:t>Entonces</w:t>
      </w:r>
      <w:r>
        <w:rPr>
          <w:lang w:val="es-ES"/>
        </w:rPr>
        <w:t>, esta tesis busca</w:t>
      </w:r>
      <w:r w:rsidR="008B2D0A">
        <w:rPr>
          <w:lang w:val="es-ES"/>
        </w:rPr>
        <w:t>rá</w:t>
      </w:r>
      <w:r>
        <w:rPr>
          <w:lang w:val="es-ES"/>
        </w:rPr>
        <w:t xml:space="preserve"> explicar los efectos duraderos de la movilización universitaria </w:t>
      </w:r>
      <w:r w:rsidR="008B2D0A">
        <w:rPr>
          <w:lang w:val="es-ES"/>
        </w:rPr>
        <w:t>sobre el proceso de formación del estado peruano. Efectos que –como se mencionaba al principio–</w:t>
      </w:r>
      <w:r>
        <w:rPr>
          <w:lang w:val="es-ES"/>
        </w:rPr>
        <w:t xml:space="preserve"> no solo deben evidenciarse en la configuración de instituciones educativas y estructuras sociales e</w:t>
      </w:r>
      <w:r w:rsidR="008B2D0A">
        <w:rPr>
          <w:lang w:val="es-ES"/>
        </w:rPr>
        <w:t>spacializadas en la universidad,</w:t>
      </w:r>
      <w:r>
        <w:rPr>
          <w:lang w:val="es-ES"/>
        </w:rPr>
        <w:t xml:space="preserve"> </w:t>
      </w:r>
      <w:r w:rsidR="008B2D0A">
        <w:rPr>
          <w:lang w:val="es-ES"/>
        </w:rPr>
        <w:t>sino en su relación con</w:t>
      </w:r>
      <w:r>
        <w:rPr>
          <w:lang w:val="es-ES"/>
        </w:rPr>
        <w:t xml:space="preserve"> las luchas políticas colectivas </w:t>
      </w:r>
      <w:r w:rsidR="008B2D0A">
        <w:rPr>
          <w:lang w:val="es-ES"/>
        </w:rPr>
        <w:t>propias de dos</w:t>
      </w:r>
      <w:r>
        <w:rPr>
          <w:lang w:val="es-ES"/>
        </w:rPr>
        <w:t xml:space="preserve"> campos de contienda superpuestos: el campo de contienda campesino y </w:t>
      </w:r>
      <w:r w:rsidR="004F0EAC">
        <w:rPr>
          <w:lang w:val="es-ES"/>
        </w:rPr>
        <w:t>el campo de contienda sindical.</w:t>
      </w:r>
    </w:p>
    <w:p w14:paraId="7658DD89" w14:textId="1670E298" w:rsidR="00E42AFA" w:rsidRDefault="00E42AFA" w:rsidP="00277F0D">
      <w:pPr>
        <w:pStyle w:val="Heading1"/>
        <w:rPr>
          <w:lang w:val="es-ES"/>
        </w:rPr>
      </w:pPr>
      <w:r>
        <w:rPr>
          <w:lang w:val="es-ES"/>
        </w:rPr>
        <w:t>Preguntas de investigación</w:t>
      </w:r>
    </w:p>
    <w:p w14:paraId="03B1930D" w14:textId="1CDAEF31" w:rsidR="00E42AFA" w:rsidRDefault="00AE25CD" w:rsidP="00AE25CD">
      <w:pPr>
        <w:pStyle w:val="ListParagraph"/>
        <w:numPr>
          <w:ilvl w:val="0"/>
          <w:numId w:val="2"/>
        </w:numPr>
        <w:rPr>
          <w:lang w:val="es-ES"/>
        </w:rPr>
      </w:pPr>
      <w:r>
        <w:rPr>
          <w:lang w:val="es-ES"/>
        </w:rPr>
        <w:t>¿Qué efectos durables produjo la movilización universitaria sobre el proceso de formación del estado peruano</w:t>
      </w:r>
      <w:r w:rsidR="000621E0">
        <w:rPr>
          <w:lang w:val="es-ES"/>
        </w:rPr>
        <w:t xml:space="preserve"> entre 1917 y 1993</w:t>
      </w:r>
      <w:r>
        <w:rPr>
          <w:lang w:val="es-ES"/>
        </w:rPr>
        <w:t>?</w:t>
      </w:r>
    </w:p>
    <w:p w14:paraId="74CF933C" w14:textId="063DE76E" w:rsidR="00AE25CD" w:rsidRPr="000621E0" w:rsidRDefault="0068368F" w:rsidP="005901F0">
      <w:pPr>
        <w:pStyle w:val="ListParagraph"/>
        <w:numPr>
          <w:ilvl w:val="0"/>
          <w:numId w:val="2"/>
        </w:numPr>
        <w:rPr>
          <w:lang w:val="es-ES"/>
        </w:rPr>
      </w:pPr>
      <w:r>
        <w:rPr>
          <w:lang w:val="es-ES"/>
        </w:rPr>
        <w:t>¿Cómo se relacionó</w:t>
      </w:r>
      <w:r w:rsidR="00AE25CD" w:rsidRPr="000621E0">
        <w:rPr>
          <w:lang w:val="es-ES"/>
        </w:rPr>
        <w:t xml:space="preserve"> la movilización universitaria con la lucha política colectiva desarrollada en los campos de contienda campesino y sindical?</w:t>
      </w:r>
    </w:p>
    <w:p w14:paraId="50A5DA78" w14:textId="74C7BAF1" w:rsidR="003A718F" w:rsidRDefault="00AE25CD" w:rsidP="005901F0">
      <w:pPr>
        <w:pStyle w:val="ListParagraph"/>
        <w:numPr>
          <w:ilvl w:val="0"/>
          <w:numId w:val="2"/>
        </w:numPr>
        <w:rPr>
          <w:lang w:val="es-ES"/>
        </w:rPr>
      </w:pPr>
      <w:r w:rsidRPr="000621E0">
        <w:rPr>
          <w:lang w:val="es-ES"/>
        </w:rPr>
        <w:t>¿</w:t>
      </w:r>
      <w:r w:rsidR="00C71257" w:rsidRPr="000621E0">
        <w:rPr>
          <w:lang w:val="es-ES"/>
        </w:rPr>
        <w:t>Por qué</w:t>
      </w:r>
      <w:r w:rsidRPr="000621E0">
        <w:rPr>
          <w:lang w:val="es-ES"/>
        </w:rPr>
        <w:t xml:space="preserve"> </w:t>
      </w:r>
      <w:r w:rsidR="000621E0" w:rsidRPr="000621E0">
        <w:rPr>
          <w:lang w:val="es-ES"/>
        </w:rPr>
        <w:t xml:space="preserve">el campo de contienda universitario constituyó un espacio social en que operaron con mayor poder los </w:t>
      </w:r>
      <w:r w:rsidR="005B46B6" w:rsidRPr="000621E0">
        <w:rPr>
          <w:lang w:val="es-ES"/>
        </w:rPr>
        <w:t>procesos de democratización del régimen oligárquico y de radicalización revolucionaria</w:t>
      </w:r>
      <w:r w:rsidR="000621E0">
        <w:rPr>
          <w:lang w:val="es-ES"/>
        </w:rPr>
        <w:t>?</w:t>
      </w:r>
    </w:p>
    <w:p w14:paraId="2D5B98D4" w14:textId="396A55BD" w:rsidR="000621E0" w:rsidRDefault="000621E0" w:rsidP="000621E0">
      <w:pPr>
        <w:pStyle w:val="Heading1"/>
        <w:rPr>
          <w:lang w:val="es-ES"/>
        </w:rPr>
      </w:pPr>
      <w:r>
        <w:rPr>
          <w:lang w:val="es-ES"/>
        </w:rPr>
        <w:t>Objetivos</w:t>
      </w:r>
    </w:p>
    <w:p w14:paraId="3F67FE37" w14:textId="79393BD0" w:rsidR="000621E0" w:rsidRDefault="00D334CC" w:rsidP="0009231B">
      <w:pPr>
        <w:pStyle w:val="ListParagraph"/>
        <w:numPr>
          <w:ilvl w:val="0"/>
          <w:numId w:val="3"/>
        </w:numPr>
        <w:rPr>
          <w:lang w:val="es-ES"/>
        </w:rPr>
      </w:pPr>
      <w:r>
        <w:rPr>
          <w:lang w:val="es-ES"/>
        </w:rPr>
        <w:t>Explicar</w:t>
      </w:r>
      <w:r w:rsidR="0009231B">
        <w:rPr>
          <w:lang w:val="es-ES"/>
        </w:rPr>
        <w:t xml:space="preserve"> los cambios culturales y estructurales </w:t>
      </w:r>
      <w:r>
        <w:rPr>
          <w:lang w:val="es-ES"/>
        </w:rPr>
        <w:t>en el contexto histórico configurado</w:t>
      </w:r>
      <w:r w:rsidR="0009231B">
        <w:rPr>
          <w:lang w:val="es-ES"/>
        </w:rPr>
        <w:t xml:space="preserve"> con la democratización del régimen oligárquico y la radicalización revolucionaria</w:t>
      </w:r>
      <w:r w:rsidR="002A0D84">
        <w:rPr>
          <w:lang w:val="es-ES"/>
        </w:rPr>
        <w:t xml:space="preserve">, como </w:t>
      </w:r>
      <w:r>
        <w:rPr>
          <w:lang w:val="es-ES"/>
        </w:rPr>
        <w:t>efectos durables de la movilización universitaria que va de 1917 a 1993.</w:t>
      </w:r>
    </w:p>
    <w:p w14:paraId="5FA81541" w14:textId="3A9EAEB1" w:rsidR="00D334CC" w:rsidRDefault="00D334CC" w:rsidP="005901F0">
      <w:pPr>
        <w:pStyle w:val="ListParagraph"/>
        <w:numPr>
          <w:ilvl w:val="0"/>
          <w:numId w:val="3"/>
        </w:numPr>
        <w:rPr>
          <w:lang w:val="es-ES"/>
        </w:rPr>
      </w:pPr>
      <w:r>
        <w:rPr>
          <w:lang w:val="es-ES"/>
        </w:rPr>
        <w:t>Rastrear los mecanismos relacionales que evidencian los modos de coordinación de la acción colectiva en el campo de contienda universitario</w:t>
      </w:r>
      <w:r w:rsidR="00DA6696">
        <w:rPr>
          <w:lang w:val="es-ES"/>
        </w:rPr>
        <w:t>, así como sus conexiones con la movilización campesina y sindical.</w:t>
      </w:r>
    </w:p>
    <w:p w14:paraId="4C322412" w14:textId="57265E82" w:rsidR="00DA6696" w:rsidRPr="0009231B" w:rsidRDefault="008978AF" w:rsidP="005901F0">
      <w:pPr>
        <w:pStyle w:val="ListParagraph"/>
        <w:numPr>
          <w:ilvl w:val="0"/>
          <w:numId w:val="3"/>
        </w:numPr>
        <w:rPr>
          <w:lang w:val="es-ES"/>
        </w:rPr>
      </w:pPr>
      <w:r>
        <w:rPr>
          <w:lang w:val="es-ES"/>
        </w:rPr>
        <w:t xml:space="preserve">Explicar la imbricación espacial de </w:t>
      </w:r>
      <w:r w:rsidRPr="000621E0">
        <w:rPr>
          <w:lang w:val="es-ES"/>
        </w:rPr>
        <w:t>los procesos de democratización del régimen oligárquico y de radicalización revolucionaria</w:t>
      </w:r>
      <w:r>
        <w:rPr>
          <w:lang w:val="es-ES"/>
        </w:rPr>
        <w:t xml:space="preserve"> en el campo de contienda universitario</w:t>
      </w:r>
      <w:r w:rsidR="00A6112E">
        <w:rPr>
          <w:lang w:val="es-ES"/>
        </w:rPr>
        <w:t>.</w:t>
      </w:r>
    </w:p>
    <w:p w14:paraId="4F2DD7B4" w14:textId="61122813" w:rsidR="00B60859" w:rsidRDefault="000F1B48" w:rsidP="00B033C8">
      <w:pPr>
        <w:pStyle w:val="Heading1"/>
        <w:rPr>
          <w:lang w:val="es-ES"/>
        </w:rPr>
      </w:pPr>
      <w:r>
        <w:rPr>
          <w:lang w:val="es-ES"/>
        </w:rPr>
        <w:lastRenderedPageBreak/>
        <w:t>Hipótesis</w:t>
      </w:r>
    </w:p>
    <w:p w14:paraId="56BB5E62" w14:textId="37E01BF5" w:rsidR="00A71B92" w:rsidRDefault="00C932EA" w:rsidP="001F50DF">
      <w:pPr>
        <w:pStyle w:val="ListParagraph"/>
        <w:numPr>
          <w:ilvl w:val="0"/>
          <w:numId w:val="4"/>
        </w:numPr>
        <w:rPr>
          <w:lang w:val="es-ES"/>
        </w:rPr>
      </w:pPr>
      <w:r>
        <w:rPr>
          <w:lang w:val="es-ES"/>
        </w:rPr>
        <w:t>El campo de contienda universitario se estructura en un contexto histórico marcado por las luchas campesinas contra el régimen oligárquico</w:t>
      </w:r>
      <w:r w:rsidR="00E950E6">
        <w:rPr>
          <w:lang w:val="es-ES"/>
        </w:rPr>
        <w:t xml:space="preserve"> para </w:t>
      </w:r>
      <w:r>
        <w:rPr>
          <w:lang w:val="es-ES"/>
        </w:rPr>
        <w:t>el cual la Reforma de Córdoba</w:t>
      </w:r>
      <w:r w:rsidR="00E950E6">
        <w:rPr>
          <w:lang w:val="es-ES"/>
        </w:rPr>
        <w:t xml:space="preserve"> representó</w:t>
      </w:r>
      <w:r>
        <w:rPr>
          <w:lang w:val="es-ES"/>
        </w:rPr>
        <w:t xml:space="preserve"> un </w:t>
      </w:r>
      <w:r w:rsidR="00E950E6">
        <w:rPr>
          <w:lang w:val="es-ES"/>
        </w:rPr>
        <w:t>hito de democratización, a la vez que facilitó la construcción de sus estructuras y redes organizativas</w:t>
      </w:r>
      <w:r w:rsidR="002C5E52">
        <w:rPr>
          <w:lang w:val="es-ES"/>
        </w:rPr>
        <w:t xml:space="preserve"> en conexión con las luchas sindicales.</w:t>
      </w:r>
      <w:r w:rsidR="007036FA">
        <w:rPr>
          <w:lang w:val="es-ES"/>
        </w:rPr>
        <w:t xml:space="preserve"> La movilización universitaria, en ese sentido, conecta los campos de contienda campesino y sindical </w:t>
      </w:r>
      <w:r w:rsidR="0050291D">
        <w:rPr>
          <w:lang w:val="es-ES"/>
        </w:rPr>
        <w:t>en</w:t>
      </w:r>
      <w:r w:rsidR="007036FA">
        <w:rPr>
          <w:lang w:val="es-ES"/>
        </w:rPr>
        <w:t xml:space="preserve"> el proceso de formación del estado peruano</w:t>
      </w:r>
      <w:r w:rsidR="0050291D">
        <w:rPr>
          <w:lang w:val="es-ES"/>
        </w:rPr>
        <w:t>,</w:t>
      </w:r>
      <w:r w:rsidR="007036FA">
        <w:rPr>
          <w:lang w:val="es-ES"/>
        </w:rPr>
        <w:t xml:space="preserve"> a través de los efectos durables que produjeron sus eventos contenciosos en la democratización del régimen oligárquico y en la radicalización revolucionaria que termina en 1993 con la promulgación de la constitución neoliberal.</w:t>
      </w:r>
    </w:p>
    <w:p w14:paraId="4F47466E" w14:textId="466FAC09" w:rsidR="006C7D07" w:rsidRDefault="003B2888" w:rsidP="001F50DF">
      <w:pPr>
        <w:pStyle w:val="ListParagraph"/>
        <w:numPr>
          <w:ilvl w:val="0"/>
          <w:numId w:val="4"/>
        </w:numPr>
        <w:rPr>
          <w:lang w:val="es-ES"/>
        </w:rPr>
      </w:pPr>
      <w:r>
        <w:rPr>
          <w:lang w:val="es-ES"/>
        </w:rPr>
        <w:t>La movilización universitaria no siempre puede ser conceptualizada como movimiento social. La definición de estructuras organizacionales para la toma de decisiones respecto a la movilización y de los lí</w:t>
      </w:r>
      <w:r w:rsidR="004D2491">
        <w:rPr>
          <w:lang w:val="es-ES"/>
        </w:rPr>
        <w:t>mites que definen su</w:t>
      </w:r>
      <w:r>
        <w:rPr>
          <w:lang w:val="es-ES"/>
        </w:rPr>
        <w:t xml:space="preserve"> identidad </w:t>
      </w:r>
      <w:r w:rsidR="004D2491">
        <w:rPr>
          <w:lang w:val="es-ES"/>
        </w:rPr>
        <w:t>colectiva varia</w:t>
      </w:r>
      <w:r w:rsidR="007D2111">
        <w:rPr>
          <w:lang w:val="es-ES"/>
        </w:rPr>
        <w:t>ron en función al contexto. L</w:t>
      </w:r>
      <w:r w:rsidR="004D2491">
        <w:rPr>
          <w:lang w:val="es-ES"/>
        </w:rPr>
        <w:t>a radicalización revolucionaria y la democratización del régimen oligárquico configuraron el contexto cultural y estructural en que la movilización universitaria se desarrolló, constriñendo sus efectos duraderos en la formación del estado peruano.</w:t>
      </w:r>
      <w:r w:rsidR="007D2111">
        <w:rPr>
          <w:lang w:val="es-ES"/>
        </w:rPr>
        <w:t xml:space="preserve"> Ambos procesos políticos tuvieron, a su vez, efectos durables en las relaciones que se configuraron entre los campos de contienda campesino, universitario y sindical. </w:t>
      </w:r>
    </w:p>
    <w:p w14:paraId="4305B99C" w14:textId="30D43F22" w:rsidR="003B2888" w:rsidRPr="001F50DF" w:rsidRDefault="008E449E" w:rsidP="001F50DF">
      <w:pPr>
        <w:pStyle w:val="ListParagraph"/>
        <w:numPr>
          <w:ilvl w:val="0"/>
          <w:numId w:val="4"/>
        </w:numPr>
        <w:rPr>
          <w:lang w:val="es-ES"/>
        </w:rPr>
      </w:pPr>
      <w:r>
        <w:rPr>
          <w:lang w:val="es-ES"/>
        </w:rPr>
        <w:t>La democratización del régimen oligárquico y la radicalización revolucionaria fueron procesos políticos espacialmente concentrados en el espacio social que connota el campo de contienda universitario</w:t>
      </w:r>
      <w:r w:rsidR="00005571">
        <w:rPr>
          <w:lang w:val="es-ES"/>
        </w:rPr>
        <w:t xml:space="preserve"> debido al cambio cultural que florece con la </w:t>
      </w:r>
      <w:r w:rsidR="002C2B6F">
        <w:rPr>
          <w:lang w:val="es-ES"/>
        </w:rPr>
        <w:t xml:space="preserve">generación del veinte y a la construcción </w:t>
      </w:r>
      <w:r w:rsidR="00F33747">
        <w:rPr>
          <w:lang w:val="es-ES"/>
        </w:rPr>
        <w:t>de estructuras de movilización</w:t>
      </w:r>
      <w:r w:rsidR="002C2B6F">
        <w:rPr>
          <w:lang w:val="es-ES"/>
        </w:rPr>
        <w:t xml:space="preserve"> </w:t>
      </w:r>
      <w:r w:rsidR="00F33747">
        <w:rPr>
          <w:lang w:val="es-ES"/>
        </w:rPr>
        <w:t>derivadas de</w:t>
      </w:r>
      <w:r w:rsidR="002C2B6F">
        <w:rPr>
          <w:lang w:val="es-ES"/>
        </w:rPr>
        <w:t xml:space="preserve"> su programa político</w:t>
      </w:r>
      <w:r w:rsidR="003A1E23">
        <w:rPr>
          <w:lang w:val="es-ES"/>
        </w:rPr>
        <w:t>.</w:t>
      </w:r>
    </w:p>
    <w:p w14:paraId="12020B80" w14:textId="4131311F" w:rsidR="00A75271" w:rsidRPr="00A75271" w:rsidRDefault="00970C90" w:rsidP="00A75271">
      <w:pPr>
        <w:pStyle w:val="Heading1"/>
        <w:rPr>
          <w:lang w:val="es-ES"/>
        </w:rPr>
      </w:pPr>
      <w:r>
        <w:rPr>
          <w:lang w:val="es-ES"/>
        </w:rPr>
        <w:t>Metodología</w:t>
      </w:r>
    </w:p>
    <w:p w14:paraId="33BB74B5" w14:textId="77777777" w:rsidR="00012009" w:rsidRPr="00F32E7B" w:rsidRDefault="00012009" w:rsidP="00012009">
      <w:pPr>
        <w:rPr>
          <w:color w:val="auto"/>
        </w:rPr>
      </w:pPr>
      <w:r w:rsidRPr="00F32E7B">
        <w:rPr>
          <w:color w:val="auto"/>
          <w:lang w:val="es-ES_tradnl"/>
        </w:rPr>
        <w:fldChar w:fldCharType="begin"/>
      </w:r>
      <w:r w:rsidRPr="00F32E7B">
        <w:rPr>
          <w:color w:val="auto"/>
          <w:lang w:val="es-ES_tradnl"/>
        </w:rPr>
        <w:instrText xml:space="preserve"> ADDIN ZOTERO_ITEM CSL_CITATION {"citationID":"T72uLs5B","properties":{"custom":"Tilly (2002, 249)","formattedCitation":"Tilly (2002, 249)","plainCitation":"Tilly (2002, 249)"},"citationItems":[{"id":3778,"uris":["http://zotero.org/users/4081719/items/XH56H2JJ"],"uri":["http://zotero.org/users/4081719/items/XH56H2JJ"],"itemData":{"id":3778,"type":"article-journal","title":"Event Catalogs as Theories","container-title":"Sociological Theory","page":"248-254","volume":"20","issue":"2","abstract":"All empirical social research rests, at least implicitly, on not one but two theories: a theory explaining the phenomenon under study, another theory explaining the generation of evidence concerning the phenomenon. The two theories necessarily interact, setting important constraints on each other. The second theory answers questions about how the phenomenon leaves traces, how analysts can observe those traces, and how analysts can reconstruct attributes, elements, causes, and effects of the phenomenon from those traces. As employed in studies of contentious politics, event catalogs raise all these questions. Competing conceptions of the phenomenon under study as protest, as collective violence, as collective action, as conflict, and as contentious claimmaking imply different measurement strategies. The strategy of aggregation follows plausibly from identification of the phenomenon as protest or violence, the strategy of incidence from most of the competing conceptions, the strategy of internal regularities only from treatments of the crucial phenomenon as collective action, conflict, or contentious claim-making.","URL":"http://www.blackwell-synergy.com/links/doi/10.1111/1467-9558.00161","DOI":"10.1111/1467-9558.00161","author":[{"family":"Tilly","given":"Charles"}],"issued":{"date-parts":[["2002",7]]}},"locator":"249","label":"page"}],"schema":"https://github.com/citation-style-language/schema/raw/master/csl-citation.json"} </w:instrText>
      </w:r>
      <w:r w:rsidRPr="00F32E7B">
        <w:rPr>
          <w:color w:val="auto"/>
          <w:lang w:val="es-ES_tradnl"/>
        </w:rPr>
        <w:fldChar w:fldCharType="separate"/>
      </w:r>
      <w:proofErr w:type="spellStart"/>
      <w:r w:rsidRPr="00F32E7B">
        <w:rPr>
          <w:color w:val="auto"/>
          <w:lang w:val="es-ES_tradnl"/>
        </w:rPr>
        <w:t>Tilly</w:t>
      </w:r>
      <w:proofErr w:type="spellEnd"/>
      <w:r w:rsidRPr="00F32E7B">
        <w:rPr>
          <w:color w:val="auto"/>
          <w:lang w:val="es-ES_tradnl"/>
        </w:rPr>
        <w:t xml:space="preserve"> (2002, 249)</w:t>
      </w:r>
      <w:r w:rsidRPr="00F32E7B">
        <w:rPr>
          <w:color w:val="auto"/>
          <w:lang w:val="es-ES_tradnl"/>
        </w:rPr>
        <w:fldChar w:fldCharType="end"/>
      </w:r>
      <w:r w:rsidRPr="00F32E7B">
        <w:rPr>
          <w:color w:val="auto"/>
          <w:lang w:val="es-ES_tradnl"/>
        </w:rPr>
        <w:t xml:space="preserve"> nos inducía a la construcción de dos teorías imbricadas: una relativa al fenómeno que requiere explicación y otra teoría relativa a la generación de evidencia sobre aquel. </w:t>
      </w:r>
      <w:proofErr w:type="spellStart"/>
      <w:r w:rsidRPr="00F32E7B">
        <w:rPr>
          <w:color w:val="auto"/>
        </w:rPr>
        <w:t>En</w:t>
      </w:r>
      <w:proofErr w:type="spellEnd"/>
      <w:r w:rsidRPr="00F32E7B">
        <w:rPr>
          <w:color w:val="auto"/>
        </w:rPr>
        <w:t xml:space="preserve"> ese </w:t>
      </w:r>
      <w:proofErr w:type="spellStart"/>
      <w:r w:rsidRPr="00F32E7B">
        <w:rPr>
          <w:color w:val="auto"/>
        </w:rPr>
        <w:t>sentido</w:t>
      </w:r>
      <w:proofErr w:type="spellEnd"/>
      <w:r w:rsidRPr="00F32E7B">
        <w:rPr>
          <w:color w:val="auto"/>
        </w:rPr>
        <w:t xml:space="preserve">, </w:t>
      </w:r>
      <w:r w:rsidRPr="00F32E7B">
        <w:rPr>
          <w:color w:val="auto"/>
          <w:lang w:val="es-ES_tradnl"/>
        </w:rPr>
        <w:fldChar w:fldCharType="begin"/>
      </w:r>
      <w:r w:rsidRPr="00F32E7B">
        <w:rPr>
          <w:color w:val="auto"/>
        </w:rPr>
        <w:instrText xml:space="preserve"> ADDIN ZOTERO_ITEM CSL_CITATION {"citationID":"a2dpmcggqkb","properties":{"custom":"Hutter (2014, 341)","formattedCitation":"Hutter (2014, 341)","plainCitation":"Hutter (2014, 341)"},"citationItems":[{"id":7435,"uris":["http://zotero.org/users/4081719/items/PC8B86DC"],"uri":["http://zotero.org/users/4081719/items/PC8B86DC"],"itemData":{"id":7435,"type":"chapter","title":"Protest event analysis and its offspring","container-title":"Methodological Practices in Social Movements Research","publisher":"Oxford University Press","publisher-place":"Oxford","page":"335-367","event-place":"Oxford","abstract":"… JavaScript is disabled for your browser. Some features of this site may not work without it. Protestevent analysis and its offspring. HUTTER, Swen. Title: Protest event analysis and its offspring.Author: HUTTER, Swen. Date: 2014. Citation: Donatella DELLA PORTA (ed.), Methodologicalpractices in social movement research, Oxford : Oxford University Press, 2014, pp. 335-367. URI:http://hdl.handle.net/1814/33401. Show full item record. Files in this item. Files, Size, Format,View. There are no files associated with this item. Collections. SPS Contributions to Books …","author":[{"family":"Hutter","given":"Swen"}],"editor":[{"family":"Della Porta","given":"Donatella"}],"issued":{"date-parts":[["2014"]]}},"locator":"341","label":"page"}],"schema":"https://github.com/citation-style-language/schema/raw/master/csl-citation.json"} </w:instrText>
      </w:r>
      <w:r w:rsidRPr="00F32E7B">
        <w:rPr>
          <w:color w:val="auto"/>
          <w:lang w:val="es-ES_tradnl"/>
        </w:rPr>
        <w:fldChar w:fldCharType="separate"/>
      </w:r>
      <w:proofErr w:type="spellStart"/>
      <w:r w:rsidRPr="00F32E7B">
        <w:rPr>
          <w:color w:val="auto"/>
        </w:rPr>
        <w:t>Hutter</w:t>
      </w:r>
      <w:proofErr w:type="spellEnd"/>
      <w:r w:rsidRPr="00F32E7B">
        <w:rPr>
          <w:color w:val="auto"/>
        </w:rPr>
        <w:t xml:space="preserve"> (2014, 341)</w:t>
      </w:r>
      <w:r w:rsidRPr="00F32E7B">
        <w:rPr>
          <w:color w:val="auto"/>
          <w:lang w:val="es-ES_tradnl"/>
        </w:rPr>
        <w:fldChar w:fldCharType="end"/>
      </w:r>
      <w:r w:rsidRPr="00F32E7B">
        <w:rPr>
          <w:color w:val="auto"/>
        </w:rPr>
        <w:t xml:space="preserve"> </w:t>
      </w:r>
      <w:proofErr w:type="spellStart"/>
      <w:r w:rsidRPr="00F32E7B">
        <w:rPr>
          <w:color w:val="auto"/>
        </w:rPr>
        <w:t>citaba</w:t>
      </w:r>
      <w:proofErr w:type="spellEnd"/>
      <w:r w:rsidRPr="00F32E7B">
        <w:rPr>
          <w:color w:val="auto"/>
        </w:rPr>
        <w:t>:</w:t>
      </w:r>
    </w:p>
    <w:p w14:paraId="39791BA5" w14:textId="77777777" w:rsidR="00012009" w:rsidRPr="00F32E7B" w:rsidRDefault="00012009" w:rsidP="00FF5190">
      <w:pPr>
        <w:pStyle w:val="Quote"/>
      </w:pPr>
      <w:r w:rsidRPr="00F32E7B">
        <w:t xml:space="preserve">“Researchers must ultimately make decisions about which forms of action deserve to be analyzed, what features of those actions are worthy of attention, what sources should be used to gain information about these events, and how one should organize the process of recording this information. In a </w:t>
      </w:r>
      <w:proofErr w:type="spellStart"/>
      <w:r w:rsidRPr="00F32E7B">
        <w:t>well­formulated</w:t>
      </w:r>
      <w:proofErr w:type="spellEnd"/>
      <w:r w:rsidRPr="00F32E7B">
        <w:t xml:space="preserve"> study, both theory and context must </w:t>
      </w:r>
      <w:r w:rsidRPr="00F32E7B">
        <w:lastRenderedPageBreak/>
        <w:t xml:space="preserve">interact to inform these choices” </w:t>
      </w:r>
      <w:r w:rsidRPr="00F32E7B">
        <w:fldChar w:fldCharType="begin"/>
      </w:r>
      <w:r w:rsidRPr="00F32E7B">
        <w:instrText xml:space="preserve"> ADDIN ZOTERO_ITEM CSL_CITATION {"citationID":"a13vad5banr","properties":{"custom":"(Beissinger 2002, 460f en Hutter 2014, 341)","formattedCitation":"(Beissinger 2002, 460f en Hutter 2014, 341)","plainCitation":"(Beissinger 2002, 460f en Hutter 2014, 341)"},"citationItems":[{"id":7471,"uris":["http://zotero.org/users/4081719/items/NGA8YB6R"],"uri":["http://zotero.org/users/4081719/items/NGA8YB6R"],"itemData":{"id":7471,"type":"book","title":"Nationalist Mobilization and the Collapse of the Soviet State","publisher":"Cambridge University Press","publisher-place":"Cambridge","event-place":"Cambridge","author":[{"family":"Beissinger","given":"Mark"}],"issued":{"date-parts":[["2002"]]}},"locator":"460f","label":"page"},{"id":7435,"uris":["http://zotero.org/users/4081719/items/PC8B86DC"],"uri":["http://zotero.org/users/4081719/items/PC8B86DC"],"itemData":{"id":7435,"type":"chapter","title":"Protest event analysis and its offspring","container-title":"Methodological Practices in Social Movements Research","publisher":"Oxford University Press","publisher-place":"Oxford","page":"335-367","event-place":"Oxford","abstract":"… JavaScript is disabled for your browser. Some features of this site may not work without it. Protestevent analysis and its offspring. HUTTER, Swen. Title: Protest event analysis and its offspring.Author: HUTTER, Swen. Date: 2014. Citation: Donatella DELLA PORTA (ed.), Methodologicalpractices in social movement research, Oxford : Oxford University Press, 2014, pp. 335-367. URI:http://hdl.handle.net/1814/33401. Show full item record. Files in this item. Files, Size, Format,View. There are no files associated with this item. Collections. SPS Contributions to Books …","author":[{"family":"Hutter","given":"Swen"}],"editor":[{"family":"Della Porta","given":"Donatella"}],"issued":{"date-parts":[["2014"]]}},"locator":"341","label":"page"}],"schema":"https://github.com/citation-style-language/schema/raw/master/csl-citation.json"} </w:instrText>
      </w:r>
      <w:r w:rsidRPr="00F32E7B">
        <w:fldChar w:fldCharType="separate"/>
      </w:r>
      <w:r w:rsidRPr="00F32E7B">
        <w:rPr>
          <w:noProof/>
        </w:rPr>
        <w:t>(Beissinger 2002, 460f en Hutter 2014, 341)</w:t>
      </w:r>
      <w:r w:rsidRPr="00F32E7B">
        <w:fldChar w:fldCharType="end"/>
      </w:r>
      <w:r w:rsidRPr="00F32E7B">
        <w:t>.</w:t>
      </w:r>
    </w:p>
    <w:p w14:paraId="76266540" w14:textId="77777777" w:rsidR="00012009" w:rsidRPr="00F32E7B" w:rsidRDefault="00012009" w:rsidP="00012009">
      <w:pPr>
        <w:rPr>
          <w:color w:val="auto"/>
          <w:lang w:val="es-ES_tradnl"/>
        </w:rPr>
      </w:pPr>
      <w:r w:rsidRPr="00F32E7B">
        <w:rPr>
          <w:color w:val="auto"/>
          <w:lang w:val="es-ES_tradnl"/>
        </w:rPr>
        <w:t>Así, las decisiones relativas a la conceptualización de la unidad de análisis (evento contencioso), la definición de sus componentes analíticos (actor-</w:t>
      </w:r>
      <w:r w:rsidRPr="00F32E7B">
        <w:rPr>
          <w:i/>
          <w:color w:val="auto"/>
          <w:lang w:val="es-ES_tradnl"/>
        </w:rPr>
        <w:t>performance-</w:t>
      </w:r>
      <w:r w:rsidRPr="00F32E7B">
        <w:rPr>
          <w:color w:val="auto"/>
          <w:lang w:val="es-ES_tradnl"/>
        </w:rPr>
        <w:t>demanda-objeto), la especificación de las fuentes, condiciones de levantamiento y registro de los datos, así como el detalle del procedimiento de (re)codificación y agregación de los eventos contenciosos (catálogo de eventos) son descritos en adelante.</w:t>
      </w:r>
    </w:p>
    <w:p w14:paraId="3A074010" w14:textId="77777777" w:rsidR="00012009" w:rsidRPr="00012009" w:rsidRDefault="00012009" w:rsidP="00012009">
      <w:pPr>
        <w:pStyle w:val="Heading2"/>
        <w:rPr>
          <w:lang w:val="es-ES"/>
        </w:rPr>
      </w:pPr>
      <w:r w:rsidRPr="00012009">
        <w:rPr>
          <w:lang w:val="es-ES"/>
        </w:rPr>
        <w:t>Levantamiento y registro de eventos contenciosos (2017-2021)</w:t>
      </w:r>
    </w:p>
    <w:p w14:paraId="43316A5F" w14:textId="77777777" w:rsidR="00012009" w:rsidRPr="00012009" w:rsidRDefault="00012009" w:rsidP="00012009">
      <w:pPr>
        <w:rPr>
          <w:color w:val="auto"/>
          <w:lang w:val="es-ES"/>
        </w:rPr>
      </w:pPr>
      <w:r w:rsidRPr="00012009">
        <w:rPr>
          <w:color w:val="auto"/>
          <w:lang w:val="es-ES"/>
        </w:rPr>
        <w:t>En todo el mundo, las bases de datos de protestas y fenómenos similares han sido construidas con éxito; especialmente en Estados Unidos y Europa, esta clase de proyectos han ayudado notablemente a la explicación de tales eventos, permitiendo la cuantificación de ciertas variables fundamentales para su estudio. Sin embargo, dado que los científicos sociales peruanos o “</w:t>
      </w:r>
      <w:proofErr w:type="spellStart"/>
      <w:r w:rsidRPr="00012009">
        <w:rPr>
          <w:i/>
          <w:color w:val="auto"/>
          <w:lang w:val="es-ES"/>
        </w:rPr>
        <w:t>peruanistas</w:t>
      </w:r>
      <w:proofErr w:type="spellEnd"/>
      <w:r w:rsidRPr="00012009">
        <w:rPr>
          <w:color w:val="auto"/>
          <w:lang w:val="es-ES"/>
        </w:rPr>
        <w:t xml:space="preserve">” que atendían este campo de estudio se encontraban más relacionados con la tradición europea de estudios sobre movimientos sociales de los años 70’s </w:t>
      </w:r>
      <w:r w:rsidRPr="00F32E7B">
        <w:rPr>
          <w:color w:val="auto"/>
        </w:rPr>
        <w:fldChar w:fldCharType="begin"/>
      </w:r>
      <w:r w:rsidRPr="00012009">
        <w:rPr>
          <w:color w:val="auto"/>
          <w:lang w:val="es-ES"/>
        </w:rPr>
        <w:instrText xml:space="preserve"> ADDIN ZOTERO_ITEM CSL_CITATION {"citationID":"94J0iAbD","properties":{"formattedCitation":"(Touraine 1981, 1985, 1987; Melucci 1999)","plainCitation":"(Touraine 1981, 1985, 1987; Melucci 1999)"},"citationItems":[{"id":139,"uris":["http://zotero.org/users/4081719/items/TE6FV25L"],"uri":["http://zotero.org/users/4081719/items/TE6FV25L"],"itemData":{"id":139,"type":"book","title":"The voice and the eye: An analysis of social movements","publisher":"Cambridge University Press","publisher-place":"Cambridge","event-place":"Cambridge","author":[{"family":"Touraine","given":"Alain"}],"issued":{"date-parts":[["1981"]]}},"label":"page"},{"id":140,"uris":["http://zotero.org/users/4081719/items/7Q4SN87Z"],"uri":["http://zotero.org/users/4081719/items/7Q4SN87Z"],"itemData":{"id":140,"type":"article-journal","title":"An Introduction to the Study of Social Movements","container-title":"Social Research","page":"749-787","volume":"52","issue":"4","URL":"http://www.jstor.org/stable/40970397","DOI":"10.1177/0011392104043498","author":[{"family":"Touraine","given":"Alain"}],"issued":{"date-parts":[["1985"]]}},"label":"page"},{"id":3042,"uris":["http://zotero.org/users/4081719/items/7CVEC7ES"],"uri":["http://zotero.org/users/4081719/items/7CVEC7ES"],"itemData":{"id":3042,"type":"chapter","title":"Los movimientos sociales ¿Objeto particular o problema central de análisis sociológico?","container-title":"El regreso del autor","publisher":"Editorial Universitaria","publisher-place":"Buenos Aires","event-place":"Buenos Aires","author":[{"family":"Touraine","given":"Alain"}],"issued":{"date-parts":[["1987"]]}},"label":"page"},{"id":908,"uris":["http://zotero.org/users/4081719/items/TRB79UBW"],"uri":["http://zotero.org/users/4081719/items/TRB79UBW"],"itemData":{"id":908,"type":"book","title":"Acción Colectiva, Vida Cotidiana y Democracia","publisher":"El Colegio de México","publisher-place":"Mexico D.F.","event-place":"Mexico D.F.","author":[{"family":"Melucci","given":"Alberto"}],"issued":{"date-parts":[["1999"]]}},"label":"page"}],"schema":"https://github.com/citation-style-language/schema/raw/master/csl-citation.json"} </w:instrText>
      </w:r>
      <w:r w:rsidRPr="00F32E7B">
        <w:rPr>
          <w:color w:val="auto"/>
        </w:rPr>
        <w:fldChar w:fldCharType="separate"/>
      </w:r>
      <w:r w:rsidRPr="00012009">
        <w:rPr>
          <w:noProof/>
          <w:color w:val="auto"/>
          <w:lang w:val="es-ES"/>
        </w:rPr>
        <w:t>(Touraine 1981, 1985, 1987; Melucci 1999)</w:t>
      </w:r>
      <w:r w:rsidRPr="00F32E7B">
        <w:rPr>
          <w:color w:val="auto"/>
        </w:rPr>
        <w:fldChar w:fldCharType="end"/>
      </w:r>
      <w:r w:rsidRPr="00012009">
        <w:rPr>
          <w:color w:val="auto"/>
          <w:lang w:val="es-ES"/>
        </w:rPr>
        <w:t xml:space="preserve">, solo recientemente se pueden contar algunos esfuerzos que se enmarcan en el uso del PEA para estudiar conflictos, movimientos y protestas </w:t>
      </w:r>
      <w:r w:rsidRPr="00F32E7B">
        <w:rPr>
          <w:color w:val="auto"/>
        </w:rPr>
        <w:fldChar w:fldCharType="begin"/>
      </w:r>
      <w:r w:rsidRPr="00012009">
        <w:rPr>
          <w:color w:val="auto"/>
          <w:lang w:val="es-ES"/>
        </w:rPr>
        <w:instrText xml:space="preserve"> ADDIN ZOTERO_ITEM CSL_CITATION {"citationID":"cCI0CJ3I","properties":{"formattedCitation":"(Garay y Tanaka 2009; Arce 2014)","plainCitation":"(Garay y Tanaka 2009; Arce 2014)"},"citationItems":[{"id":2557,"uris":["http://zotero.org/users/4081719/items/N69G4NS7"],"uri":["http://zotero.org/users/4081719/items/N69G4NS7"],"itemData":{"id":2557,"type":"chapter","title":"Las protestas sociales en el Perú entre 1995 y 2006","container-title":"Entre el crecimiento económico y la insatisfacción social. Las protestas sociales en el Perú actual","publisher":"Instituto de Estudios Peruanos","publisher-place":"Lima","page":"59-123","event-place":"Lima","shortTitle":"Las protestas sociales en el Perú entre 1995 y 2006","author":[{"family":"Garay","given":"Carolina"},{"family":"Tanaka","given":"Martin"}],"editor":[{"family":"Grompone","given":"Romeo"},{"family":"Tanaka","given":"Martin"}],"issued":{"date-parts":[["2009"]]}},"label":"page"},{"id":7459,"uris":["http://zotero.org/users/4081719/items/5GGW42BY"],"uri":["http://zotero.org/users/4081719/items/5GGW42BY"],"itemData":{"id":7459,"type":"article","title":"Base de Protestas Sociales del Perú Dataset","publisher":"University of Missouri","author":[{"family":"Arce","given":"Moisés"}],"issued":{"date-parts":[["2014"]]}},"label":"page"}],"schema":"https://github.com/citation-style-language/schema/raw/master/csl-citation.json"} </w:instrText>
      </w:r>
      <w:r w:rsidRPr="00F32E7B">
        <w:rPr>
          <w:color w:val="auto"/>
        </w:rPr>
        <w:fldChar w:fldCharType="separate"/>
      </w:r>
      <w:r w:rsidRPr="00012009">
        <w:rPr>
          <w:noProof/>
          <w:color w:val="auto"/>
          <w:lang w:val="es-ES"/>
        </w:rPr>
        <w:t>(Garay y Tanaka 2009; Arce 2014)</w:t>
      </w:r>
      <w:r w:rsidRPr="00F32E7B">
        <w:rPr>
          <w:color w:val="auto"/>
        </w:rPr>
        <w:fldChar w:fldCharType="end"/>
      </w:r>
      <w:r w:rsidRPr="00012009">
        <w:rPr>
          <w:color w:val="auto"/>
          <w:lang w:val="es-ES"/>
        </w:rPr>
        <w:t>.</w:t>
      </w:r>
      <w:r w:rsidRPr="00F32E7B">
        <w:rPr>
          <w:rStyle w:val="FootnoteReference"/>
          <w:color w:val="auto"/>
        </w:rPr>
        <w:footnoteReference w:id="3"/>
      </w:r>
    </w:p>
    <w:p w14:paraId="570B1BB8" w14:textId="25EEE5C3" w:rsidR="005904C3" w:rsidRPr="00012009" w:rsidRDefault="00012009" w:rsidP="00012009">
      <w:pPr>
        <w:rPr>
          <w:color w:val="auto"/>
          <w:lang w:val="es-ES"/>
        </w:rPr>
      </w:pPr>
      <w:r w:rsidRPr="00012009">
        <w:rPr>
          <w:color w:val="auto"/>
          <w:lang w:val="es-ES"/>
        </w:rPr>
        <w:t xml:space="preserve">Oficialmente en el Perú existen dos instituciones encargadas de la recopilación de información relativa a </w:t>
      </w:r>
      <w:r w:rsidRPr="00012009">
        <w:rPr>
          <w:i/>
          <w:color w:val="auto"/>
          <w:lang w:val="es-ES"/>
        </w:rPr>
        <w:t>conflictos sociales</w:t>
      </w:r>
      <w:r w:rsidRPr="00012009">
        <w:rPr>
          <w:color w:val="auto"/>
          <w:lang w:val="es-ES"/>
        </w:rPr>
        <w:t>: la Presidencia del Consejo de Ministros, y la Defensoría del Pueblo a través de la Adjuntía para la Prevención de Conflictos Sociales y la Gobernabilidad. La Defensoría del Pueblo inició esta actividad en el año 2004</w:t>
      </w:r>
      <w:r w:rsidRPr="00F32E7B">
        <w:rPr>
          <w:rStyle w:val="FootnoteReference"/>
          <w:color w:val="auto"/>
        </w:rPr>
        <w:footnoteReference w:id="4"/>
      </w:r>
      <w:r w:rsidRPr="00012009">
        <w:rPr>
          <w:color w:val="auto"/>
          <w:lang w:val="es-ES"/>
        </w:rPr>
        <w:t xml:space="preserve">, actualizando el registro de conflictos sociales hasta la fecha, incluyendo acciones colectivas de protesta. Sin embargo, al orientarse hacia la prevención de conflictos sociales privilegia la intensidad del evento, la presencia de violencia y sus resultados negativos </w:t>
      </w:r>
      <w:r w:rsidRPr="00F32E7B">
        <w:rPr>
          <w:color w:val="auto"/>
        </w:rPr>
        <w:fldChar w:fldCharType="begin"/>
      </w:r>
      <w:r w:rsidRPr="00012009">
        <w:rPr>
          <w:color w:val="auto"/>
          <w:lang w:val="es-ES"/>
        </w:rPr>
        <w:instrText xml:space="preserve"> ADDIN ZOTERO_ITEM CSL_CITATION {"citationID":"wzxjjkf5","properties":{"formattedCitation":"{\\rtf (Ortiz et\\uc0\\u160{}al. 1999)}","plainCitation":"(Ortiz et al. 1999)"},"citationItems":[{"id":12,"uris":["http://zotero.org/users/local/xffJ4JHL/items/YVQNZ83A"],"uri":["http://zotero.org/users/local/xffJ4JHL/items/YVQNZ83A"],"itemData":{"id":12,"type":"article-journal","title":"Where do We stand with newspaper data?","container-title":"Mobilization: An International Journal","page":"397-419","volume":"10","issue":"3","author":[{"family":"Ortiz","given":"David. G."},{"family":"Myers","given":"Daniel J."},{"family":"Walls","given":"Eugene"},{"family":"Diaz","given":"Maria-Elena D."}],"issued":{"date-parts":[["1999"]]}}}],"schema":"https://github.com/citation-style-language/schema/raw/master/csl-citation.json"} </w:instrText>
      </w:r>
      <w:r w:rsidRPr="00F32E7B">
        <w:rPr>
          <w:color w:val="auto"/>
        </w:rPr>
        <w:fldChar w:fldCharType="separate"/>
      </w:r>
      <w:r w:rsidRPr="00012009">
        <w:rPr>
          <w:rFonts w:eastAsia="Times New Roman" w:cs="Times New Roman"/>
          <w:color w:val="auto"/>
          <w:lang w:val="es-ES"/>
        </w:rPr>
        <w:t>(Ortiz et al. 1999)</w:t>
      </w:r>
      <w:r w:rsidRPr="00F32E7B">
        <w:rPr>
          <w:color w:val="auto"/>
        </w:rPr>
        <w:fldChar w:fldCharType="end"/>
      </w:r>
      <w:r w:rsidRPr="00012009">
        <w:rPr>
          <w:color w:val="auto"/>
          <w:lang w:val="es-ES"/>
        </w:rPr>
        <w:t>.</w:t>
      </w:r>
      <w:r w:rsidR="00A3643A">
        <w:rPr>
          <w:color w:val="auto"/>
          <w:lang w:val="es-ES"/>
        </w:rPr>
        <w:t xml:space="preserve"> </w:t>
      </w:r>
      <w:r w:rsidR="005904C3">
        <w:rPr>
          <w:color w:val="auto"/>
          <w:lang w:val="es-ES"/>
        </w:rPr>
        <w:t>De cualquier forma, la sola construcción del catálogo de eventos contenciosos que va de 1917 al 2017 constituye un aporte sustantivo a los estudios sobre movimientos sociales en el Perú.</w:t>
      </w:r>
    </w:p>
    <w:p w14:paraId="33DB3847" w14:textId="77777777" w:rsidR="00012009" w:rsidRPr="00012009" w:rsidRDefault="00012009" w:rsidP="00012009">
      <w:pPr>
        <w:pStyle w:val="Heading2"/>
        <w:rPr>
          <w:lang w:val="es-ES"/>
        </w:rPr>
      </w:pPr>
      <w:r w:rsidRPr="00012009">
        <w:rPr>
          <w:lang w:val="es-ES"/>
        </w:rPr>
        <w:lastRenderedPageBreak/>
        <w:t>Definición de la unidad de análisis, sus componentes analíticos y condiciones de registro</w:t>
      </w:r>
    </w:p>
    <w:p w14:paraId="7C0ACA3D" w14:textId="77777777" w:rsidR="00012009" w:rsidRPr="00012009" w:rsidRDefault="00012009" w:rsidP="00012009">
      <w:pPr>
        <w:rPr>
          <w:color w:val="auto"/>
          <w:lang w:val="es-ES"/>
        </w:rPr>
      </w:pPr>
      <w:r w:rsidRPr="00F32E7B">
        <w:rPr>
          <w:color w:val="auto"/>
        </w:rPr>
        <w:fldChar w:fldCharType="begin"/>
      </w:r>
      <w:r w:rsidRPr="00012009">
        <w:rPr>
          <w:color w:val="auto"/>
          <w:lang w:val="es-ES"/>
        </w:rPr>
        <w:instrText xml:space="preserve"> ADDIN ZOTERO_ITEM CSL_CITATION {"citationID":"ffZIJrkt","properties":{"custom":"Tilly (2008a, 5-6)","formattedCitation":"Tilly (2008a, 5-6)","plainCitation":"Tilly (2008a, 5-6)"},"citationItems":[{"id":3831,"uris":["http://zotero.org/users/4081719/items/DWHN22CI"],"uri":["http://zotero.org/users/4081719/items/DWHN22CI"],"itemData":{"id":3831,"type":"book","title":"Contentious Performances","publisher":"Cambridge University Press","publisher-place":"New York","number-of-pages":"256","event-place":"New York","ISBN":"978-0-521-73152-2","author":[{"family":"Tilly","given":"Charles"}],"issued":{"date-parts":[["2008"]]}},"locator":"5-6","label":"page"}],"schema":"https://github.com/citation-style-language/schema/raw/master/csl-citation.json"} </w:instrText>
      </w:r>
      <w:r w:rsidRPr="00F32E7B">
        <w:rPr>
          <w:color w:val="auto"/>
        </w:rPr>
        <w:fldChar w:fldCharType="separate"/>
      </w:r>
      <w:r w:rsidRPr="00012009">
        <w:rPr>
          <w:noProof/>
          <w:color w:val="auto"/>
          <w:lang w:val="es-ES"/>
        </w:rPr>
        <w:t>Tilly (2008a, 5-6)</w:t>
      </w:r>
      <w:r w:rsidRPr="00F32E7B">
        <w:rPr>
          <w:color w:val="auto"/>
        </w:rPr>
        <w:fldChar w:fldCharType="end"/>
      </w:r>
      <w:r w:rsidRPr="00012009">
        <w:rPr>
          <w:color w:val="auto"/>
          <w:lang w:val="es-ES"/>
        </w:rPr>
        <w:t xml:space="preserve"> define los eventos contenciosos como aquellos que “</w:t>
      </w:r>
      <w:r w:rsidRPr="00012009">
        <w:rPr>
          <w:i/>
          <w:color w:val="auto"/>
          <w:lang w:val="es-ES"/>
        </w:rPr>
        <w:t>implican la realización de reivindicaciones que afectan los intereses de alguien más</w:t>
      </w:r>
      <w:r w:rsidRPr="00012009">
        <w:rPr>
          <w:color w:val="auto"/>
          <w:lang w:val="es-ES"/>
        </w:rPr>
        <w:t xml:space="preserve">”. Este concepto, es definido operacionalmente como </w:t>
      </w:r>
      <w:proofErr w:type="spellStart"/>
      <w:r w:rsidRPr="00012009">
        <w:rPr>
          <w:i/>
          <w:color w:val="auto"/>
          <w:lang w:val="es-ES"/>
        </w:rPr>
        <w:t>contentious</w:t>
      </w:r>
      <w:proofErr w:type="spellEnd"/>
      <w:r w:rsidRPr="00012009">
        <w:rPr>
          <w:i/>
          <w:color w:val="auto"/>
          <w:lang w:val="es-ES"/>
        </w:rPr>
        <w:t xml:space="preserve"> </w:t>
      </w:r>
      <w:proofErr w:type="spellStart"/>
      <w:r w:rsidRPr="00012009">
        <w:rPr>
          <w:i/>
          <w:color w:val="auto"/>
          <w:lang w:val="es-ES"/>
        </w:rPr>
        <w:t>gatherings</w:t>
      </w:r>
      <w:proofErr w:type="spellEnd"/>
      <w:r w:rsidRPr="00012009">
        <w:rPr>
          <w:color w:val="auto"/>
          <w:lang w:val="es-ES"/>
        </w:rPr>
        <w:t>:</w:t>
      </w:r>
    </w:p>
    <w:p w14:paraId="44FD8D2E" w14:textId="77777777" w:rsidR="00012009" w:rsidRPr="00012009" w:rsidRDefault="00012009" w:rsidP="00012009">
      <w:pPr>
        <w:pStyle w:val="Quote"/>
        <w:rPr>
          <w:i w:val="0"/>
          <w:color w:val="auto"/>
          <w:lang w:val="es-ES"/>
        </w:rPr>
      </w:pPr>
      <w:r w:rsidRPr="00012009">
        <w:rPr>
          <w:color w:val="auto"/>
          <w:lang w:val="es-ES"/>
        </w:rPr>
        <w:t>“[O]</w:t>
      </w:r>
      <w:proofErr w:type="spellStart"/>
      <w:r w:rsidRPr="00012009">
        <w:rPr>
          <w:color w:val="auto"/>
          <w:lang w:val="es-ES"/>
        </w:rPr>
        <w:t>casiones</w:t>
      </w:r>
      <w:proofErr w:type="spellEnd"/>
      <w:r w:rsidRPr="00012009">
        <w:rPr>
          <w:color w:val="auto"/>
          <w:lang w:val="es-ES"/>
        </w:rPr>
        <w:t xml:space="preserve"> en las cuales diez o más personas, que no forman parte del gobierno, se reúnen en un mismo lugar para hacer visible una reivindicación, la cual, de ser satisfecha, afectaría los intereses de personas o grupos específicos fuera de su propio número” </w:t>
      </w:r>
      <w:r w:rsidRPr="00F32E7B">
        <w:rPr>
          <w:i w:val="0"/>
          <w:color w:val="auto"/>
        </w:rPr>
        <w:fldChar w:fldCharType="begin"/>
      </w:r>
      <w:r w:rsidRPr="00012009">
        <w:rPr>
          <w:i w:val="0"/>
          <w:color w:val="auto"/>
          <w:lang w:val="es-ES"/>
        </w:rPr>
        <w:instrText xml:space="preserve"> ADDIN ZOTERO_ITEM CSL_CITATION {"citationID":"1AN8Kij9","properties":{"custom":"(Tilly 1978, 275)","formattedCitation":"(Tilly 1978, 275)","plainCitation":"(Tilly 1978, 275)"},"citationItems":[{"id":2703,"uris":["http://zotero.org/users/4081719/items/3Y8ESKN2"],"uri":["http://zotero.org/users/4081719/items/3Y8ESKN2"],"itemData":{"id":2703,"type":"book","title":"From Mobilization to Revolution","publisher":"Random House","publisher-place":"New York","event-place":"New York","shortTitle":"From Mobilization to Revolution","author":[{"family":"Tilly","given":"Charles"}],"issued":{"date-parts":[["1978"]]}},"locator":"275","label":"page"}],"schema":"https://github.com/citation-style-language/schema/raw/master/csl-citation.json"} </w:instrText>
      </w:r>
      <w:r w:rsidRPr="00F32E7B">
        <w:rPr>
          <w:i w:val="0"/>
          <w:color w:val="auto"/>
        </w:rPr>
        <w:fldChar w:fldCharType="separate"/>
      </w:r>
      <w:r w:rsidRPr="00012009">
        <w:rPr>
          <w:i w:val="0"/>
          <w:noProof/>
          <w:color w:val="auto"/>
          <w:lang w:val="es-ES"/>
        </w:rPr>
        <w:t>(Tilly 1978, 275)</w:t>
      </w:r>
      <w:r w:rsidRPr="00F32E7B">
        <w:rPr>
          <w:i w:val="0"/>
          <w:color w:val="auto"/>
        </w:rPr>
        <w:fldChar w:fldCharType="end"/>
      </w:r>
      <w:r w:rsidRPr="00012009">
        <w:rPr>
          <w:i w:val="0"/>
          <w:color w:val="auto"/>
          <w:lang w:val="es-ES"/>
        </w:rPr>
        <w:t>.</w:t>
      </w:r>
    </w:p>
    <w:p w14:paraId="4E1E03D6" w14:textId="77777777" w:rsidR="00012009" w:rsidRPr="00012009" w:rsidRDefault="00012009" w:rsidP="00012009">
      <w:pPr>
        <w:rPr>
          <w:iCs/>
          <w:color w:val="auto"/>
          <w:lang w:val="es-ES"/>
        </w:rPr>
      </w:pPr>
      <w:r w:rsidRPr="00012009">
        <w:rPr>
          <w:color w:val="auto"/>
          <w:lang w:val="es-ES"/>
        </w:rPr>
        <w:t xml:space="preserve">La identificación de eventos en función a condiciones y componentes comunes </w:t>
      </w:r>
      <w:r w:rsidRPr="00770906">
        <w:rPr>
          <w:color w:val="auto"/>
          <w:lang w:val="es-PE"/>
        </w:rPr>
        <w:t xml:space="preserve">ha llevado a superar la observación y posterior estudio de grandes revoluciones o movimientos sociales como fenómenos </w:t>
      </w:r>
      <w:r w:rsidRPr="00770906">
        <w:rPr>
          <w:i/>
          <w:iCs/>
          <w:color w:val="auto"/>
          <w:lang w:val="es-PE"/>
        </w:rPr>
        <w:t>sui generis</w:t>
      </w:r>
      <w:r>
        <w:rPr>
          <w:i/>
          <w:iCs/>
          <w:color w:val="auto"/>
          <w:lang w:val="es-PE"/>
        </w:rPr>
        <w:t xml:space="preserve"> </w:t>
      </w:r>
      <w:r>
        <w:rPr>
          <w:i/>
          <w:iCs/>
          <w:lang w:val="es-PE"/>
        </w:rPr>
        <w:fldChar w:fldCharType="begin"/>
      </w:r>
      <w:r>
        <w:rPr>
          <w:i/>
          <w:iCs/>
          <w:lang w:val="es-PE"/>
        </w:rPr>
        <w:instrText xml:space="preserve"> ADDIN ZOTERO_ITEM CSL_CITATION {"citationID":"IrREgSos","properties":{"formattedCitation":"(Tarrow 2004; Tilly 1993)","plainCitation":"(Tarrow 2004; Tilly 1993)"},"citationItems":[{"id":7461,"uris":["http://zotero.org/users/4081719/items/I2U26M7A"],"uri":["http://zotero.org/users/4081719/items/I2U26M7A"],"itemData":{"id":7461,"type":"chapter","title":"Bridging the Quantitative-Qualitative Divide","container-title":"Rethinking Social Inquiry. Diverse Tools, Shared Standards","publisher":"Rowman &amp; Littlefield Publishers","publisher-place":"Boulder","page":"171-192","edition":"Primera edición","event-place":"Boulder","author":[{"family":"Tarrow","given":"Sidney"}],"editor":[{"family":"Brady","given":"Henry E."},{"family":"Collier","given":"David"}],"issued":{"date-parts":[["2004"]]}}},{"id":4,"uris":["http://zotero.org/users/local/xffJ4JHL/items/74VLTWTH"],"uri":["http://zotero.org/users/local/xffJ4JHL/items/74VLTWTH"],"itemData":{"id":4,"type":"article-journal","title":"Contentious Repertories in Great Britain, 1758- 1834","container-title":"Social Science History","page":"253-280","volume":"17","issue":"2","author":[{"family":"Tilly","given":"Charles"}],"issued":{"date-parts":[["1993"]]}}}],"schema":"https://github.com/citation-style-language/schema/raw/master/csl-citation.json"} </w:instrText>
      </w:r>
      <w:r>
        <w:rPr>
          <w:i/>
          <w:iCs/>
          <w:lang w:val="es-PE"/>
        </w:rPr>
        <w:fldChar w:fldCharType="separate"/>
      </w:r>
      <w:r w:rsidRPr="00012009">
        <w:rPr>
          <w:rFonts w:cs="Times New Roman"/>
          <w:lang w:val="es-ES"/>
        </w:rPr>
        <w:t>(</w:t>
      </w:r>
      <w:proofErr w:type="spellStart"/>
      <w:r w:rsidRPr="00012009">
        <w:rPr>
          <w:rFonts w:cs="Times New Roman"/>
          <w:lang w:val="es-ES"/>
        </w:rPr>
        <w:t>Tarrow</w:t>
      </w:r>
      <w:proofErr w:type="spellEnd"/>
      <w:r w:rsidRPr="00012009">
        <w:rPr>
          <w:rFonts w:cs="Times New Roman"/>
          <w:lang w:val="es-ES"/>
        </w:rPr>
        <w:t xml:space="preserve"> 2004; </w:t>
      </w:r>
      <w:proofErr w:type="spellStart"/>
      <w:r w:rsidRPr="00012009">
        <w:rPr>
          <w:rFonts w:cs="Times New Roman"/>
          <w:lang w:val="es-ES"/>
        </w:rPr>
        <w:t>Tilly</w:t>
      </w:r>
      <w:proofErr w:type="spellEnd"/>
      <w:r w:rsidRPr="00012009">
        <w:rPr>
          <w:rFonts w:cs="Times New Roman"/>
          <w:lang w:val="es-ES"/>
        </w:rPr>
        <w:t xml:space="preserve"> 1993)</w:t>
      </w:r>
      <w:r>
        <w:rPr>
          <w:i/>
          <w:iCs/>
          <w:lang w:val="es-PE"/>
        </w:rPr>
        <w:fldChar w:fldCharType="end"/>
      </w:r>
      <w:r w:rsidRPr="00770906">
        <w:rPr>
          <w:iCs/>
          <w:color w:val="auto"/>
          <w:lang w:val="es-PE"/>
        </w:rPr>
        <w:t xml:space="preserve">: eventos “únicos” al no poder encontrar semejanzas con aquellos sucesos de menor agitación social. La existencia de dichos conjuntos o secuencias de eventos contenciosos demuestra también que determinados acontecimientos destacan del resto dada una mayor significancia, no necesariamente atribuida a la producción de cambios estructurales </w:t>
      </w:r>
      <w:r w:rsidRPr="00770906">
        <w:rPr>
          <w:iCs/>
          <w:color w:val="auto"/>
          <w:lang w:val="es-PE"/>
        </w:rPr>
        <w:fldChar w:fldCharType="begin"/>
      </w:r>
      <w:r w:rsidRPr="00770906">
        <w:rPr>
          <w:iCs/>
          <w:color w:val="auto"/>
          <w:lang w:val="es-PE"/>
        </w:rPr>
        <w:instrText xml:space="preserve"> ADDIN ZOTERO_ITEM CSL_CITATION {"citationID":"LisWIdGB","properties":{"formattedCitation":"(Moore 2011)","plainCitation":"(Moore 2011)"},"citationItems":[{"id":5,"uris":["http://zotero.org/users/local/xffJ4JHL/items/Y3WAKG8A"],"uri":["http://zotero.org/users/local/xffJ4JHL/items/Y3WAKG8A"],"itemData":{"id":5,"type":"article-journal","title":"The Eventfulness of Social Reproduction","container-title":"Sociological Theory","page":"294-314","volume":"29","issue":"4","author":[{"family":"Moore","given":"Adam"}],"issued":{"date-parts":[["2011"]]}}}],"schema":"https://github.com/citation-style-language/schema/raw/master/csl-citation.json"} </w:instrText>
      </w:r>
      <w:r w:rsidRPr="00770906">
        <w:rPr>
          <w:iCs/>
          <w:color w:val="auto"/>
          <w:lang w:val="es-PE"/>
        </w:rPr>
        <w:fldChar w:fldCharType="separate"/>
      </w:r>
      <w:r w:rsidRPr="00012009">
        <w:rPr>
          <w:rFonts w:cs="Times New Roman"/>
          <w:color w:val="auto"/>
          <w:lang w:val="es-ES"/>
        </w:rPr>
        <w:t>(Moore 2011)</w:t>
      </w:r>
      <w:r w:rsidRPr="00770906">
        <w:rPr>
          <w:iCs/>
          <w:color w:val="auto"/>
          <w:lang w:val="es-PE"/>
        </w:rPr>
        <w:fldChar w:fldCharType="end"/>
      </w:r>
      <w:r w:rsidRPr="00770906">
        <w:rPr>
          <w:iCs/>
          <w:color w:val="auto"/>
          <w:lang w:val="es-PE"/>
        </w:rPr>
        <w:t xml:space="preserve">. </w:t>
      </w:r>
      <w:r>
        <w:rPr>
          <w:iCs/>
          <w:lang w:val="es-PE"/>
        </w:rPr>
        <w:t xml:space="preserve">Desde un punto de vista operacional, la definición de las condiciones de registro garantizan suficientemente la presencia de los componentes analíticos o variables del evento contencioso </w:t>
      </w:r>
      <w:r>
        <w:rPr>
          <w:iCs/>
          <w:lang w:val="es-PE"/>
        </w:rPr>
        <w:fldChar w:fldCharType="begin"/>
      </w:r>
      <w:r>
        <w:rPr>
          <w:iCs/>
          <w:lang w:val="es-PE"/>
        </w:rPr>
        <w:instrText xml:space="preserve"> ADDIN ZOTERO_ITEM CSL_CITATION {"citationID":"4S00VSoq","properties":{"formattedCitation":"(Herrera y Navarro 2017)","plainCitation":"(Herrera y Navarro 2017)"},"citationItems":[{"id":3,"uris":["http://zotero.org/users/local/oR77cwDN/items/6GWQ8UZM"],"uri":["http://zotero.org/users/local/oR77cwDN/items/6GWQ8UZM"],"itemData":{"id":3,"type":"article-journal","title":"Los libretos de la protesta: un modelo para el estudio de la contienda política (Argentina, 1998-2005)","container-title":"Perfiles Latinoamericanos","page":"247-278","volume":"25","issue":"50","DOI":"10.18504/pl2550-012-2017","author":[{"family":"Herrera","given":"María Rosa"},{"family":"Navarro","given":"Clemente"}],"issued":{"date-parts":[["2017"]]}}}],"schema":"https://github.com/citation-style-language/schema/raw/master/csl-citation.json"} </w:instrText>
      </w:r>
      <w:r>
        <w:rPr>
          <w:iCs/>
          <w:lang w:val="es-PE"/>
        </w:rPr>
        <w:fldChar w:fldCharType="separate"/>
      </w:r>
      <w:r w:rsidRPr="00012009">
        <w:rPr>
          <w:rFonts w:cs="Times New Roman"/>
          <w:lang w:val="es-ES"/>
        </w:rPr>
        <w:t>(Herrera y Navarro 2017)</w:t>
      </w:r>
      <w:r>
        <w:rPr>
          <w:iCs/>
          <w:lang w:val="es-PE"/>
        </w:rPr>
        <w:fldChar w:fldCharType="end"/>
      </w:r>
      <w:r>
        <w:rPr>
          <w:iCs/>
          <w:lang w:val="es-PE"/>
        </w:rPr>
        <w:t xml:space="preserve">. </w:t>
      </w:r>
    </w:p>
    <w:p w14:paraId="708618AF" w14:textId="68755594" w:rsidR="00012009" w:rsidRPr="00F32E7B" w:rsidRDefault="00012009" w:rsidP="00012009">
      <w:pPr>
        <w:rPr>
          <w:iCs/>
          <w:color w:val="auto"/>
        </w:rPr>
      </w:pPr>
      <w:r w:rsidRPr="00012009">
        <w:rPr>
          <w:iCs/>
          <w:color w:val="auto"/>
          <w:lang w:val="es-ES"/>
        </w:rPr>
        <w:t xml:space="preserve">Así, </w:t>
      </w:r>
      <w:r w:rsidRPr="00F32E7B">
        <w:rPr>
          <w:iCs/>
          <w:color w:val="auto"/>
          <w:lang w:val="es-PE"/>
        </w:rPr>
        <w:t xml:space="preserve">el levantamiento de eventos contenciosos requiere de la especificación de las condiciones de registro y definición de los componentes analíticos que comprende la estructura del </w:t>
      </w:r>
      <w:r w:rsidRPr="00F32E7B">
        <w:rPr>
          <w:i/>
          <w:iCs/>
          <w:color w:val="auto"/>
          <w:lang w:val="es-PE"/>
        </w:rPr>
        <w:t xml:space="preserve">dataset. </w:t>
      </w:r>
      <w:r w:rsidRPr="00F32E7B">
        <w:rPr>
          <w:iCs/>
          <w:color w:val="auto"/>
          <w:lang w:val="es-PE"/>
        </w:rPr>
        <w:t xml:space="preserve">A continuación, se definen las condiciones y componentes respectivos al levantamiento y registro de eventos contenciosos </w:t>
      </w:r>
      <w:r w:rsidRPr="00F32E7B">
        <w:rPr>
          <w:iCs/>
          <w:color w:val="auto"/>
          <w:lang w:val="es-PE"/>
        </w:rPr>
        <w:fldChar w:fldCharType="begin"/>
      </w:r>
      <w:r w:rsidR="008B104A">
        <w:rPr>
          <w:iCs/>
          <w:color w:val="auto"/>
          <w:lang w:val="es-PE"/>
        </w:rPr>
        <w:instrText xml:space="preserve"> ADDIN ZOTERO_ITEM CSL_CITATION {"citationID":"a5uj1l4u9g","properties":{"formattedCitation":"(Benford y Snow 2000; McAdam, Tarrow, y Tilly 2001; Turner 1969; Tilly 1978b, 2006)","plainCitation":"(Benford y Snow 2000; McAdam, Tarrow, y Tilly 2001; Turner 1969; Tilly 1978b, 2006)"},"citationItems":[{"id":6,"uris":["http://zotero.org/users/local/xffJ4JHL/items/EU6M4Z68"],"uri":["http://zotero.org/users/local/xffJ4JHL/items/EU6M4Z68"],"itemData":{"id":6,"type":"article-journal","title":"Framing Processes and Social Movements: An Overview and Assessment","container-title":"Annual Review of Sociology","page":"611-639","volume":"26","DOI":"https://doi.org/10.1146/annurev.soc.26.1.611","author":[{"family":"Benford","given":"Robert D."},{"family":"Snow","given":"David A."}],"issued":{"date-parts":[["2000"]]}},"label":"page"},{"id":7,"uris":["http://zotero.org/users/local/xffJ4JHL/items/ME3W9464"],"uri":["http://zotero.org/users/local/xffJ4JHL/items/ME3W9464"],"itemData":{"id":7,"type":"book","title":"Dynamic of Contention","publisher":"Cambrigde University Press","publisher-place":"Cambridge","event-place":"Cambridge","author":[{"family":"McAdam","given":"Doug"},{"family":"Tar</w:instrText>
      </w:r>
      <w:r w:rsidR="008B104A" w:rsidRPr="008B104A">
        <w:rPr>
          <w:iCs/>
          <w:color w:val="auto"/>
        </w:rPr>
        <w:instrText xml:space="preserve">row","given":"Sidney"},{"family":"Tilly","given":"Charles"}],"issued":{"date-parts":[["2001"]]}},"label":"page"},{"id":8,"uris":["http://zotero.org/users/local/xffJ4JHL/items/IIV9662A"],"uri":["http://zotero.org/users/local/xffJ4JHL/items/IIV9662A"],"itemData":{"id":8,"type":"article-journal","title":"The Public Perception of Protest","container-title":"American Sociological Review","page":"815-831","volume":"34","issue":"6","DOI":"10.2307/2095975","author":[{"family":"Turner","given":"Ralph H."}],"issued":{"date-parts":[["1969"]]}},"label":"page"},{"id":9,"uris":["http://zotero.org/users/local/xffJ4JHL/items/NRKQ3X45"],"uri":["http://zotero.org/users/local/xffJ4JHL/items/NRKQ3X45"],"itemData":{"id":9,"type":"book","title":"From Movilization to Revolution","publisher":"Random House","publisher-place":"New York","event-place":"New York","author":[{"family":"Tilly","given":"Charles"}],"issued":{"date-parts":[["1978"]]}},"label":"page"},{"id":10,"uris":["http://zotero.org/users/local/xffJ4JHL/items/AVHQRIME"],"uri":["http://zotero.org/users/local/xffJ4JHL/items/AVHQRIME"],"itemData":{"id":10,"type":"book","title":"Regimes and Repertoires","publisher":"The University Chicago Press","publisher-place":"Chicago and London","event-place":"Chicago and London","author":[{"family":"Tilly","given":"Charles"}],"issued":{"date-parts":[["2006"]]}},"label":"page"}],"schema":"https://github.com/citation-style-language/schema/raw/master/csl-citation.json"} </w:instrText>
      </w:r>
      <w:r w:rsidRPr="00F32E7B">
        <w:rPr>
          <w:iCs/>
          <w:color w:val="auto"/>
          <w:lang w:val="es-PE"/>
        </w:rPr>
        <w:fldChar w:fldCharType="separate"/>
      </w:r>
      <w:r w:rsidR="008B104A" w:rsidRPr="008B104A">
        <w:rPr>
          <w:rFonts w:cs="Times New Roman"/>
          <w:color w:val="auto"/>
        </w:rPr>
        <w:t>(</w:t>
      </w:r>
      <w:proofErr w:type="spellStart"/>
      <w:r w:rsidR="008B104A" w:rsidRPr="008B104A">
        <w:rPr>
          <w:rFonts w:cs="Times New Roman"/>
          <w:color w:val="auto"/>
        </w:rPr>
        <w:t>Benford</w:t>
      </w:r>
      <w:proofErr w:type="spellEnd"/>
      <w:r w:rsidR="008B104A" w:rsidRPr="008B104A">
        <w:rPr>
          <w:rFonts w:cs="Times New Roman"/>
          <w:color w:val="auto"/>
        </w:rPr>
        <w:t xml:space="preserve"> y Snow 2000; McAdam, </w:t>
      </w:r>
      <w:proofErr w:type="spellStart"/>
      <w:r w:rsidR="008B104A" w:rsidRPr="008B104A">
        <w:rPr>
          <w:rFonts w:cs="Times New Roman"/>
          <w:color w:val="auto"/>
        </w:rPr>
        <w:t>Tarrow</w:t>
      </w:r>
      <w:proofErr w:type="spellEnd"/>
      <w:r w:rsidR="008B104A">
        <w:rPr>
          <w:rFonts w:cs="Times New Roman"/>
          <w:color w:val="auto"/>
        </w:rPr>
        <w:t>, y Tilly 2001; Turner 1969; Tilly 1978b, 2006)</w:t>
      </w:r>
      <w:r w:rsidRPr="00F32E7B">
        <w:rPr>
          <w:iCs/>
          <w:color w:val="auto"/>
          <w:lang w:val="es-PE"/>
        </w:rPr>
        <w:fldChar w:fldCharType="end"/>
      </w:r>
      <w:r w:rsidRPr="00F32E7B">
        <w:rPr>
          <w:iCs/>
          <w:color w:val="auto"/>
        </w:rPr>
        <w:t>.</w:t>
      </w:r>
    </w:p>
    <w:p w14:paraId="636DD9A6" w14:textId="77777777" w:rsidR="00012009" w:rsidRPr="00012009" w:rsidRDefault="00012009" w:rsidP="00012009">
      <w:pPr>
        <w:rPr>
          <w:color w:val="auto"/>
          <w:lang w:val="es-ES"/>
        </w:rPr>
      </w:pPr>
      <w:r w:rsidRPr="00012009">
        <w:rPr>
          <w:color w:val="auto"/>
          <w:lang w:val="es-ES"/>
        </w:rPr>
        <w:t>Las condiciones de registro que proponemos son consistentes con las propiedades denotativas del concepto que definimos como unidad de análisis. Entonces, los eventos contenciosos registrados deben cumplir con las siguientes condiciones o criterios:</w:t>
      </w:r>
    </w:p>
    <w:p w14:paraId="08439AB0" w14:textId="77777777" w:rsidR="00012009" w:rsidRPr="00F32E7B" w:rsidRDefault="00012009" w:rsidP="00012009">
      <w:pPr>
        <w:pStyle w:val="ListParagraph"/>
        <w:numPr>
          <w:ilvl w:val="0"/>
          <w:numId w:val="5"/>
        </w:numPr>
        <w:spacing w:line="240" w:lineRule="auto"/>
        <w:rPr>
          <w:iCs/>
          <w:color w:val="auto"/>
          <w:lang w:val="es-PE"/>
        </w:rPr>
      </w:pPr>
      <w:r w:rsidRPr="00F32E7B">
        <w:rPr>
          <w:b/>
          <w:i/>
          <w:iCs/>
          <w:color w:val="auto"/>
          <w:lang w:val="es-PE"/>
        </w:rPr>
        <w:t>episódico</w:t>
      </w:r>
      <w:r w:rsidRPr="00F32E7B">
        <w:rPr>
          <w:iCs/>
          <w:color w:val="auto"/>
          <w:lang w:val="es-PE"/>
        </w:rPr>
        <w:t>: no constituyen acontecimientos ordinarios o que trascurren con regularidad en la vida rutinaria.</w:t>
      </w:r>
    </w:p>
    <w:p w14:paraId="2491FC33" w14:textId="77777777" w:rsidR="00012009" w:rsidRPr="00F32E7B" w:rsidRDefault="00012009" w:rsidP="00012009">
      <w:pPr>
        <w:pStyle w:val="ListParagraph"/>
        <w:numPr>
          <w:ilvl w:val="0"/>
          <w:numId w:val="5"/>
        </w:numPr>
        <w:spacing w:line="240" w:lineRule="auto"/>
        <w:rPr>
          <w:iCs/>
          <w:color w:val="auto"/>
          <w:lang w:val="es-PE"/>
        </w:rPr>
      </w:pPr>
      <w:r w:rsidRPr="00F32E7B">
        <w:rPr>
          <w:b/>
          <w:i/>
          <w:iCs/>
          <w:color w:val="auto"/>
          <w:lang w:val="es-PE"/>
        </w:rPr>
        <w:t>público</w:t>
      </w:r>
      <w:r w:rsidRPr="00F32E7B">
        <w:rPr>
          <w:iCs/>
          <w:color w:val="auto"/>
          <w:lang w:val="es-PE"/>
        </w:rPr>
        <w:t>: se desarrolla fuera de espacios restrictivos.</w:t>
      </w:r>
    </w:p>
    <w:p w14:paraId="0F84F517" w14:textId="77777777" w:rsidR="00012009" w:rsidRPr="00F32E7B" w:rsidRDefault="00012009" w:rsidP="00012009">
      <w:pPr>
        <w:pStyle w:val="ListParagraph"/>
        <w:numPr>
          <w:ilvl w:val="0"/>
          <w:numId w:val="5"/>
        </w:numPr>
        <w:spacing w:line="240" w:lineRule="auto"/>
        <w:rPr>
          <w:iCs/>
          <w:color w:val="auto"/>
          <w:lang w:val="es-PE"/>
        </w:rPr>
      </w:pPr>
      <w:r w:rsidRPr="00F32E7B">
        <w:rPr>
          <w:b/>
          <w:i/>
          <w:iCs/>
          <w:color w:val="auto"/>
          <w:lang w:val="es-PE"/>
        </w:rPr>
        <w:t>colectivo</w:t>
      </w:r>
      <w:r w:rsidRPr="00F32E7B">
        <w:rPr>
          <w:iCs/>
          <w:color w:val="auto"/>
          <w:lang w:val="es-PE"/>
        </w:rPr>
        <w:t>: integra a un grupo mayor a cuatro personas en la reivindicación de una demanda colectiva.</w:t>
      </w:r>
      <w:r w:rsidRPr="00F32E7B">
        <w:rPr>
          <w:rStyle w:val="FootnoteReference"/>
          <w:iCs/>
          <w:color w:val="auto"/>
          <w:lang w:val="es-PE"/>
        </w:rPr>
        <w:footnoteReference w:id="5"/>
      </w:r>
    </w:p>
    <w:p w14:paraId="7ABB2E8C" w14:textId="77777777" w:rsidR="00012009" w:rsidRPr="00F32E7B" w:rsidRDefault="00012009" w:rsidP="00012009">
      <w:pPr>
        <w:pStyle w:val="ListParagraph"/>
        <w:numPr>
          <w:ilvl w:val="0"/>
          <w:numId w:val="5"/>
        </w:numPr>
        <w:spacing w:line="240" w:lineRule="auto"/>
        <w:rPr>
          <w:iCs/>
          <w:color w:val="auto"/>
          <w:lang w:val="es-PE"/>
        </w:rPr>
      </w:pPr>
      <w:r w:rsidRPr="00F32E7B">
        <w:rPr>
          <w:b/>
          <w:i/>
          <w:iCs/>
          <w:color w:val="auto"/>
          <w:lang w:val="es-PE"/>
        </w:rPr>
        <w:lastRenderedPageBreak/>
        <w:t>contencioso</w:t>
      </w:r>
      <w:r w:rsidRPr="00F32E7B">
        <w:rPr>
          <w:iCs/>
          <w:color w:val="auto"/>
          <w:lang w:val="es-PE"/>
        </w:rPr>
        <w:t>: afecta los intereses de alguna de las partes.</w:t>
      </w:r>
    </w:p>
    <w:p w14:paraId="79F59DBA" w14:textId="4D119897" w:rsidR="00012009" w:rsidRPr="00F32E7B" w:rsidRDefault="00012009" w:rsidP="00012009">
      <w:pPr>
        <w:rPr>
          <w:iCs/>
          <w:color w:val="auto"/>
          <w:lang w:val="es-PE"/>
        </w:rPr>
      </w:pPr>
      <w:r w:rsidRPr="00012009">
        <w:rPr>
          <w:color w:val="auto"/>
          <w:lang w:val="es-ES"/>
        </w:rPr>
        <w:t xml:space="preserve">Asimismo, los componentes analíticos del evento contencioso que proponemos son consistentes </w:t>
      </w:r>
      <w:r w:rsidR="00BA4F2C">
        <w:rPr>
          <w:color w:val="auto"/>
          <w:lang w:val="es-ES"/>
        </w:rPr>
        <w:t>se especifican en la</w:t>
      </w:r>
      <w:r w:rsidRPr="00F32E7B">
        <w:rPr>
          <w:iCs/>
          <w:color w:val="auto"/>
          <w:lang w:val="es-PE"/>
        </w:rPr>
        <w:t xml:space="preserve"> </w:t>
      </w:r>
      <w:r w:rsidR="00BA4F2C">
        <w:rPr>
          <w:iCs/>
          <w:color w:val="auto"/>
          <w:lang w:val="es-PE"/>
        </w:rPr>
        <w:t>Tabla 1:</w:t>
      </w:r>
    </w:p>
    <w:p w14:paraId="5EB0E5EC" w14:textId="77777777" w:rsidR="00012009" w:rsidRPr="00012009" w:rsidRDefault="00012009" w:rsidP="00012009">
      <w:pPr>
        <w:rPr>
          <w:rStyle w:val="Strong"/>
          <w:color w:val="auto"/>
          <w:lang w:val="es-ES"/>
        </w:rPr>
      </w:pPr>
      <w:r w:rsidRPr="00012009">
        <w:rPr>
          <w:rStyle w:val="Strong"/>
          <w:color w:val="auto"/>
          <w:lang w:val="es-ES"/>
        </w:rPr>
        <w:t>Tabla 1. Componentes analíticos del evento contencioso</w:t>
      </w:r>
    </w:p>
    <w:tbl>
      <w:tblPr>
        <w:tblStyle w:val="TableGrid"/>
        <w:tblW w:w="0" w:type="auto"/>
        <w:jc w:val="center"/>
        <w:tblLook w:val="04A0" w:firstRow="1" w:lastRow="0" w:firstColumn="1" w:lastColumn="0" w:noHBand="0" w:noVBand="1"/>
      </w:tblPr>
      <w:tblGrid>
        <w:gridCol w:w="2401"/>
        <w:gridCol w:w="2253"/>
      </w:tblGrid>
      <w:tr w:rsidR="00BA4F2C" w:rsidRPr="00F32E7B" w14:paraId="2F965A9A" w14:textId="77777777" w:rsidTr="002A5054">
        <w:trPr>
          <w:jc w:val="center"/>
        </w:trPr>
        <w:tc>
          <w:tcPr>
            <w:tcW w:w="2401" w:type="dxa"/>
          </w:tcPr>
          <w:p w14:paraId="43718A97" w14:textId="77777777" w:rsidR="00BA4F2C" w:rsidRPr="00F32E7B" w:rsidRDefault="00BA4F2C" w:rsidP="00DF2DEC">
            <w:pPr>
              <w:spacing w:before="0" w:after="0" w:line="240" w:lineRule="auto"/>
              <w:contextualSpacing/>
              <w:jc w:val="left"/>
              <w:rPr>
                <w:b/>
                <w:i/>
                <w:iCs/>
                <w:color w:val="auto"/>
                <w:sz w:val="20"/>
              </w:rPr>
            </w:pPr>
            <w:r w:rsidRPr="00F32E7B">
              <w:rPr>
                <w:b/>
                <w:i/>
                <w:iCs/>
                <w:color w:val="auto"/>
                <w:sz w:val="20"/>
              </w:rPr>
              <w:t>Componentes analíticos</w:t>
            </w:r>
          </w:p>
        </w:tc>
        <w:tc>
          <w:tcPr>
            <w:tcW w:w="2253" w:type="dxa"/>
          </w:tcPr>
          <w:p w14:paraId="75DEA65B" w14:textId="77777777" w:rsidR="00BA4F2C" w:rsidRPr="00F32E7B" w:rsidRDefault="00BA4F2C" w:rsidP="00DF2DEC">
            <w:pPr>
              <w:spacing w:before="0" w:after="0" w:line="240" w:lineRule="auto"/>
              <w:contextualSpacing/>
              <w:jc w:val="left"/>
              <w:rPr>
                <w:b/>
                <w:i/>
                <w:iCs/>
                <w:color w:val="auto"/>
                <w:sz w:val="20"/>
              </w:rPr>
            </w:pPr>
            <w:r w:rsidRPr="00F32E7B">
              <w:rPr>
                <w:b/>
                <w:i/>
                <w:iCs/>
                <w:color w:val="auto"/>
                <w:sz w:val="20"/>
              </w:rPr>
              <w:t>Contenido</w:t>
            </w:r>
          </w:p>
        </w:tc>
      </w:tr>
      <w:tr w:rsidR="00BA4F2C" w:rsidRPr="00F32E7B" w14:paraId="5DBCF120" w14:textId="77777777" w:rsidTr="002A5054">
        <w:trPr>
          <w:trHeight w:val="283"/>
          <w:jc w:val="center"/>
        </w:trPr>
        <w:tc>
          <w:tcPr>
            <w:tcW w:w="2401" w:type="dxa"/>
          </w:tcPr>
          <w:p w14:paraId="361EA52E"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Actor</w:t>
            </w:r>
          </w:p>
        </w:tc>
        <w:tc>
          <w:tcPr>
            <w:tcW w:w="2253" w:type="dxa"/>
          </w:tcPr>
          <w:p w14:paraId="50B3AA61"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¿quién demanda?</w:t>
            </w:r>
          </w:p>
        </w:tc>
      </w:tr>
      <w:tr w:rsidR="00BA4F2C" w:rsidRPr="00F32E7B" w14:paraId="6FAAF26E" w14:textId="77777777" w:rsidTr="002A5054">
        <w:trPr>
          <w:jc w:val="center"/>
        </w:trPr>
        <w:tc>
          <w:tcPr>
            <w:tcW w:w="2401" w:type="dxa"/>
          </w:tcPr>
          <w:p w14:paraId="347B335D" w14:textId="77777777" w:rsidR="00BA4F2C" w:rsidRPr="00F32E7B" w:rsidRDefault="00BA4F2C" w:rsidP="00DF2DEC">
            <w:pPr>
              <w:spacing w:before="0" w:after="0" w:line="240" w:lineRule="auto"/>
              <w:contextualSpacing/>
              <w:jc w:val="left"/>
              <w:rPr>
                <w:i/>
                <w:iCs/>
                <w:color w:val="auto"/>
                <w:sz w:val="20"/>
              </w:rPr>
            </w:pPr>
            <w:r w:rsidRPr="00F32E7B">
              <w:rPr>
                <w:i/>
                <w:iCs/>
                <w:color w:val="auto"/>
                <w:sz w:val="20"/>
              </w:rPr>
              <w:t>Performance</w:t>
            </w:r>
          </w:p>
        </w:tc>
        <w:tc>
          <w:tcPr>
            <w:tcW w:w="2253" w:type="dxa"/>
          </w:tcPr>
          <w:p w14:paraId="756E4F59"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¿qué acción emplean para reivindicar la demanda?</w:t>
            </w:r>
          </w:p>
        </w:tc>
      </w:tr>
      <w:tr w:rsidR="00BA4F2C" w:rsidRPr="00F32E7B" w14:paraId="027AFC9E" w14:textId="77777777" w:rsidTr="002A5054">
        <w:trPr>
          <w:jc w:val="center"/>
        </w:trPr>
        <w:tc>
          <w:tcPr>
            <w:tcW w:w="2401" w:type="dxa"/>
          </w:tcPr>
          <w:p w14:paraId="0C235B27"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Demanda</w:t>
            </w:r>
          </w:p>
        </w:tc>
        <w:tc>
          <w:tcPr>
            <w:tcW w:w="2253" w:type="dxa"/>
          </w:tcPr>
          <w:p w14:paraId="436C9DF1"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Verbalización (oral o escrita) del interés colectivo</w:t>
            </w:r>
          </w:p>
        </w:tc>
      </w:tr>
      <w:tr w:rsidR="00BA4F2C" w:rsidRPr="00012009" w14:paraId="7DD0B173" w14:textId="77777777" w:rsidTr="002A5054">
        <w:trPr>
          <w:jc w:val="center"/>
        </w:trPr>
        <w:tc>
          <w:tcPr>
            <w:tcW w:w="2401" w:type="dxa"/>
          </w:tcPr>
          <w:p w14:paraId="4339F1BF"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Objeto</w:t>
            </w:r>
          </w:p>
        </w:tc>
        <w:tc>
          <w:tcPr>
            <w:tcW w:w="2253" w:type="dxa"/>
          </w:tcPr>
          <w:p w14:paraId="20FBF6A5"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¿a quién dirigen la demanda?</w:t>
            </w:r>
          </w:p>
        </w:tc>
      </w:tr>
    </w:tbl>
    <w:p w14:paraId="5AABEB9F" w14:textId="77777777" w:rsidR="00012009" w:rsidRDefault="00012009" w:rsidP="009D063C">
      <w:pPr>
        <w:pStyle w:val="Heading2"/>
        <w:rPr>
          <w:lang w:val="es-ES"/>
        </w:rPr>
      </w:pPr>
      <w:r w:rsidRPr="00012009">
        <w:rPr>
          <w:lang w:val="es-ES"/>
        </w:rPr>
        <w:t>Selección de fuentes para el levantamiento de datos</w:t>
      </w:r>
    </w:p>
    <w:p w14:paraId="3435ED16" w14:textId="77777777" w:rsidR="00D03A27" w:rsidRPr="00D03A27" w:rsidRDefault="00D03A27" w:rsidP="00D03A27">
      <w:pPr>
        <w:rPr>
          <w:lang w:val="es-ES"/>
        </w:rPr>
      </w:pPr>
    </w:p>
    <w:p w14:paraId="3ABB21B0" w14:textId="77777777" w:rsidR="00A75271" w:rsidRDefault="00A75271" w:rsidP="00A75271">
      <w:pPr>
        <w:pStyle w:val="Heading2"/>
        <w:rPr>
          <w:lang w:val="es-ES"/>
        </w:rPr>
      </w:pPr>
      <w:r>
        <w:rPr>
          <w:lang w:val="es-ES"/>
        </w:rPr>
        <w:t>Utilidad del catálogo de eventos en el análisis histórico de procesos políticos</w:t>
      </w:r>
    </w:p>
    <w:p w14:paraId="3808319B" w14:textId="77777777" w:rsidR="00A75271" w:rsidRDefault="00A75271" w:rsidP="00A75271">
      <w:pPr>
        <w:rPr>
          <w:lang w:val="es-ES"/>
        </w:rPr>
      </w:pPr>
      <w:r w:rsidRPr="008B104A">
        <w:rPr>
          <w:lang w:val="es-ES"/>
        </w:rPr>
        <w:t>El análisis histórico de procesos políticos requiere del mayor detalle en la contextualización de los eventos contenciosos, de tal forma que sea posible identificar mecanismos y procesos causales que </w:t>
      </w:r>
      <w:r w:rsidRPr="008B104A">
        <w:rPr>
          <w:i/>
          <w:iCs/>
          <w:lang w:val="es-ES"/>
        </w:rPr>
        <w:t>expliquen</w:t>
      </w:r>
      <w:r w:rsidRPr="008B104A">
        <w:rPr>
          <w:lang w:val="es-ES"/>
        </w:rPr>
        <w:t xml:space="preserve"> la relación entre: el contexto espacio-tiempo que connota la localización de un evento contencioso, y cómo sucedió, por qué sucedió así y no de otra manera, así como qué efectos produjo en la estructura y cultura que connotan el contexto de las transacciones sociales sucesivas en una trayectoria histórica </w:t>
      </w:r>
      <w:r>
        <w:rPr>
          <w:lang w:val="es-ES"/>
        </w:rPr>
        <w:fldChar w:fldCharType="begin"/>
      </w:r>
      <w:r>
        <w:rPr>
          <w:lang w:val="es-ES"/>
        </w:rPr>
        <w:instrText xml:space="preserve"> ADDIN ZOTERO_ITEM CSL_CITATION {"citationID":"Kwpo5H3i","properties":{"formattedCitation":"(Tilly 2001a, 2001b)","plainCitation":"(Tilly 2001a, 2001b)"},"citationItems":[{"id":2864,"uris":["http://zotero.org/users/4081719/items/GDGFV4CL"],"uri":["http://zotero.org/users/4081719/items/GDGFV4CL"],"itemData":{"id":2864,"type":"chapter","title":"Historical Analysis of Political Processes","container-title":"Handbook of Sociological Theory","publisher":"Springer US","publisher-place":"Boston, MA","page":"567-588","event-place":"Boston, MA","URL":"http://dx.doi.org/10.1007/0-387-36274-6_26","ISBN":"978-0-387-36274-8","note":"DOI: 10.1007/0-387-36274-6_26","author":[{"family":"Tilly","given":"Charles"}],"editor":[{"family":"Turner","given":"Jonathan H."}],"issued":{"date-parts":[["2001"]]}},"label":"page"},{"id":5971,"uris":["http://zotero.org/users/4081719/items/JMHSEK7J"],"uri":["http://zotero.org/users/4081719/items/JMHSEK7J"],"itemData":{"id":5971,"type":"chapter","title":"Historical Sociology","container-title":"International Encyclopedia of the Social &amp; Behavioral Sciences","publisher":"Pergamon","publisher-place":"Oxford","page":"6753-6757","event-place":"Oxford","abstract":"As history and sociology specialized during the nineteenth century, historians increasingly took time–place variation as their subject, while sociologists generally organized their inquiries around structures and processes defined independently of time and place. During the twentieth century, however, four different historically oriented pursuits emerged within sociology itself: historical social criticism, pattern identification, scope extension, and process analysis. Each builds on somewhat different methods, aims, and philosophical assumptions.","URL":"http://www.sciencedirect.com/science/article/pii/B0080430767018945","ISBN":"978-0-08-043076-8","note":"DOI: 10.1016/B0-08-043076-7/01894-5","author":[{"family":"Tilly","given":"Charles"}],"editor":[{"family":"Baltes","given":"Paul B."}],"issued":{"date-parts":[["2001"]]}},"label":"page"}],"schema":"https://github.com/citation-style-language/schema/raw/master/csl-citation.json"} </w:instrText>
      </w:r>
      <w:r>
        <w:rPr>
          <w:lang w:val="es-ES"/>
        </w:rPr>
        <w:fldChar w:fldCharType="separate"/>
      </w:r>
      <w:r>
        <w:rPr>
          <w:noProof/>
          <w:lang w:val="es-ES"/>
        </w:rPr>
        <w:t>(Tilly 2001a, 2001b)</w:t>
      </w:r>
      <w:r>
        <w:rPr>
          <w:lang w:val="es-ES"/>
        </w:rPr>
        <w:fldChar w:fldCharType="end"/>
      </w:r>
      <w:r>
        <w:rPr>
          <w:lang w:val="es-ES"/>
        </w:rPr>
        <w:t>.</w:t>
      </w:r>
      <w:r w:rsidRPr="008B104A">
        <w:rPr>
          <w:lang w:val="es-ES"/>
        </w:rPr>
        <w:t xml:space="preserve"> </w:t>
      </w:r>
    </w:p>
    <w:p w14:paraId="2D63EAE4" w14:textId="77777777" w:rsidR="00A75271" w:rsidRDefault="00A75271" w:rsidP="00A75271">
      <w:pPr>
        <w:rPr>
          <w:lang w:val="es-ES"/>
        </w:rPr>
      </w:pPr>
      <w:r w:rsidRPr="008B104A">
        <w:rPr>
          <w:lang w:val="es-ES"/>
        </w:rPr>
        <w:t xml:space="preserve">La lógica que subyace a este argumento supone que: 1) las transacciones sociales alteran las identidades, actividades, recursos y relaciones de los actores involucrados </w:t>
      </w:r>
      <w:r>
        <w:rPr>
          <w:lang w:val="es-ES"/>
        </w:rPr>
        <w:fldChar w:fldCharType="begin"/>
      </w:r>
      <w:r>
        <w:rPr>
          <w:lang w:val="es-ES"/>
        </w:rPr>
        <w:instrText xml:space="preserve"> ADDIN ZOTERO_ITEM CSL_CITATION {"citationID":"dJi8Uo5Y","properties":{"formattedCitation":"(Emirbayer 1997, 2009, Tilly 2000, 2001c, 2005)","plainCitation":"(Emirbayer 1997, 2009, Tilly 2000, 2001c, 2005)"},"citationItems":[{"id":5069,"uris":["http://zotero.org/users/4081719/items/7IX6RKAQ"],"uri":["http://zotero.org/users/4081719/items/7IX6RKAQ"],"itemData":{"id":5069,"type":"article-journal","title":"Manifesto for a Relational Sociology","container-title":"American Journal of Sociology","page":"281-317","volume":"103","issue":"2","URL":"http://www.jstor.org/stable/10.1086/231209","author":[{"family":"Emirbayer","given":"Mustafa"}],"issued":{"date-parts":[["1997"]]}},"label":"page"},{"id":5002,"uris":["http://zotero.org/users/4081719/items/JEGERS6X"],"uri":["http://zotero.org/users/4081719/items/JEGERS6X"],"itemData":{"id":5002,"type":"article-journal","title":"Manifiesto en pro de una sociología relacional","container-title":"Revista CS en Ciencias Sociales","page":"285-329","issue":"4","URL":"http://www.icesi.edu.co/revistas/index.php/revista_cs/article/view/446","author":[{"family":"Emirbayer","given":"Mustafa"}],"issued":{"date-parts":[["2009"]]}},"label":"page"},{"id":3780,"uris":["http://zotero.org/users/4081719/items/VCPPZZ4T"],"uri":["http://zotero.org/users/4081719/items/VCPPZZ4T"],"itemData":{"id":3780,"type":"article-journal","title":"Processes and Mechanisms of Democratization","container-title":"Sociological Theory","page":"1-16","volume":"18","issue":"1","abstract":"Unlike Artistotle's analysis, recent treatments of democratization identify pathways and propose necessary conditions but fall short of specifying cause-effect relations. Democratization does not follow a single path, and is unlikely to have universally applicable necessary or sufficient conditions. A political process analysis of democratization defines it as movement toward broad citizenship, equal citizenship, binding consultation of citizens, and protection of citizens from arbitrary state action. High levels of all four elements depend on a significant degree of state capacity. Democratization emerges from interacting changes in public politics, categorical inequality, and networks of trust, which in turn depend on specifiable mechanisms of change in social relations. When the shocks of conquest, confrontation, colonization, and revolution promote democratization, they do so by accelerating the same causal mechanisms. The next round of research and theory on democratization requires identification, verification, and connection of the relevant causal mechanisms.","URL":"http://www.jstor.org/stable/223279","author":[{"family":"Tilly","given":"Charles"}],"issued":{"date-parts":[["2000"]]}},"label":"page"},{"id":3741,"uris":["http://zotero.org/users/4081719/items/9QAJVN52"],"uri":["http://zotero.org/users/4081719/items/9QAJVN52"],"itemData":{"id":3741,"type":"article-journal","title":"Mechanisms in political processes","container-title":"Annual Review of Political Science","page":"21-41","volume":"4","issue":"1","abstract":"Ostensibly theoretical disputes in political science often involve competing approaches to explanation, including skepticism, covering law arguments, reconstructions of propensities, system models, and explanations featuring causal mechanisms. Mechanism- and process-based accounts, including cognitive, environmental, and relational effects, deserve more attention than they have received in recent political science. Analyses of democratization illustrate these points.","author":[{"family":"Tilly","given":"Charles"}],"issued":{"date-parts":[["2001"]]}},"label":"page"},{"id":2339,"uris":["http://zotero.org/users/4081719/items/PSWZKSWF"],"uri":["http://zotero.org/users/4081719/items/PSWZKSWF"],"itemData":{"id":2339,"type":"book","title":"Identities, Boundaries and Social Ties","publisher":"Paradigm Publishers","publisher-place":"Boulder","event-place":"Boulder","author":[{"family":"Tilly","given":"Charles"}],"issued":{"date-parts":[["2005"]]}},"label":"page"}],"schema":"https://github.com/citation-style-language/schema/raw/master/csl-citation.json"} </w:instrText>
      </w:r>
      <w:r>
        <w:rPr>
          <w:lang w:val="es-ES"/>
        </w:rPr>
        <w:fldChar w:fldCharType="separate"/>
      </w:r>
      <w:r>
        <w:rPr>
          <w:noProof/>
          <w:lang w:val="es-ES"/>
        </w:rPr>
        <w:t>(Emirbayer 1997, 2009, Tilly 2000, 2001c, 2005)</w:t>
      </w:r>
      <w:r>
        <w:rPr>
          <w:lang w:val="es-ES"/>
        </w:rPr>
        <w:fldChar w:fldCharType="end"/>
      </w:r>
      <w:r>
        <w:rPr>
          <w:lang w:val="es-ES"/>
        </w:rPr>
        <w:t>,</w:t>
      </w:r>
      <w:r w:rsidRPr="008B104A">
        <w:rPr>
          <w:lang w:val="es-ES"/>
        </w:rPr>
        <w:t xml:space="preserve"> y 2) que las instituciones, creencias y prácticas en que se acumularon históricamente los efectos duraderos de eventos precedentes </w:t>
      </w:r>
      <w:r>
        <w:rPr>
          <w:lang w:val="es-ES"/>
        </w:rPr>
        <w:fldChar w:fldCharType="begin"/>
      </w:r>
      <w:r>
        <w:rPr>
          <w:lang w:val="es-ES"/>
        </w:rPr>
        <w:instrText xml:space="preserve"> ADDIN ZOTERO_ITEM CSL_CITATION {"citationID":"3sdoLa8O","properties":{"formattedCitation":"(Tilly 2008b, 136-37)","plainCitation":"(Tilly 2008b, 136-37)"},"citationItems":[{"id":5973,"uris":["http://zotero.org/users/4081719/items/66VBD9RU"],"uri":["http://zotero.org/users/4081719/items/66VBD9RU"],"itemData":{"id":5973,"type":"book","title":"Explaining Social Processes","publisher":"Routledge","number-of-pages":"-1","URL":"http://dx.doi.org/10.4324/9781315634722","ISBN":"978-1-59451-500-2","note":"DOI: 10.4324/9781315634722","author":[{"family":"Tilly","given":"Charles"}],"issued":{"date-parts":[["2008",2,28]]},"accessed":{"date-parts":[["2017",8,1]]}},"locator":"136-137","label":"page"}],"schema":"https://github.com/citation-style-language/schema/raw/master/csl-citation.json"} </w:instrText>
      </w:r>
      <w:r>
        <w:rPr>
          <w:lang w:val="es-ES"/>
        </w:rPr>
        <w:fldChar w:fldCharType="separate"/>
      </w:r>
      <w:r>
        <w:rPr>
          <w:noProof/>
          <w:lang w:val="es-ES"/>
        </w:rPr>
        <w:t>(Tilly 2008b, 136-37)</w:t>
      </w:r>
      <w:r>
        <w:rPr>
          <w:lang w:val="es-ES"/>
        </w:rPr>
        <w:fldChar w:fldCharType="end"/>
      </w:r>
      <w:r w:rsidRPr="008B104A">
        <w:rPr>
          <w:lang w:val="es-ES"/>
        </w:rPr>
        <w:t xml:space="preserve"> configuran las condiciones (contexto) en que ocurren las transacciones sociales de eventos futuros</w:t>
      </w:r>
      <w:r>
        <w:rPr>
          <w:lang w:val="es-ES"/>
        </w:rPr>
        <w:t xml:space="preserve"> </w:t>
      </w:r>
      <w:r>
        <w:rPr>
          <w:lang w:val="es-ES"/>
        </w:rPr>
        <w:fldChar w:fldCharType="begin"/>
      </w:r>
      <w:r>
        <w:rPr>
          <w:lang w:val="es-ES"/>
        </w:rPr>
        <w:instrText xml:space="preserve"> ADDIN ZOTERO_ITEM CSL_CITATION {"citationID":"nJOVB2Ln","properties":{"formattedCitation":"(Tilly y Goodin 2006)","plainCitation":"(Tilly y Goodin 2006)"},"citationItems":[{"id":151,"uris":["http://zotero.org/users/4081719/items/S3LIZDQA"],"uri":["http://zotero.org/users/4081719/items/S3LIZDQA"],"itemData":{"id":151,"type":"chapter","title":"Why and How History Matters","container-title":"The Oxford Handbook of Contextual Political Analysis","publisher":"Oxford University Press","publisher-place":"Oxford","page":"417-437","event-place":"Oxford","author":[{"family":"Tilly","given":"Charles"},{"family":"Goodin","given":"Robert E"}],"editor":[{"family":"Goodin","given":"Robert E"},{"family":"Tilly","given":"Charles"}],"issued":{"date-parts":[["2006"]]}}}],"schema":"https://github.com/citation-style-language/schema/raw/master/csl-citation.json"} </w:instrText>
      </w:r>
      <w:r>
        <w:rPr>
          <w:lang w:val="es-ES"/>
        </w:rPr>
        <w:fldChar w:fldCharType="separate"/>
      </w:r>
      <w:r>
        <w:rPr>
          <w:noProof/>
          <w:lang w:val="es-ES"/>
        </w:rPr>
        <w:t>(Tilly y Goodin 2006)</w:t>
      </w:r>
      <w:r>
        <w:rPr>
          <w:lang w:val="es-ES"/>
        </w:rPr>
        <w:fldChar w:fldCharType="end"/>
      </w:r>
      <w:r w:rsidRPr="008B104A">
        <w:rPr>
          <w:lang w:val="es-ES"/>
        </w:rPr>
        <w:t xml:space="preserve">. </w:t>
      </w:r>
    </w:p>
    <w:p w14:paraId="6D36EFA9" w14:textId="77777777" w:rsidR="00A75271" w:rsidRDefault="00A75271" w:rsidP="00A75271">
      <w:pPr>
        <w:rPr>
          <w:lang w:val="es-ES"/>
        </w:rPr>
      </w:pPr>
      <w:r w:rsidRPr="008B104A">
        <w:rPr>
          <w:lang w:val="es-ES"/>
        </w:rPr>
        <w:t>La implicación de estos supuestos se deriva de la matriz ontológica, epistemológica y metodológica de la sociología política</w:t>
      </w:r>
      <w:r>
        <w:rPr>
          <w:lang w:val="es-ES"/>
        </w:rPr>
        <w:t xml:space="preserve"> e</w:t>
      </w:r>
      <w:r w:rsidRPr="008B104A">
        <w:rPr>
          <w:lang w:val="es-ES"/>
        </w:rPr>
        <w:t xml:space="preserve"> histórica que esbozó Charles </w:t>
      </w:r>
      <w:proofErr w:type="spellStart"/>
      <w:r w:rsidRPr="008B104A">
        <w:rPr>
          <w:lang w:val="es-ES"/>
        </w:rPr>
        <w:t>Tilly</w:t>
      </w:r>
      <w:proofErr w:type="spellEnd"/>
      <w:r w:rsidRPr="008B104A">
        <w:rPr>
          <w:lang w:val="es-ES"/>
        </w:rPr>
        <w:t>.</w:t>
      </w:r>
      <w:r w:rsidRPr="008B104A">
        <w:rPr>
          <w:lang w:val="es-ES"/>
        </w:rPr>
        <w:br/>
        <w:t>El primer supuesto corresponde al giro relacional en la sociología (</w:t>
      </w:r>
      <w:proofErr w:type="spellStart"/>
      <w:r w:rsidRPr="008B104A">
        <w:rPr>
          <w:lang w:val="es-ES"/>
        </w:rPr>
        <w:t>Emirbayer</w:t>
      </w:r>
      <w:proofErr w:type="spellEnd"/>
      <w:r w:rsidRPr="008B104A">
        <w:rPr>
          <w:lang w:val="es-ES"/>
        </w:rPr>
        <w:t xml:space="preserve"> 1997, 2009), con el cual se define al concepto de transacción social como elemento ontológico fundamental –con el abandono del substancialismo del actor racional o racionalmente limitado–. </w:t>
      </w:r>
    </w:p>
    <w:p w14:paraId="6F95277E" w14:textId="77777777" w:rsidR="00A75271" w:rsidRDefault="00A75271" w:rsidP="00A75271">
      <w:pPr>
        <w:rPr>
          <w:i/>
          <w:iCs/>
          <w:lang w:val="es-ES"/>
        </w:rPr>
      </w:pPr>
      <w:r w:rsidRPr="00D07762">
        <w:lastRenderedPageBreak/>
        <w:t xml:space="preserve">La </w:t>
      </w:r>
      <w:proofErr w:type="spellStart"/>
      <w:r w:rsidRPr="00D07762">
        <w:t>vida</w:t>
      </w:r>
      <w:proofErr w:type="spellEnd"/>
      <w:r w:rsidRPr="00D07762">
        <w:t xml:space="preserve"> social, </w:t>
      </w:r>
      <w:proofErr w:type="spellStart"/>
      <w:r w:rsidRPr="00D07762">
        <w:t>tal</w:t>
      </w:r>
      <w:proofErr w:type="spellEnd"/>
      <w:r w:rsidRPr="00D07762">
        <w:t xml:space="preserve"> </w:t>
      </w:r>
      <w:proofErr w:type="spellStart"/>
      <w:r w:rsidRPr="00D07762">
        <w:t>como</w:t>
      </w:r>
      <w:proofErr w:type="spellEnd"/>
      <w:r w:rsidRPr="00D07762">
        <w:t xml:space="preserve"> la define Tilly </w:t>
      </w:r>
      <w:r>
        <w:fldChar w:fldCharType="begin"/>
      </w:r>
      <w:r>
        <w:instrText xml:space="preserve"> ADDIN ZOTERO_ITEM CSL_CITATION {"citationID":"tyPBpOBX","properties":{"formattedCitation":"(Tilly 2002a, ix)","plainCitation":"(Tilly 2002a, ix)"},"citationItems":[{"id":5985,"uris":["http://zotero.org/users/4081719/items/QGEDQGA9"],"uri":["http://zotero.org/users/4081719/items/QGEDQGA9"],"itemData":{"id":5985,"type":"book","title":"Stories, Identities, and Political Change","publisher":"Rowman &amp; Littlefield Publishers","publisher-place":"Oxford","event-place":"Oxford","author":[{"family":"Tilly","given":"Charles"}],"issued":{"date-parts":[["2002"]]}},"locator":"ix","label":"page"}],"schema":"https://github.com/citation-style-language/schema/raw/master/csl-citation.json"} </w:instrText>
      </w:r>
      <w:r>
        <w:fldChar w:fldCharType="separate"/>
      </w:r>
      <w:r>
        <w:rPr>
          <w:noProof/>
        </w:rPr>
        <w:t>(2002a, ix)</w:t>
      </w:r>
      <w:r>
        <w:fldChar w:fldCharType="end"/>
      </w:r>
      <w:r w:rsidRPr="00D07762">
        <w:t>:</w:t>
      </w:r>
      <w:r>
        <w:t xml:space="preserve"> </w:t>
      </w:r>
      <w:r w:rsidRPr="0032642B">
        <w:rPr>
          <w:rStyle w:val="QuoteChar"/>
        </w:rPr>
        <w:t>“[…] consists of relationally and culturally channeled, error-filled and error-correcting transactions among social sites that continuously modify the relations and culture within which they occur”.</w:t>
      </w:r>
      <w:r>
        <w:t xml:space="preserve"> </w:t>
      </w:r>
      <w:r w:rsidRPr="008B104A">
        <w:rPr>
          <w:lang w:val="es-ES"/>
        </w:rPr>
        <w:t xml:space="preserve">Esta elección ontológica define el quiebre relacional en la propuesta de </w:t>
      </w:r>
      <w:proofErr w:type="spellStart"/>
      <w:r w:rsidRPr="008B104A">
        <w:rPr>
          <w:lang w:val="es-ES"/>
        </w:rPr>
        <w:t>Tilly</w:t>
      </w:r>
      <w:proofErr w:type="spellEnd"/>
      <w:r w:rsidRPr="008B104A">
        <w:rPr>
          <w:lang w:val="es-ES"/>
        </w:rPr>
        <w:t xml:space="preserve">. En tanto son las transacciones y no las substancias en donde reside la causa o el “motor de la historia”, dichas transacciones sociales ocurren en eventos que involucran sitios sociales no solo humanos (psíquicas, individuales o colectivas) sino también no-humanos (clases, </w:t>
      </w:r>
      <w:r>
        <w:rPr>
          <w:lang w:val="es-ES"/>
        </w:rPr>
        <w:t xml:space="preserve">categorías sociales o lugares): </w:t>
      </w:r>
      <w:r w:rsidRPr="004A7BBD">
        <w:rPr>
          <w:rStyle w:val="QuoteChar"/>
          <w:lang w:val="es-ES"/>
        </w:rPr>
        <w:t>“</w:t>
      </w:r>
      <w:r>
        <w:rPr>
          <w:rStyle w:val="QuoteChar"/>
          <w:lang w:val="es-ES"/>
        </w:rPr>
        <w:t>[s]</w:t>
      </w:r>
      <w:proofErr w:type="spellStart"/>
      <w:r w:rsidRPr="004A7BBD">
        <w:rPr>
          <w:rStyle w:val="QuoteChar"/>
          <w:lang w:val="es-ES"/>
        </w:rPr>
        <w:t>ocial</w:t>
      </w:r>
      <w:proofErr w:type="spellEnd"/>
      <w:r w:rsidRPr="004A7BBD">
        <w:rPr>
          <w:rStyle w:val="QuoteChar"/>
          <w:lang w:val="es-ES"/>
        </w:rPr>
        <w:t xml:space="preserve"> </w:t>
      </w:r>
      <w:proofErr w:type="spellStart"/>
      <w:r w:rsidRPr="004A7BBD">
        <w:rPr>
          <w:rStyle w:val="QuoteChar"/>
          <w:lang w:val="es-ES"/>
        </w:rPr>
        <w:t>sites</w:t>
      </w:r>
      <w:proofErr w:type="spellEnd"/>
      <w:r w:rsidRPr="004A7BBD">
        <w:rPr>
          <w:rStyle w:val="QuoteChar"/>
          <w:lang w:val="es-ES"/>
        </w:rPr>
        <w:t xml:space="preserve"> </w:t>
      </w:r>
      <w:proofErr w:type="spellStart"/>
      <w:r w:rsidRPr="004A7BBD">
        <w:rPr>
          <w:rStyle w:val="QuoteChar"/>
          <w:lang w:val="es-ES"/>
        </w:rPr>
        <w:t>consists</w:t>
      </w:r>
      <w:proofErr w:type="spellEnd"/>
      <w:r w:rsidRPr="004A7BBD">
        <w:rPr>
          <w:rStyle w:val="QuoteChar"/>
          <w:lang w:val="es-ES"/>
        </w:rPr>
        <w:t xml:space="preserve"> of </w:t>
      </w:r>
      <w:proofErr w:type="spellStart"/>
      <w:r w:rsidRPr="004A7BBD">
        <w:rPr>
          <w:rStyle w:val="QuoteChar"/>
          <w:lang w:val="es-ES"/>
        </w:rPr>
        <w:t>loci</w:t>
      </w:r>
      <w:proofErr w:type="spellEnd"/>
      <w:r w:rsidRPr="004A7BBD">
        <w:rPr>
          <w:rStyle w:val="QuoteChar"/>
          <w:lang w:val="es-ES"/>
        </w:rPr>
        <w:t xml:space="preserve"> in </w:t>
      </w:r>
      <w:proofErr w:type="spellStart"/>
      <w:r w:rsidRPr="004A7BBD">
        <w:rPr>
          <w:rStyle w:val="QuoteChar"/>
          <w:lang w:val="es-ES"/>
        </w:rPr>
        <w:t>which</w:t>
      </w:r>
      <w:proofErr w:type="spellEnd"/>
      <w:r w:rsidRPr="004A7BBD">
        <w:rPr>
          <w:rStyle w:val="QuoteChar"/>
          <w:lang w:val="es-ES"/>
        </w:rPr>
        <w:t xml:space="preserve"> </w:t>
      </w:r>
      <w:proofErr w:type="spellStart"/>
      <w:r w:rsidRPr="004A7BBD">
        <w:rPr>
          <w:rStyle w:val="QuoteChar"/>
          <w:lang w:val="es-ES"/>
        </w:rPr>
        <w:t>organized</w:t>
      </w:r>
      <w:proofErr w:type="spellEnd"/>
      <w:r w:rsidRPr="004A7BBD">
        <w:rPr>
          <w:rStyle w:val="QuoteChar"/>
          <w:lang w:val="es-ES"/>
        </w:rPr>
        <w:t xml:space="preserve"> human </w:t>
      </w:r>
      <w:proofErr w:type="spellStart"/>
      <w:r w:rsidRPr="004A7BBD">
        <w:rPr>
          <w:rStyle w:val="QuoteChar"/>
          <w:lang w:val="es-ES"/>
        </w:rPr>
        <w:t>action</w:t>
      </w:r>
      <w:proofErr w:type="spellEnd"/>
      <w:r w:rsidRPr="004A7BBD">
        <w:rPr>
          <w:rStyle w:val="QuoteChar"/>
          <w:lang w:val="es-ES"/>
        </w:rPr>
        <w:t xml:space="preserve"> </w:t>
      </w:r>
      <w:proofErr w:type="spellStart"/>
      <w:r w:rsidRPr="004A7BBD">
        <w:rPr>
          <w:rStyle w:val="QuoteChar"/>
          <w:lang w:val="es-ES"/>
        </w:rPr>
        <w:t>occurs</w:t>
      </w:r>
      <w:proofErr w:type="spellEnd"/>
      <w:r w:rsidRPr="004A7BBD">
        <w:rPr>
          <w:rStyle w:val="QuoteChar"/>
          <w:lang w:val="es-ES"/>
        </w:rPr>
        <w:t xml:space="preserve">; </w:t>
      </w:r>
      <w:proofErr w:type="spellStart"/>
      <w:r w:rsidRPr="004A7BBD">
        <w:rPr>
          <w:rStyle w:val="QuoteChar"/>
          <w:lang w:val="es-ES"/>
        </w:rPr>
        <w:t>they</w:t>
      </w:r>
      <w:proofErr w:type="spellEnd"/>
      <w:r w:rsidRPr="004A7BBD">
        <w:rPr>
          <w:rStyle w:val="QuoteChar"/>
          <w:lang w:val="es-ES"/>
        </w:rPr>
        <w:t xml:space="preserve"> </w:t>
      </w:r>
      <w:proofErr w:type="spellStart"/>
      <w:r w:rsidRPr="004A7BBD">
        <w:rPr>
          <w:rStyle w:val="QuoteChar"/>
          <w:lang w:val="es-ES"/>
        </w:rPr>
        <w:t>i</w:t>
      </w:r>
      <w:r>
        <w:rPr>
          <w:rStyle w:val="QuoteChar"/>
          <w:lang w:val="es-ES"/>
        </w:rPr>
        <w:t>nclude</w:t>
      </w:r>
      <w:proofErr w:type="spellEnd"/>
      <w:r>
        <w:rPr>
          <w:rStyle w:val="QuoteChar"/>
          <w:lang w:val="es-ES"/>
        </w:rPr>
        <w:t xml:space="preserve"> </w:t>
      </w:r>
      <w:proofErr w:type="spellStart"/>
      <w:r>
        <w:rPr>
          <w:rStyle w:val="QuoteChar"/>
          <w:lang w:val="es-ES"/>
        </w:rPr>
        <w:t>individuals</w:t>
      </w:r>
      <w:proofErr w:type="spellEnd"/>
      <w:r>
        <w:rPr>
          <w:rStyle w:val="QuoteChar"/>
          <w:lang w:val="es-ES"/>
        </w:rPr>
        <w:t xml:space="preserve">, </w:t>
      </w:r>
      <w:proofErr w:type="spellStart"/>
      <w:r>
        <w:rPr>
          <w:rStyle w:val="QuoteChar"/>
          <w:lang w:val="es-ES"/>
        </w:rPr>
        <w:t>aspects</w:t>
      </w:r>
      <w:proofErr w:type="spellEnd"/>
      <w:r>
        <w:rPr>
          <w:rStyle w:val="QuoteChar"/>
          <w:lang w:val="es-ES"/>
        </w:rPr>
        <w:t xml:space="preserve"> of </w:t>
      </w:r>
      <w:proofErr w:type="spellStart"/>
      <w:r w:rsidRPr="004A7BBD">
        <w:rPr>
          <w:rStyle w:val="QuoteChar"/>
          <w:lang w:val="es-ES"/>
        </w:rPr>
        <w:t>individuals</w:t>
      </w:r>
      <w:proofErr w:type="spellEnd"/>
      <w:r w:rsidRPr="004A7BBD">
        <w:rPr>
          <w:rStyle w:val="QuoteChar"/>
          <w:lang w:val="es-ES"/>
        </w:rPr>
        <w:t xml:space="preserve">, </w:t>
      </w:r>
      <w:proofErr w:type="spellStart"/>
      <w:r w:rsidRPr="004A7BBD">
        <w:rPr>
          <w:rStyle w:val="QuoteChar"/>
          <w:lang w:val="es-ES"/>
        </w:rPr>
        <w:t>organizations</w:t>
      </w:r>
      <w:proofErr w:type="spellEnd"/>
      <w:r w:rsidRPr="004A7BBD">
        <w:rPr>
          <w:rStyle w:val="QuoteChar"/>
          <w:lang w:val="es-ES"/>
        </w:rPr>
        <w:t xml:space="preserve">, </w:t>
      </w:r>
      <w:proofErr w:type="spellStart"/>
      <w:r w:rsidRPr="004A7BBD">
        <w:rPr>
          <w:rStyle w:val="QuoteChar"/>
          <w:lang w:val="es-ES"/>
        </w:rPr>
        <w:t>networks</w:t>
      </w:r>
      <w:proofErr w:type="spellEnd"/>
      <w:r w:rsidRPr="004A7BBD">
        <w:rPr>
          <w:rStyle w:val="QuoteChar"/>
          <w:lang w:val="es-ES"/>
        </w:rPr>
        <w:t>, and places” </w:t>
      </w:r>
      <w:r w:rsidRPr="004A7BBD">
        <w:rPr>
          <w:lang w:val="es-ES"/>
        </w:rPr>
        <w:t>(</w:t>
      </w:r>
      <w:proofErr w:type="spellStart"/>
      <w:r w:rsidRPr="004A7BBD">
        <w:rPr>
          <w:lang w:val="es-ES"/>
        </w:rPr>
        <w:t>Tilly</w:t>
      </w:r>
      <w:proofErr w:type="spellEnd"/>
      <w:r w:rsidRPr="004A7BBD">
        <w:rPr>
          <w:lang w:val="es-ES"/>
        </w:rPr>
        <w:t xml:space="preserve"> 2002, xi)</w:t>
      </w:r>
      <w:r w:rsidRPr="004A7BBD">
        <w:rPr>
          <w:i/>
          <w:iCs/>
          <w:lang w:val="es-ES"/>
        </w:rPr>
        <w:t>.</w:t>
      </w:r>
    </w:p>
    <w:p w14:paraId="48190BC7" w14:textId="77777777" w:rsidR="00A75271" w:rsidRDefault="00A75271" w:rsidP="00A75271">
      <w:pPr>
        <w:rPr>
          <w:lang w:val="es-ES"/>
        </w:rPr>
      </w:pPr>
      <w:r w:rsidRPr="008B104A">
        <w:rPr>
          <w:lang w:val="es-ES"/>
        </w:rPr>
        <w:t>El segundo supuesto hace referencia al uso del </w:t>
      </w:r>
      <w:proofErr w:type="spellStart"/>
      <w:r w:rsidRPr="008B104A">
        <w:rPr>
          <w:i/>
          <w:iCs/>
          <w:lang w:val="es-ES"/>
        </w:rPr>
        <w:t>process</w:t>
      </w:r>
      <w:proofErr w:type="spellEnd"/>
      <w:r w:rsidRPr="008B104A">
        <w:rPr>
          <w:i/>
          <w:iCs/>
          <w:lang w:val="es-ES"/>
        </w:rPr>
        <w:t xml:space="preserve"> </w:t>
      </w:r>
      <w:proofErr w:type="spellStart"/>
      <w:r w:rsidRPr="008B104A">
        <w:rPr>
          <w:i/>
          <w:iCs/>
          <w:lang w:val="es-ES"/>
        </w:rPr>
        <w:t>tracing</w:t>
      </w:r>
      <w:proofErr w:type="spellEnd"/>
      <w:r w:rsidRPr="008B104A">
        <w:rPr>
          <w:i/>
          <w:iCs/>
          <w:lang w:val="es-ES"/>
        </w:rPr>
        <w:t> </w:t>
      </w:r>
      <w:r w:rsidRPr="008B104A">
        <w:rPr>
          <w:lang w:val="es-ES"/>
        </w:rPr>
        <w:t>para el rastreo de evidencia que nos permita conectar even</w:t>
      </w:r>
      <w:r>
        <w:rPr>
          <w:lang w:val="es-ES"/>
        </w:rPr>
        <w:t>tos pasados y</w:t>
      </w:r>
      <w:r w:rsidRPr="008B104A">
        <w:rPr>
          <w:lang w:val="es-ES"/>
        </w:rPr>
        <w:t xml:space="preserve"> presentes en </w:t>
      </w:r>
      <w:proofErr w:type="spellStart"/>
      <w:r w:rsidRPr="008B104A">
        <w:rPr>
          <w:i/>
          <w:iCs/>
          <w:lang w:val="es-ES"/>
        </w:rPr>
        <w:t>tipping</w:t>
      </w:r>
      <w:proofErr w:type="spellEnd"/>
      <w:r w:rsidRPr="008B104A">
        <w:rPr>
          <w:i/>
          <w:iCs/>
          <w:lang w:val="es-ES"/>
        </w:rPr>
        <w:t xml:space="preserve"> </w:t>
      </w:r>
      <w:proofErr w:type="spellStart"/>
      <w:r w:rsidRPr="008B104A">
        <w:rPr>
          <w:i/>
          <w:iCs/>
          <w:lang w:val="es-ES"/>
        </w:rPr>
        <w:t>points</w:t>
      </w:r>
      <w:proofErr w:type="spellEnd"/>
      <w:r w:rsidRPr="008B104A">
        <w:rPr>
          <w:lang w:val="es-ES"/>
        </w:rPr>
        <w:t xml:space="preserve"> decisivos (coyunturas críticas) que exhiben –cuantitativa o cualitativamente– cambios en la trayectoria histórica </w:t>
      </w:r>
      <w:r>
        <w:rPr>
          <w:lang w:val="es-ES"/>
        </w:rPr>
        <w:fldChar w:fldCharType="begin"/>
      </w:r>
      <w:r>
        <w:rPr>
          <w:lang w:val="es-ES"/>
        </w:rPr>
        <w:instrText xml:space="preserve"> ADDIN ZOTERO_ITEM CSL_CITATION {"citationID":"hzupTnZu","properties":{"formattedCitation":"(Tarrow 2004, 171-74)","plainCitation":"(Tarrow 2004, 171-74)"},"citationItems":[{"id":7461,"uris":["http://zotero.org/users/4081719/items/I2U26M7A"],"uri":["http://zotero.org/users/4081719/items/I2U26M7A"],"itemData":{"id":7461,"type":"chapter","title":"Bridging the Quantitative-Qualitative Divide","container-title":"Rethinking Social Inquiry. Diverse Tools, Shared Standards","publisher":"Rowman &amp; Littlefield Publishers","publisher-place":"Boulder","page":"171-192","edition":"Primera edición","event-place":"Boulder","author":[{"family":"Tarrow","given":"Sidney"}],"editor":[{"family":"Brady","given":"Henry E."},{"family":"Collier","given":"David"}],"issued":{"date-parts":[["2004"]]}},"locator":"171-174","label":"page"}],"schema":"https://github.com/citation-style-language/schema/raw/master/csl-citation.json"} </w:instrText>
      </w:r>
      <w:r>
        <w:rPr>
          <w:lang w:val="es-ES"/>
        </w:rPr>
        <w:fldChar w:fldCharType="separate"/>
      </w:r>
      <w:r>
        <w:rPr>
          <w:noProof/>
          <w:lang w:val="es-ES"/>
        </w:rPr>
        <w:t>(Tarrow 2004, 171-74)</w:t>
      </w:r>
      <w:r>
        <w:rPr>
          <w:lang w:val="es-ES"/>
        </w:rPr>
        <w:fldChar w:fldCharType="end"/>
      </w:r>
      <w:r>
        <w:rPr>
          <w:lang w:val="es-ES"/>
        </w:rPr>
        <w:t>.</w:t>
      </w:r>
      <w:r w:rsidRPr="008B104A">
        <w:rPr>
          <w:lang w:val="es-ES"/>
        </w:rPr>
        <w:t xml:space="preserve"> Dichos cambios son explicados en relación al contexto espacio-tiempo que configuran las</w:t>
      </w:r>
      <w:r>
        <w:rPr>
          <w:lang w:val="es-ES"/>
        </w:rPr>
        <w:t xml:space="preserve"> estructuras,</w:t>
      </w:r>
      <w:r w:rsidRPr="008B104A">
        <w:rPr>
          <w:lang w:val="es-ES"/>
        </w:rPr>
        <w:t xml:space="preserve"> instituciones, creencias y prácticas en que se acumularon los efectos de las transacciones sociales sucedidas en eventos que constriñeron la ocurrenci</w:t>
      </w:r>
      <w:r>
        <w:rPr>
          <w:lang w:val="es-ES"/>
        </w:rPr>
        <w:t>a de otros eventos posteriores.</w:t>
      </w:r>
    </w:p>
    <w:p w14:paraId="03E5A6A4" w14:textId="77777777" w:rsidR="00A75271" w:rsidRDefault="00A75271" w:rsidP="00A75271">
      <w:pPr>
        <w:rPr>
          <w:lang w:val="es-ES"/>
        </w:rPr>
      </w:pPr>
      <w:r w:rsidRPr="008B104A">
        <w:rPr>
          <w:lang w:val="es-ES"/>
        </w:rPr>
        <w:t xml:space="preserve">El tercer supuesto se refiere a la especificación de la lógica de procesos y mecanismos causales. A diferencia de los modelos generales invariantes –lógica de explicación que dio paso al método (histórico) comparado–, la presunción de la sociología histórica de </w:t>
      </w:r>
      <w:proofErr w:type="spellStart"/>
      <w:r w:rsidRPr="008B104A">
        <w:rPr>
          <w:lang w:val="es-ES"/>
        </w:rPr>
        <w:t>Tilly</w:t>
      </w:r>
      <w:proofErr w:type="spellEnd"/>
      <w:r w:rsidRPr="008B104A">
        <w:rPr>
          <w:lang w:val="es-ES"/>
        </w:rPr>
        <w:t xml:space="preserve"> se orienta en menor medida a la generalización o validez externa de una teoría (a un universo mayor o diferente de casos). Lo cual no significa que haya perdido la “fe” en las regularidades sociológicas y en las ciencias sociales como tales, </w:t>
      </w:r>
      <w:proofErr w:type="spellStart"/>
      <w:r w:rsidRPr="008B104A">
        <w:rPr>
          <w:lang w:val="es-ES"/>
        </w:rPr>
        <w:t>Tilly</w:t>
      </w:r>
      <w:proofErr w:type="spellEnd"/>
      <w:r w:rsidRPr="008B104A">
        <w:rPr>
          <w:lang w:val="es-ES"/>
        </w:rPr>
        <w:t xml:space="preserve"> enlaza así la persuasión relacional de la sociología política con la historia, en pro de la identificación de combinaciones y secuencias robustas de procesos y mecanismos sociales que si bien no operan (casi) nunca de la misma forma en contextos espacial y temporalmente diferenciados, sí representan tipos de eventos y transacciones sociales que producen efectos similares en la estructura y cultura que constriñen </w:t>
      </w:r>
      <w:r>
        <w:rPr>
          <w:lang w:val="es-ES"/>
        </w:rPr>
        <w:t xml:space="preserve">la vida social </w:t>
      </w:r>
      <w:r>
        <w:rPr>
          <w:lang w:val="es-ES"/>
        </w:rPr>
        <w:fldChar w:fldCharType="begin"/>
      </w:r>
      <w:r>
        <w:rPr>
          <w:lang w:val="es-ES"/>
        </w:rPr>
        <w:instrText xml:space="preserve"> ADDIN ZOTERO_ITEM CSL_CITATION {"citationID":"fuS4gmHn","properties":{"formattedCitation":"(McAdam, Tarrow, y Tilly 2005; Tilly 2008b; Tilly y Tarrow 2015)","plainCitation":"(McAdam, Tarrow, y Tilly 2005; Tilly 2008b; Tilly y Tarrow 2015)"},"citationItems":[{"id":6375,"uris":["http://zotero.org/users/4081719/items/8CI3WUJ2"],"uri":["http://zotero.org/users/4081719/items/8CI3WUJ2"],"itemData":{"id":6375,"type":"book","title":"Dinámica de la contienda política","publisher":"Editorial Hacer","publisher-place":"Barcelona","event-place":"Barcelona","ISBN":"84-88711-70-0","author":[{"family":"McAdam","given":"Doug"},{"family":"Tarrow","given":"Sidney"},{"family":"Tilly","given":"Charles"}],"issued":{"date-parts":[["2005"]]}},"label":"page"},{"id":5973,"uris":["http://zotero.org/users/4081719/items/66VBD9RU"],"uri":["http://zotero.org/users/4081719/items/66VBD9RU"],"itemData":{"id":5973,"type":"book","title":"Explaining Social Processes","publisher":"Routledge","number-of-pages":"-1","URL":"http://dx.doi.org/10.4324/9781315634722","ISBN":"978-1-59451-500-2","note":"DOI: 10.4324/9781315634722","author":[{"family":"Tilly","given":"Charles"}],"issued":{"date-parts":[["2008",2,28]]},"accessed":{"date-parts":[["2017",8,1]]}},"label":"page"},{"id":5438,"uris":["http://zotero.org/users/4081719/items/HQT6QSW9"],"uri":["http://zotero.org/users/4081719/items/HQT6QSW9"],"itemData":{"id":5438,"type":"book","title":"Contentious Politics","publisher":"Oxford University Press","publisher-place":"New York","edition":"Segunda Edición","event-place":"New York","author":[{"family":"Tilly","given":"Charles"},{"family":"Tarrow","given":"Sidney"}],"issued":{"date-parts":[["2015"]]}},"label":"page"}],"schema":"https://github.com/citation-style-language/schema/raw/master/csl-citation.json"} </w:instrText>
      </w:r>
      <w:r>
        <w:rPr>
          <w:lang w:val="es-ES"/>
        </w:rPr>
        <w:fldChar w:fldCharType="separate"/>
      </w:r>
      <w:r>
        <w:rPr>
          <w:noProof/>
          <w:lang w:val="es-ES"/>
        </w:rPr>
        <w:t>(McAdam, Tarrow, y Tilly 2005; Tilly 2008b; Tilly y Tarrow 2015)</w:t>
      </w:r>
      <w:r>
        <w:rPr>
          <w:lang w:val="es-ES"/>
        </w:rPr>
        <w:fldChar w:fldCharType="end"/>
      </w:r>
      <w:r>
        <w:rPr>
          <w:lang w:val="es-ES"/>
        </w:rPr>
        <w:t>.</w:t>
      </w:r>
    </w:p>
    <w:p w14:paraId="1C3690C9" w14:textId="77777777" w:rsidR="00A75271" w:rsidRDefault="00A75271" w:rsidP="00A75271">
      <w:pPr>
        <w:rPr>
          <w:lang w:val="es-ES"/>
        </w:rPr>
      </w:pPr>
      <w:r w:rsidRPr="008B104A">
        <w:rPr>
          <w:lang w:val="es-ES"/>
        </w:rPr>
        <w:t xml:space="preserve">En ese sentido, los catálogos de eventos son útiles para el análisis histórico de procesos políticos en tanto permiten identificar coyunturas de cambio social o histórico a partir de las cuales el investigador construye evidencia que explique la divergencia entre las trayectorias históricas y resultados sociales de un “mismo” proceso social robusto. </w:t>
      </w:r>
    </w:p>
    <w:p w14:paraId="745D3320" w14:textId="77777777" w:rsidR="00A75271" w:rsidRDefault="00A75271" w:rsidP="00A75271">
      <w:pPr>
        <w:rPr>
          <w:lang w:val="es-ES"/>
        </w:rPr>
      </w:pPr>
      <w:r w:rsidRPr="008B104A">
        <w:rPr>
          <w:lang w:val="es-ES"/>
        </w:rPr>
        <w:lastRenderedPageBreak/>
        <w:t>Cuando los casos analizados evidencian la persistencia de un factor sistemático o patrón invariante que pareciera explicar todas las instancias del episodio o proceso social de interés, es necesario identificar las diferencias internas entre los casos (</w:t>
      </w:r>
      <w:proofErr w:type="spellStart"/>
      <w:r w:rsidRPr="008B104A">
        <w:rPr>
          <w:i/>
          <w:iCs/>
          <w:lang w:val="es-ES"/>
        </w:rPr>
        <w:t>within</w:t>
      </w:r>
      <w:proofErr w:type="spellEnd"/>
      <w:r w:rsidRPr="008B104A">
        <w:rPr>
          <w:i/>
          <w:iCs/>
          <w:lang w:val="es-ES"/>
        </w:rPr>
        <w:t xml:space="preserve">-case </w:t>
      </w:r>
      <w:proofErr w:type="spellStart"/>
      <w:r w:rsidRPr="008B104A">
        <w:rPr>
          <w:i/>
          <w:iCs/>
          <w:lang w:val="es-ES"/>
        </w:rPr>
        <w:t>level</w:t>
      </w:r>
      <w:proofErr w:type="spellEnd"/>
      <w:r w:rsidRPr="008B104A">
        <w:rPr>
          <w:i/>
          <w:iCs/>
          <w:lang w:val="es-ES"/>
        </w:rPr>
        <w:t xml:space="preserve"> of </w:t>
      </w:r>
      <w:proofErr w:type="spellStart"/>
      <w:r w:rsidRPr="008B104A">
        <w:rPr>
          <w:i/>
          <w:iCs/>
          <w:lang w:val="es-ES"/>
        </w:rPr>
        <w:t>analysis</w:t>
      </w:r>
      <w:proofErr w:type="spellEnd"/>
      <w:r w:rsidRPr="008B104A">
        <w:rPr>
          <w:lang w:val="es-ES"/>
        </w:rPr>
        <w:t xml:space="preserve">) </w:t>
      </w:r>
      <w:r>
        <w:rPr>
          <w:lang w:val="es-ES"/>
        </w:rPr>
        <w:fldChar w:fldCharType="begin"/>
      </w:r>
      <w:r>
        <w:rPr>
          <w:lang w:val="es-ES"/>
        </w:rPr>
        <w:instrText xml:space="preserve"> ADDIN ZOTERO_ITEM CSL_CITATION {"citationID":"JxN1Pnxp","properties":{"formattedCitation":"(Rohlfing 2012)","plainCitation":"(Rohlfing 2012)"},"citationItems":[{"id":3981,"uris":["http://zotero.org/users/4081719/items/HAXTGH7V"],"uri":["http://zotero.org/users/4081719/items/HAXTGH7V"],"itemData":{"id":3981,"type":"book","title":"Case Studies and Causal Inference. An Integrative Framework","publisher":"Palgrave Macmillan","publisher-place":"New York","event-place":"New York","author":[{"family":"Rohlfing","given":"Ingo"}],"issued":{"date-parts":[["2012"]]}}}],"schema":"https://github.com/citation-style-language/schema/raw/master/csl-citation.json"} </w:instrText>
      </w:r>
      <w:r>
        <w:rPr>
          <w:lang w:val="es-ES"/>
        </w:rPr>
        <w:fldChar w:fldCharType="separate"/>
      </w:r>
      <w:r>
        <w:rPr>
          <w:noProof/>
          <w:lang w:val="es-ES"/>
        </w:rPr>
        <w:t>(Rohlfing 2012)</w:t>
      </w:r>
      <w:r>
        <w:rPr>
          <w:lang w:val="es-ES"/>
        </w:rPr>
        <w:fldChar w:fldCharType="end"/>
      </w:r>
      <w:r>
        <w:rPr>
          <w:lang w:val="es-ES"/>
        </w:rPr>
        <w:t xml:space="preserve"> </w:t>
      </w:r>
      <w:r w:rsidRPr="008B104A">
        <w:rPr>
          <w:lang w:val="es-ES"/>
        </w:rPr>
        <w:t>en la combinación y secuencia de mecanismos sociales que puedan dar cuenta del desa</w:t>
      </w:r>
      <w:r>
        <w:rPr>
          <w:lang w:val="es-ES"/>
        </w:rPr>
        <w:t>rrollo histórico (</w:t>
      </w:r>
      <w:proofErr w:type="spellStart"/>
      <w:r>
        <w:rPr>
          <w:lang w:val="es-ES"/>
        </w:rPr>
        <w:t>Tilly</w:t>
      </w:r>
      <w:proofErr w:type="spellEnd"/>
      <w:r>
        <w:rPr>
          <w:lang w:val="es-ES"/>
        </w:rPr>
        <w:t xml:space="preserve"> 2008b). </w:t>
      </w:r>
      <w:r w:rsidRPr="008B104A">
        <w:rPr>
          <w:lang w:val="es-ES"/>
        </w:rPr>
        <w:t xml:space="preserve">Al trabajar en el nivel de análisis </w:t>
      </w:r>
      <w:proofErr w:type="spellStart"/>
      <w:r w:rsidRPr="006E3303">
        <w:rPr>
          <w:i/>
          <w:lang w:val="es-ES"/>
        </w:rPr>
        <w:t>within</w:t>
      </w:r>
      <w:proofErr w:type="spellEnd"/>
      <w:r w:rsidRPr="006E3303">
        <w:rPr>
          <w:i/>
          <w:lang w:val="es-ES"/>
        </w:rPr>
        <w:t>-case</w:t>
      </w:r>
      <w:r w:rsidRPr="008B104A">
        <w:rPr>
          <w:lang w:val="es-ES"/>
        </w:rPr>
        <w:t xml:space="preserve">, el análisis histórico de procesos políticos compara episodios (casos) similares </w:t>
      </w:r>
      <w:r>
        <w:rPr>
          <w:lang w:val="es-ES"/>
        </w:rPr>
        <w:t>a partir de</w:t>
      </w:r>
      <w:r w:rsidRPr="008B104A">
        <w:rPr>
          <w:lang w:val="es-ES"/>
        </w:rPr>
        <w:t xml:space="preserve"> combinaciones y secuencias </w:t>
      </w:r>
      <w:r>
        <w:rPr>
          <w:lang w:val="es-ES"/>
        </w:rPr>
        <w:t>robustas de mecanismos sociales</w:t>
      </w:r>
      <w:r w:rsidRPr="008B104A">
        <w:rPr>
          <w:lang w:val="es-ES"/>
        </w:rPr>
        <w:t xml:space="preserve"> para luego poner prueba su operación en episodios caracterizados por procesos sociales diferentes</w:t>
      </w:r>
      <w:r>
        <w:rPr>
          <w:lang w:val="es-ES"/>
        </w:rPr>
        <w:t>,</w:t>
      </w:r>
      <w:r w:rsidRPr="008B104A">
        <w:rPr>
          <w:lang w:val="es-ES"/>
        </w:rPr>
        <w:t xml:space="preserve"> identificando así combinaciones y secuencias de mecanismos de aún mayor robustez para e</w:t>
      </w:r>
      <w:r>
        <w:rPr>
          <w:lang w:val="es-ES"/>
        </w:rPr>
        <w:t>xplicar la vida social.</w:t>
      </w:r>
    </w:p>
    <w:p w14:paraId="67AA84A3" w14:textId="4E3D3951" w:rsidR="009D063C" w:rsidRDefault="00A75271" w:rsidP="009D063C">
      <w:pPr>
        <w:rPr>
          <w:lang w:val="es-ES"/>
        </w:rPr>
      </w:pPr>
      <w:r w:rsidRPr="008B104A">
        <w:rPr>
          <w:lang w:val="es-ES"/>
        </w:rPr>
        <w:t>La labor en ese sentido, consistiría en rastrear el cambio histórico a partir del estudio de procesos y mecanismos sociales robustos que operan en combinaciones y secuencias definidas por el contexto histórico. Dicho contexto espacial y temporalmente delimitado representa una configuración determinada por los efectos</w:t>
      </w:r>
      <w:r>
        <w:rPr>
          <w:lang w:val="es-ES"/>
        </w:rPr>
        <w:t xml:space="preserve"> duraderos de eventos contenciosos precedentes</w:t>
      </w:r>
      <w:r w:rsidRPr="008B104A">
        <w:rPr>
          <w:lang w:val="es-ES"/>
        </w:rPr>
        <w:t xml:space="preserve"> acumulados en </w:t>
      </w:r>
      <w:r>
        <w:rPr>
          <w:lang w:val="es-ES"/>
        </w:rPr>
        <w:t xml:space="preserve">estructuras, </w:t>
      </w:r>
      <w:r w:rsidRPr="008B104A">
        <w:rPr>
          <w:lang w:val="es-ES"/>
        </w:rPr>
        <w:t>instituciones, creencias y prácticas</w:t>
      </w:r>
      <w:r>
        <w:rPr>
          <w:lang w:val="es-ES"/>
        </w:rPr>
        <w:t xml:space="preserve"> </w:t>
      </w:r>
      <w:r w:rsidRPr="008B104A">
        <w:rPr>
          <w:lang w:val="es-ES"/>
        </w:rPr>
        <w:t xml:space="preserve">que </w:t>
      </w:r>
      <w:r>
        <w:rPr>
          <w:lang w:val="es-ES"/>
        </w:rPr>
        <w:t>constriñen las trayectorias de movilización sucesivas.</w:t>
      </w:r>
    </w:p>
    <w:p w14:paraId="6C8408B2" w14:textId="4EB3DD83" w:rsidR="000F1B48" w:rsidRDefault="000F1B48" w:rsidP="000F1B48">
      <w:pPr>
        <w:pStyle w:val="Heading1"/>
        <w:rPr>
          <w:lang w:val="es-ES"/>
        </w:rPr>
      </w:pPr>
      <w:r>
        <w:rPr>
          <w:lang w:val="es-ES"/>
        </w:rPr>
        <w:t>Referencias bibliográficas</w:t>
      </w:r>
    </w:p>
    <w:p w14:paraId="202B7FB8" w14:textId="77777777" w:rsidR="00FF5190" w:rsidRPr="00FF5190" w:rsidRDefault="00E45F54" w:rsidP="00FF5190">
      <w:pPr>
        <w:pStyle w:val="Bibliography"/>
        <w:rPr>
          <w:rFonts w:cs="Times New Roman"/>
          <w:color w:val="000000"/>
          <w:lang w:val="es-ES"/>
        </w:rPr>
      </w:pPr>
      <w:r>
        <w:rPr>
          <w:lang w:val="es-ES"/>
        </w:rPr>
        <w:fldChar w:fldCharType="begin"/>
      </w:r>
      <w:r w:rsidR="00FF5190">
        <w:rPr>
          <w:lang w:val="es-ES"/>
        </w:rPr>
        <w:instrText xml:space="preserve"> ADDIN ZOTERO_BIBL {"custom":[]} CSL_BIBLIOGRAPHY </w:instrText>
      </w:r>
      <w:r>
        <w:rPr>
          <w:lang w:val="es-ES"/>
        </w:rPr>
        <w:fldChar w:fldCharType="separate"/>
      </w:r>
      <w:r w:rsidR="00FF5190" w:rsidRPr="00FF5190">
        <w:rPr>
          <w:rFonts w:cs="Times New Roman"/>
          <w:color w:val="000000"/>
          <w:lang w:val="es-ES"/>
        </w:rPr>
        <w:t xml:space="preserve">Arce, Moisés. 2010. «Algunos apuntes sobre los movimientos sociales y protestas en el Perú». </w:t>
      </w:r>
      <w:bookmarkStart w:id="0" w:name="_GoBack"/>
      <w:r w:rsidR="00FF5190" w:rsidRPr="00FF5190">
        <w:rPr>
          <w:rFonts w:cs="Times New Roman"/>
          <w:color w:val="000000"/>
          <w:lang w:val="es-ES"/>
        </w:rPr>
        <w:t xml:space="preserve">En </w:t>
      </w:r>
      <w:r w:rsidR="00FF5190" w:rsidRPr="00FF5190">
        <w:rPr>
          <w:rFonts w:cs="Times New Roman"/>
          <w:i/>
          <w:iCs/>
          <w:color w:val="000000"/>
          <w:lang w:val="es-ES"/>
        </w:rPr>
        <w:t>La iniciación de la política. El Perú político en perspectiva comparada</w:t>
      </w:r>
      <w:r w:rsidR="00FF5190" w:rsidRPr="00FF5190">
        <w:rPr>
          <w:rFonts w:cs="Times New Roman"/>
          <w:color w:val="000000"/>
          <w:lang w:val="es-ES"/>
        </w:rPr>
        <w:t xml:space="preserve">, editado por </w:t>
      </w:r>
      <w:bookmarkEnd w:id="0"/>
      <w:r w:rsidR="00FF5190" w:rsidRPr="00FF5190">
        <w:rPr>
          <w:rFonts w:cs="Times New Roman"/>
          <w:color w:val="000000"/>
          <w:lang w:val="es-ES"/>
        </w:rPr>
        <w:t>Carlos Meléndez y Alberto Vergara, 273-94. Lima: Fondo Editorial PUCP.</w:t>
      </w:r>
    </w:p>
    <w:p w14:paraId="3FCF7FA6"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2011. «La repolitización de la acción colectiva tras el neoliberalismo en el Perú». </w:t>
      </w:r>
      <w:r w:rsidRPr="00FF5190">
        <w:rPr>
          <w:rFonts w:cs="Times New Roman"/>
          <w:i/>
          <w:iCs/>
          <w:color w:val="000000"/>
          <w:lang w:val="es-ES"/>
        </w:rPr>
        <w:t>Debates en Sociología</w:t>
      </w:r>
      <w:r w:rsidRPr="00FF5190">
        <w:rPr>
          <w:rFonts w:cs="Times New Roman"/>
          <w:color w:val="000000"/>
          <w:lang w:val="es-ES"/>
        </w:rPr>
        <w:t xml:space="preserve"> 36: 57-83.</w:t>
      </w:r>
    </w:p>
    <w:p w14:paraId="1660D9ED"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2014. «Base de Protestas Sociales del Perú </w:t>
      </w:r>
      <w:proofErr w:type="spellStart"/>
      <w:r w:rsidRPr="00FF5190">
        <w:rPr>
          <w:rFonts w:cs="Times New Roman"/>
          <w:color w:val="000000"/>
          <w:lang w:val="es-ES"/>
        </w:rPr>
        <w:t>Dataset</w:t>
      </w:r>
      <w:proofErr w:type="spellEnd"/>
      <w:r w:rsidRPr="00FF5190">
        <w:rPr>
          <w:rFonts w:cs="Times New Roman"/>
          <w:color w:val="000000"/>
          <w:lang w:val="es-ES"/>
        </w:rPr>
        <w:t xml:space="preserve">». </w:t>
      </w:r>
      <w:proofErr w:type="spellStart"/>
      <w:r w:rsidRPr="00FF5190">
        <w:rPr>
          <w:rFonts w:cs="Times New Roman"/>
          <w:color w:val="000000"/>
          <w:lang w:val="es-ES"/>
        </w:rPr>
        <w:t>University</w:t>
      </w:r>
      <w:proofErr w:type="spellEnd"/>
      <w:r w:rsidRPr="00FF5190">
        <w:rPr>
          <w:rFonts w:cs="Times New Roman"/>
          <w:color w:val="000000"/>
          <w:lang w:val="es-ES"/>
        </w:rPr>
        <w:t xml:space="preserve"> of Missouri.</w:t>
      </w:r>
    </w:p>
    <w:p w14:paraId="1C950BAD" w14:textId="77777777" w:rsidR="00FF5190" w:rsidRPr="00FF5190" w:rsidRDefault="00FF5190" w:rsidP="00FF5190">
      <w:pPr>
        <w:pStyle w:val="Bibliography"/>
        <w:rPr>
          <w:rFonts w:cs="Times New Roman"/>
          <w:color w:val="000000"/>
        </w:rPr>
      </w:pPr>
      <w:r w:rsidRPr="00FF5190">
        <w:rPr>
          <w:rFonts w:cs="Times New Roman"/>
          <w:color w:val="000000"/>
          <w:lang w:val="es-ES"/>
        </w:rPr>
        <w:t xml:space="preserve">———. 2015. «Apéndice: La base de datos de las protestas sociales del Perú.» En </w:t>
      </w:r>
      <w:r w:rsidRPr="00FF5190">
        <w:rPr>
          <w:rFonts w:cs="Times New Roman"/>
          <w:i/>
          <w:iCs/>
          <w:color w:val="000000"/>
          <w:lang w:val="es-ES"/>
        </w:rPr>
        <w:t>La extracción de recursos naturales y la protesta social en el Perú.</w:t>
      </w:r>
      <w:r w:rsidRPr="00FF5190">
        <w:rPr>
          <w:rFonts w:cs="Times New Roman"/>
          <w:color w:val="000000"/>
          <w:lang w:val="es-ES"/>
        </w:rPr>
        <w:t xml:space="preserve"> </w:t>
      </w:r>
      <w:r w:rsidRPr="00FF5190">
        <w:rPr>
          <w:rFonts w:cs="Times New Roman"/>
          <w:color w:val="000000"/>
        </w:rPr>
        <w:t xml:space="preserve">Lima: </w:t>
      </w:r>
      <w:proofErr w:type="spellStart"/>
      <w:r w:rsidRPr="00FF5190">
        <w:rPr>
          <w:rFonts w:cs="Times New Roman"/>
          <w:color w:val="000000"/>
        </w:rPr>
        <w:t>Fondo</w:t>
      </w:r>
      <w:proofErr w:type="spellEnd"/>
      <w:r w:rsidRPr="00FF5190">
        <w:rPr>
          <w:rFonts w:cs="Times New Roman"/>
          <w:color w:val="000000"/>
        </w:rPr>
        <w:t xml:space="preserve"> Editorial de la PUCP.</w:t>
      </w:r>
    </w:p>
    <w:p w14:paraId="1CEDB6A1" w14:textId="77777777" w:rsidR="00FF5190" w:rsidRPr="00FF5190" w:rsidRDefault="00FF5190" w:rsidP="00FF5190">
      <w:pPr>
        <w:pStyle w:val="Bibliography"/>
        <w:rPr>
          <w:rFonts w:cs="Times New Roman"/>
          <w:color w:val="000000"/>
        </w:rPr>
      </w:pPr>
      <w:proofErr w:type="spellStart"/>
      <w:r w:rsidRPr="00FF5190">
        <w:rPr>
          <w:rFonts w:cs="Times New Roman"/>
          <w:color w:val="000000"/>
        </w:rPr>
        <w:t>Beissinger</w:t>
      </w:r>
      <w:proofErr w:type="spellEnd"/>
      <w:r w:rsidRPr="00FF5190">
        <w:rPr>
          <w:rFonts w:cs="Times New Roman"/>
          <w:color w:val="000000"/>
        </w:rPr>
        <w:t xml:space="preserve">, Mark. 2002. </w:t>
      </w:r>
      <w:r w:rsidRPr="00FF5190">
        <w:rPr>
          <w:rFonts w:cs="Times New Roman"/>
          <w:i/>
          <w:iCs/>
          <w:color w:val="000000"/>
        </w:rPr>
        <w:t>Nationalist Mobilization and the Collapse of the Soviet State</w:t>
      </w:r>
      <w:r w:rsidRPr="00FF5190">
        <w:rPr>
          <w:rFonts w:cs="Times New Roman"/>
          <w:color w:val="000000"/>
        </w:rPr>
        <w:t>. Cambridge: Cambridge University Press.</w:t>
      </w:r>
    </w:p>
    <w:p w14:paraId="6683FC9A" w14:textId="77777777" w:rsidR="00FF5190" w:rsidRPr="00FF5190" w:rsidRDefault="00FF5190" w:rsidP="00FF5190">
      <w:pPr>
        <w:pStyle w:val="Bibliography"/>
        <w:rPr>
          <w:rFonts w:cs="Times New Roman"/>
          <w:color w:val="000000"/>
        </w:rPr>
      </w:pPr>
      <w:proofErr w:type="spellStart"/>
      <w:r w:rsidRPr="00FF5190">
        <w:rPr>
          <w:rFonts w:cs="Times New Roman"/>
          <w:color w:val="000000"/>
        </w:rPr>
        <w:t>Benford</w:t>
      </w:r>
      <w:proofErr w:type="spellEnd"/>
      <w:r w:rsidRPr="00FF5190">
        <w:rPr>
          <w:rFonts w:cs="Times New Roman"/>
          <w:color w:val="000000"/>
        </w:rPr>
        <w:t xml:space="preserve">, Robert D., y David A. Snow. 2000. «Framing Processes and Social Movements: An Overview and Assessment». </w:t>
      </w:r>
      <w:r w:rsidRPr="00FF5190">
        <w:rPr>
          <w:rFonts w:cs="Times New Roman"/>
          <w:i/>
          <w:iCs/>
          <w:color w:val="000000"/>
        </w:rPr>
        <w:t>Annual Review of Sociology</w:t>
      </w:r>
      <w:r w:rsidRPr="00FF5190">
        <w:rPr>
          <w:rFonts w:cs="Times New Roman"/>
          <w:color w:val="000000"/>
        </w:rPr>
        <w:t xml:space="preserve"> 26: 611-39. https://doi.org/10.1146/annurev.soc.26.1.611.</w:t>
      </w:r>
    </w:p>
    <w:p w14:paraId="707E9009" w14:textId="77777777" w:rsidR="00FF5190" w:rsidRPr="00FF5190" w:rsidRDefault="00FF5190" w:rsidP="00FF5190">
      <w:pPr>
        <w:pStyle w:val="Bibliography"/>
        <w:rPr>
          <w:rFonts w:cs="Times New Roman"/>
          <w:color w:val="000000"/>
        </w:rPr>
      </w:pPr>
      <w:r w:rsidRPr="00FF5190">
        <w:rPr>
          <w:rFonts w:cs="Times New Roman"/>
          <w:color w:val="000000"/>
        </w:rPr>
        <w:t xml:space="preserve">Collier, David, y Steven </w:t>
      </w:r>
      <w:proofErr w:type="spellStart"/>
      <w:r w:rsidRPr="00FF5190">
        <w:rPr>
          <w:rFonts w:cs="Times New Roman"/>
          <w:color w:val="000000"/>
        </w:rPr>
        <w:t>Levitsky</w:t>
      </w:r>
      <w:proofErr w:type="spellEnd"/>
      <w:r w:rsidRPr="00FF5190">
        <w:rPr>
          <w:rFonts w:cs="Times New Roman"/>
          <w:color w:val="000000"/>
        </w:rPr>
        <w:t xml:space="preserve">. 1997. «Democracy with Adjectives: Conceptual Innovation in Comparative Research». </w:t>
      </w:r>
      <w:r w:rsidRPr="00FF5190">
        <w:rPr>
          <w:rFonts w:cs="Times New Roman"/>
          <w:i/>
          <w:iCs/>
          <w:color w:val="000000"/>
        </w:rPr>
        <w:t>World Politics</w:t>
      </w:r>
      <w:r w:rsidRPr="00FF5190">
        <w:rPr>
          <w:rFonts w:cs="Times New Roman"/>
          <w:color w:val="000000"/>
        </w:rPr>
        <w:t xml:space="preserve"> 49 (3): 430-51. https://doi.org/10.1353/wp.1997.0009.</w:t>
      </w:r>
    </w:p>
    <w:p w14:paraId="42689F48" w14:textId="77777777" w:rsidR="00FF5190" w:rsidRPr="00FF5190" w:rsidRDefault="00FF5190" w:rsidP="00FF5190">
      <w:pPr>
        <w:pStyle w:val="Bibliography"/>
        <w:rPr>
          <w:rFonts w:cs="Times New Roman"/>
          <w:color w:val="000000"/>
        </w:rPr>
      </w:pPr>
      <w:r w:rsidRPr="00FF5190">
        <w:rPr>
          <w:rFonts w:cs="Times New Roman"/>
          <w:color w:val="000000"/>
        </w:rPr>
        <w:t xml:space="preserve">———. 2009. «Democracy. Conceptual hierarchies in comparative </w:t>
      </w:r>
      <w:proofErr w:type="gramStart"/>
      <w:r w:rsidRPr="00FF5190">
        <w:rPr>
          <w:rFonts w:cs="Times New Roman"/>
          <w:color w:val="000000"/>
        </w:rPr>
        <w:t>research.»</w:t>
      </w:r>
      <w:proofErr w:type="gramEnd"/>
      <w:r w:rsidRPr="00FF5190">
        <w:rPr>
          <w:rFonts w:cs="Times New Roman"/>
          <w:color w:val="000000"/>
        </w:rPr>
        <w:t xml:space="preserve"> </w:t>
      </w:r>
      <w:proofErr w:type="spellStart"/>
      <w:r w:rsidRPr="00FF5190">
        <w:rPr>
          <w:rFonts w:cs="Times New Roman"/>
          <w:color w:val="000000"/>
        </w:rPr>
        <w:t>En</w:t>
      </w:r>
      <w:proofErr w:type="spellEnd"/>
      <w:r w:rsidRPr="00FF5190">
        <w:rPr>
          <w:rFonts w:cs="Times New Roman"/>
          <w:color w:val="000000"/>
        </w:rPr>
        <w:t xml:space="preserve"> </w:t>
      </w:r>
      <w:r w:rsidRPr="00FF5190">
        <w:rPr>
          <w:rFonts w:cs="Times New Roman"/>
          <w:i/>
          <w:iCs/>
          <w:color w:val="000000"/>
        </w:rPr>
        <w:t xml:space="preserve">Concept &amp; Method in the Social Science: The tradition of Giovanni </w:t>
      </w:r>
      <w:proofErr w:type="spellStart"/>
      <w:r w:rsidRPr="00FF5190">
        <w:rPr>
          <w:rFonts w:cs="Times New Roman"/>
          <w:i/>
          <w:iCs/>
          <w:color w:val="000000"/>
        </w:rPr>
        <w:t>Sartori</w:t>
      </w:r>
      <w:proofErr w:type="spellEnd"/>
      <w:r w:rsidRPr="00FF5190">
        <w:rPr>
          <w:rFonts w:cs="Times New Roman"/>
          <w:i/>
          <w:iCs/>
          <w:color w:val="000000"/>
        </w:rPr>
        <w:t>.</w:t>
      </w:r>
      <w:r w:rsidRPr="00FF5190">
        <w:rPr>
          <w:rFonts w:cs="Times New Roman"/>
          <w:color w:val="000000"/>
        </w:rPr>
        <w:t xml:space="preserve">, </w:t>
      </w:r>
      <w:proofErr w:type="spellStart"/>
      <w:r w:rsidRPr="00FF5190">
        <w:rPr>
          <w:rFonts w:cs="Times New Roman"/>
          <w:color w:val="000000"/>
        </w:rPr>
        <w:t>editado</w:t>
      </w:r>
      <w:proofErr w:type="spellEnd"/>
      <w:r w:rsidRPr="00FF5190">
        <w:rPr>
          <w:rFonts w:cs="Times New Roman"/>
          <w:color w:val="000000"/>
        </w:rPr>
        <w:t xml:space="preserve"> </w:t>
      </w:r>
      <w:proofErr w:type="spellStart"/>
      <w:r w:rsidRPr="00FF5190">
        <w:rPr>
          <w:rFonts w:cs="Times New Roman"/>
          <w:color w:val="000000"/>
        </w:rPr>
        <w:t>por</w:t>
      </w:r>
      <w:proofErr w:type="spellEnd"/>
      <w:r w:rsidRPr="00FF5190">
        <w:rPr>
          <w:rFonts w:cs="Times New Roman"/>
          <w:color w:val="000000"/>
        </w:rPr>
        <w:t xml:space="preserve"> David Collier y John </w:t>
      </w:r>
      <w:proofErr w:type="spellStart"/>
      <w:r w:rsidRPr="00FF5190">
        <w:rPr>
          <w:rFonts w:cs="Times New Roman"/>
          <w:color w:val="000000"/>
        </w:rPr>
        <w:t>Gerring</w:t>
      </w:r>
      <w:proofErr w:type="spellEnd"/>
      <w:r w:rsidRPr="00FF5190">
        <w:rPr>
          <w:rFonts w:cs="Times New Roman"/>
          <w:color w:val="000000"/>
        </w:rPr>
        <w:t>, 269-88. London: Routledge. http://polisci.berkeley.edu/people/faculty/CollierD/Conceptual.</w:t>
      </w:r>
    </w:p>
    <w:p w14:paraId="42B36A4B" w14:textId="77777777" w:rsidR="00FF5190" w:rsidRPr="00FF5190" w:rsidRDefault="00FF5190" w:rsidP="00FF5190">
      <w:pPr>
        <w:pStyle w:val="Bibliography"/>
        <w:rPr>
          <w:rFonts w:cs="Times New Roman"/>
          <w:color w:val="000000"/>
        </w:rPr>
      </w:pPr>
      <w:r w:rsidRPr="00FF5190">
        <w:rPr>
          <w:rFonts w:cs="Times New Roman"/>
          <w:color w:val="000000"/>
        </w:rPr>
        <w:lastRenderedPageBreak/>
        <w:t xml:space="preserve">Collier, David, y James E. Mahon. 1993. «Conceptual “Stretching” Revisited: Adapting Categories in Comparative Analysis». </w:t>
      </w:r>
      <w:r w:rsidRPr="00FF5190">
        <w:rPr>
          <w:rFonts w:cs="Times New Roman"/>
          <w:i/>
          <w:iCs/>
          <w:color w:val="000000"/>
        </w:rPr>
        <w:t>The American Political Science Review</w:t>
      </w:r>
      <w:r w:rsidRPr="00FF5190">
        <w:rPr>
          <w:rFonts w:cs="Times New Roman"/>
          <w:color w:val="000000"/>
        </w:rPr>
        <w:t xml:space="preserve"> 87 (4): 845-55. https://doi.org/10.2307/2938818.</w:t>
      </w:r>
    </w:p>
    <w:p w14:paraId="7801909D" w14:textId="77777777" w:rsidR="00FF5190" w:rsidRPr="00FF5190" w:rsidRDefault="00FF5190" w:rsidP="00FF5190">
      <w:pPr>
        <w:pStyle w:val="Bibliography"/>
        <w:rPr>
          <w:rFonts w:cs="Times New Roman"/>
          <w:color w:val="000000"/>
        </w:rPr>
      </w:pPr>
      <w:r w:rsidRPr="00FF5190">
        <w:rPr>
          <w:rFonts w:cs="Times New Roman"/>
          <w:color w:val="000000"/>
        </w:rPr>
        <w:t xml:space="preserve">Diani, Mario. 1992. «The concept of social movement». </w:t>
      </w:r>
      <w:r w:rsidRPr="00FF5190">
        <w:rPr>
          <w:rFonts w:cs="Times New Roman"/>
          <w:i/>
          <w:iCs/>
          <w:color w:val="000000"/>
        </w:rPr>
        <w:t>The Sociological Review</w:t>
      </w:r>
      <w:r w:rsidRPr="00FF5190">
        <w:rPr>
          <w:rFonts w:cs="Times New Roman"/>
          <w:color w:val="000000"/>
        </w:rPr>
        <w:t xml:space="preserve"> 40 (1): 1-25. https://doi.org/10.1111/j.1467-954X.1992.tb02943.x.</w:t>
      </w:r>
    </w:p>
    <w:p w14:paraId="6F15E146"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2015a. «Revisando el concepto de movimiento social». </w:t>
      </w:r>
      <w:r w:rsidRPr="00FF5190">
        <w:rPr>
          <w:rFonts w:cs="Times New Roman"/>
          <w:i/>
          <w:iCs/>
          <w:color w:val="000000"/>
          <w:lang w:val="es-ES"/>
        </w:rPr>
        <w:t>Encrucijadas. Revista Crítica de Ciencias Sociales</w:t>
      </w:r>
      <w:r w:rsidRPr="00FF5190">
        <w:rPr>
          <w:rFonts w:cs="Times New Roman"/>
          <w:color w:val="000000"/>
          <w:lang w:val="es-ES"/>
        </w:rPr>
        <w:t xml:space="preserve"> 9: r0902.</w:t>
      </w:r>
    </w:p>
    <w:p w14:paraId="35703F94" w14:textId="77777777" w:rsidR="00FF5190" w:rsidRPr="00FF5190" w:rsidRDefault="00FF5190" w:rsidP="00FF5190">
      <w:pPr>
        <w:pStyle w:val="Bibliography"/>
        <w:rPr>
          <w:rFonts w:cs="Times New Roman"/>
          <w:color w:val="000000"/>
        </w:rPr>
      </w:pPr>
      <w:r w:rsidRPr="00FF5190">
        <w:rPr>
          <w:rFonts w:cs="Times New Roman"/>
          <w:color w:val="000000"/>
        </w:rPr>
        <w:t xml:space="preserve">———. 2015b. </w:t>
      </w:r>
      <w:r w:rsidRPr="00FF5190">
        <w:rPr>
          <w:rFonts w:cs="Times New Roman"/>
          <w:i/>
          <w:iCs/>
          <w:color w:val="000000"/>
        </w:rPr>
        <w:t>The Cement of Civil Society: Studying Networks in Localities</w:t>
      </w:r>
      <w:r w:rsidRPr="00FF5190">
        <w:rPr>
          <w:rFonts w:cs="Times New Roman"/>
          <w:color w:val="000000"/>
        </w:rPr>
        <w:t>. Cambridge: Cambridge University Press.</w:t>
      </w:r>
    </w:p>
    <w:p w14:paraId="2E43E210" w14:textId="77777777" w:rsidR="00FF5190" w:rsidRPr="00FF5190" w:rsidRDefault="00FF5190" w:rsidP="00FF5190">
      <w:pPr>
        <w:pStyle w:val="Bibliography"/>
        <w:rPr>
          <w:rFonts w:cs="Times New Roman"/>
          <w:color w:val="000000"/>
          <w:lang w:val="es-ES"/>
        </w:rPr>
      </w:pPr>
      <w:proofErr w:type="spellStart"/>
      <w:r w:rsidRPr="00FF5190">
        <w:rPr>
          <w:rFonts w:cs="Times New Roman"/>
          <w:color w:val="000000"/>
        </w:rPr>
        <w:t>Emirbayer</w:t>
      </w:r>
      <w:proofErr w:type="spellEnd"/>
      <w:r w:rsidRPr="00FF5190">
        <w:rPr>
          <w:rFonts w:cs="Times New Roman"/>
          <w:color w:val="000000"/>
        </w:rPr>
        <w:t xml:space="preserve">, Mustafa. 1997. «Manifesto for a Relational Sociology». </w:t>
      </w:r>
      <w:r w:rsidRPr="00FF5190">
        <w:rPr>
          <w:rFonts w:cs="Times New Roman"/>
          <w:i/>
          <w:iCs/>
          <w:color w:val="000000"/>
          <w:lang w:val="es-ES"/>
        </w:rPr>
        <w:t xml:space="preserve">American </w:t>
      </w:r>
      <w:proofErr w:type="spellStart"/>
      <w:r w:rsidRPr="00FF5190">
        <w:rPr>
          <w:rFonts w:cs="Times New Roman"/>
          <w:i/>
          <w:iCs/>
          <w:color w:val="000000"/>
          <w:lang w:val="es-ES"/>
        </w:rPr>
        <w:t>Journal</w:t>
      </w:r>
      <w:proofErr w:type="spellEnd"/>
      <w:r w:rsidRPr="00FF5190">
        <w:rPr>
          <w:rFonts w:cs="Times New Roman"/>
          <w:i/>
          <w:iCs/>
          <w:color w:val="000000"/>
          <w:lang w:val="es-ES"/>
        </w:rPr>
        <w:t xml:space="preserve"> of </w:t>
      </w:r>
      <w:proofErr w:type="spellStart"/>
      <w:r w:rsidRPr="00FF5190">
        <w:rPr>
          <w:rFonts w:cs="Times New Roman"/>
          <w:i/>
          <w:iCs/>
          <w:color w:val="000000"/>
          <w:lang w:val="es-ES"/>
        </w:rPr>
        <w:t>Sociology</w:t>
      </w:r>
      <w:proofErr w:type="spellEnd"/>
      <w:r w:rsidRPr="00FF5190">
        <w:rPr>
          <w:rFonts w:cs="Times New Roman"/>
          <w:color w:val="000000"/>
          <w:lang w:val="es-ES"/>
        </w:rPr>
        <w:t xml:space="preserve"> 103 (2): 281-317. http://www.jstor.org/stable/10.1086/231209.</w:t>
      </w:r>
    </w:p>
    <w:p w14:paraId="7D445CB8"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2009. «Manifiesto en pro de una sociología relacional». </w:t>
      </w:r>
      <w:r w:rsidRPr="00FF5190">
        <w:rPr>
          <w:rFonts w:cs="Times New Roman"/>
          <w:i/>
          <w:iCs/>
          <w:color w:val="000000"/>
          <w:lang w:val="es-ES"/>
        </w:rPr>
        <w:t>Revista CS en Ciencias Sociales</w:t>
      </w:r>
      <w:r w:rsidRPr="00FF5190">
        <w:rPr>
          <w:rFonts w:cs="Times New Roman"/>
          <w:color w:val="000000"/>
          <w:lang w:val="es-ES"/>
        </w:rPr>
        <w:t xml:space="preserve">, </w:t>
      </w:r>
      <w:proofErr w:type="spellStart"/>
      <w:r w:rsidRPr="00FF5190">
        <w:rPr>
          <w:rFonts w:cs="Times New Roman"/>
          <w:color w:val="000000"/>
          <w:lang w:val="es-ES"/>
        </w:rPr>
        <w:t>n.</w:t>
      </w:r>
      <w:r w:rsidRPr="00FF5190">
        <w:rPr>
          <w:rFonts w:cs="Times New Roman"/>
          <w:color w:val="000000"/>
          <w:vertAlign w:val="superscript"/>
          <w:lang w:val="es-ES"/>
        </w:rPr>
        <w:t>o</w:t>
      </w:r>
      <w:proofErr w:type="spellEnd"/>
      <w:r w:rsidRPr="00FF5190">
        <w:rPr>
          <w:rFonts w:cs="Times New Roman"/>
          <w:color w:val="000000"/>
          <w:lang w:val="es-ES"/>
        </w:rPr>
        <w:t xml:space="preserve"> 4: 285-329. http://www.icesi.edu.co/revistas/index.php/revista_cs/article/view/446.</w:t>
      </w:r>
    </w:p>
    <w:p w14:paraId="42A6080A" w14:textId="77777777" w:rsidR="00FF5190" w:rsidRPr="00FF5190" w:rsidRDefault="00FF5190" w:rsidP="00FF5190">
      <w:pPr>
        <w:pStyle w:val="Bibliography"/>
        <w:rPr>
          <w:rFonts w:cs="Times New Roman"/>
          <w:color w:val="000000"/>
        </w:rPr>
      </w:pPr>
      <w:proofErr w:type="spellStart"/>
      <w:r w:rsidRPr="00FF5190">
        <w:rPr>
          <w:rFonts w:cs="Times New Roman"/>
          <w:color w:val="000000"/>
          <w:lang w:val="es-ES"/>
        </w:rPr>
        <w:t>Fominaya</w:t>
      </w:r>
      <w:proofErr w:type="spellEnd"/>
      <w:r w:rsidRPr="00FF5190">
        <w:rPr>
          <w:rFonts w:cs="Times New Roman"/>
          <w:color w:val="000000"/>
          <w:lang w:val="es-ES"/>
        </w:rPr>
        <w:t xml:space="preserve">, Cristina, y Laurence Cox. 2013. </w:t>
      </w:r>
      <w:r w:rsidRPr="00FF5190">
        <w:rPr>
          <w:rFonts w:cs="Times New Roman"/>
          <w:color w:val="000000"/>
        </w:rPr>
        <w:t xml:space="preserve">«European Social Movements and Social Theory. A Richer </w:t>
      </w:r>
      <w:proofErr w:type="gramStart"/>
      <w:r w:rsidRPr="00FF5190">
        <w:rPr>
          <w:rFonts w:cs="Times New Roman"/>
          <w:color w:val="000000"/>
        </w:rPr>
        <w:t>Narrative?»</w:t>
      </w:r>
      <w:proofErr w:type="gramEnd"/>
      <w:r w:rsidRPr="00FF5190">
        <w:rPr>
          <w:rFonts w:cs="Times New Roman"/>
          <w:color w:val="000000"/>
        </w:rPr>
        <w:t xml:space="preserve"> </w:t>
      </w:r>
      <w:proofErr w:type="spellStart"/>
      <w:r w:rsidRPr="00FF5190">
        <w:rPr>
          <w:rFonts w:cs="Times New Roman"/>
          <w:color w:val="000000"/>
        </w:rPr>
        <w:t>En</w:t>
      </w:r>
      <w:proofErr w:type="spellEnd"/>
      <w:r w:rsidRPr="00FF5190">
        <w:rPr>
          <w:rFonts w:cs="Times New Roman"/>
          <w:color w:val="000000"/>
        </w:rPr>
        <w:t xml:space="preserve"> </w:t>
      </w:r>
      <w:r w:rsidRPr="00FF5190">
        <w:rPr>
          <w:rFonts w:cs="Times New Roman"/>
          <w:i/>
          <w:iCs/>
          <w:color w:val="000000"/>
        </w:rPr>
        <w:t>Understanding European movements: new social movements, global justice struggles, anti-austerity protest</w:t>
      </w:r>
      <w:r w:rsidRPr="00FF5190">
        <w:rPr>
          <w:rFonts w:cs="Times New Roman"/>
          <w:color w:val="000000"/>
        </w:rPr>
        <w:t>, 7-29. Routledge Advances in Sociology 103. London: Routledge, Taylor &amp; Francis Group.</w:t>
      </w:r>
    </w:p>
    <w:p w14:paraId="768F3196" w14:textId="77777777" w:rsidR="00FF5190" w:rsidRPr="00FF5190" w:rsidRDefault="00FF5190" w:rsidP="00FF5190">
      <w:pPr>
        <w:pStyle w:val="Bibliography"/>
        <w:rPr>
          <w:rFonts w:cs="Times New Roman"/>
          <w:color w:val="000000"/>
          <w:lang w:val="es-ES"/>
        </w:rPr>
      </w:pPr>
      <w:proofErr w:type="spellStart"/>
      <w:r w:rsidRPr="00FF5190">
        <w:rPr>
          <w:rFonts w:cs="Times New Roman"/>
          <w:color w:val="000000"/>
        </w:rPr>
        <w:t>Garay</w:t>
      </w:r>
      <w:proofErr w:type="spellEnd"/>
      <w:r w:rsidRPr="00FF5190">
        <w:rPr>
          <w:rFonts w:cs="Times New Roman"/>
          <w:color w:val="000000"/>
        </w:rPr>
        <w:t xml:space="preserve">, Carolina, y Martin Tanaka. </w:t>
      </w:r>
      <w:r w:rsidRPr="00FF5190">
        <w:rPr>
          <w:rFonts w:cs="Times New Roman"/>
          <w:color w:val="000000"/>
          <w:lang w:val="es-ES"/>
        </w:rPr>
        <w:t xml:space="preserve">2009. «Las protestas sociales en el Perú entre 1995 y 2006». En </w:t>
      </w:r>
      <w:r w:rsidRPr="00FF5190">
        <w:rPr>
          <w:rFonts w:cs="Times New Roman"/>
          <w:i/>
          <w:iCs/>
          <w:color w:val="000000"/>
          <w:lang w:val="es-ES"/>
        </w:rPr>
        <w:t>Entre el crecimiento económico y la insatisfacción social. Las protestas sociales en el Perú actual</w:t>
      </w:r>
      <w:r w:rsidRPr="00FF5190">
        <w:rPr>
          <w:rFonts w:cs="Times New Roman"/>
          <w:color w:val="000000"/>
          <w:lang w:val="es-ES"/>
        </w:rPr>
        <w:t xml:space="preserve">, editado por Romeo </w:t>
      </w:r>
      <w:proofErr w:type="spellStart"/>
      <w:r w:rsidRPr="00FF5190">
        <w:rPr>
          <w:rFonts w:cs="Times New Roman"/>
          <w:color w:val="000000"/>
          <w:lang w:val="es-ES"/>
        </w:rPr>
        <w:t>Grompone</w:t>
      </w:r>
      <w:proofErr w:type="spellEnd"/>
      <w:r w:rsidRPr="00FF5190">
        <w:rPr>
          <w:rFonts w:cs="Times New Roman"/>
          <w:color w:val="000000"/>
          <w:lang w:val="es-ES"/>
        </w:rPr>
        <w:t xml:space="preserve"> y Martin </w:t>
      </w:r>
      <w:proofErr w:type="spellStart"/>
      <w:r w:rsidRPr="00FF5190">
        <w:rPr>
          <w:rFonts w:cs="Times New Roman"/>
          <w:color w:val="000000"/>
          <w:lang w:val="es-ES"/>
        </w:rPr>
        <w:t>Tanaka</w:t>
      </w:r>
      <w:proofErr w:type="spellEnd"/>
      <w:r w:rsidRPr="00FF5190">
        <w:rPr>
          <w:rFonts w:cs="Times New Roman"/>
          <w:color w:val="000000"/>
          <w:lang w:val="es-ES"/>
        </w:rPr>
        <w:t>, 59-123. Lima: Instituto de Estudios Peruanos.</w:t>
      </w:r>
    </w:p>
    <w:p w14:paraId="6E6E2C0B" w14:textId="77777777" w:rsidR="00FF5190" w:rsidRPr="00FF5190" w:rsidRDefault="00FF5190" w:rsidP="00FF5190">
      <w:pPr>
        <w:pStyle w:val="Bibliography"/>
        <w:rPr>
          <w:rFonts w:cs="Times New Roman"/>
          <w:color w:val="000000"/>
        </w:rPr>
      </w:pPr>
      <w:r w:rsidRPr="00FF5190">
        <w:rPr>
          <w:rFonts w:cs="Times New Roman"/>
          <w:color w:val="000000"/>
          <w:lang w:val="es-ES"/>
        </w:rPr>
        <w:t xml:space="preserve">Herrera, María Rosa, y Clemente Navarro. 2017. «Los libretos de la protesta: un modelo para el estudio de la contienda política (Argentina, 1998-2005)». </w:t>
      </w:r>
      <w:proofErr w:type="spellStart"/>
      <w:r w:rsidRPr="00FF5190">
        <w:rPr>
          <w:rFonts w:cs="Times New Roman"/>
          <w:i/>
          <w:iCs/>
          <w:color w:val="000000"/>
        </w:rPr>
        <w:t>Perfiles</w:t>
      </w:r>
      <w:proofErr w:type="spellEnd"/>
      <w:r w:rsidRPr="00FF5190">
        <w:rPr>
          <w:rFonts w:cs="Times New Roman"/>
          <w:i/>
          <w:iCs/>
          <w:color w:val="000000"/>
        </w:rPr>
        <w:t xml:space="preserve"> </w:t>
      </w:r>
      <w:proofErr w:type="spellStart"/>
      <w:r w:rsidRPr="00FF5190">
        <w:rPr>
          <w:rFonts w:cs="Times New Roman"/>
          <w:i/>
          <w:iCs/>
          <w:color w:val="000000"/>
        </w:rPr>
        <w:t>Latinoamericanos</w:t>
      </w:r>
      <w:proofErr w:type="spellEnd"/>
      <w:r w:rsidRPr="00FF5190">
        <w:rPr>
          <w:rFonts w:cs="Times New Roman"/>
          <w:color w:val="000000"/>
        </w:rPr>
        <w:t xml:space="preserve"> 25 (50): 247-78. https://doi.org/10.18504/pl2550-012-2017.</w:t>
      </w:r>
    </w:p>
    <w:p w14:paraId="139C9936" w14:textId="77777777" w:rsidR="00FF5190" w:rsidRPr="00FF5190" w:rsidRDefault="00FF5190" w:rsidP="00FF5190">
      <w:pPr>
        <w:pStyle w:val="Bibliography"/>
        <w:rPr>
          <w:rFonts w:cs="Times New Roman"/>
          <w:color w:val="000000"/>
        </w:rPr>
      </w:pPr>
      <w:proofErr w:type="spellStart"/>
      <w:r w:rsidRPr="00FF5190">
        <w:rPr>
          <w:rFonts w:cs="Times New Roman"/>
          <w:color w:val="000000"/>
        </w:rPr>
        <w:t>Hutter</w:t>
      </w:r>
      <w:proofErr w:type="spellEnd"/>
      <w:r w:rsidRPr="00FF5190">
        <w:rPr>
          <w:rFonts w:cs="Times New Roman"/>
          <w:color w:val="000000"/>
        </w:rPr>
        <w:t xml:space="preserve">, </w:t>
      </w:r>
      <w:proofErr w:type="spellStart"/>
      <w:r w:rsidRPr="00FF5190">
        <w:rPr>
          <w:rFonts w:cs="Times New Roman"/>
          <w:color w:val="000000"/>
        </w:rPr>
        <w:t>Swen</w:t>
      </w:r>
      <w:proofErr w:type="spellEnd"/>
      <w:r w:rsidRPr="00FF5190">
        <w:rPr>
          <w:rFonts w:cs="Times New Roman"/>
          <w:color w:val="000000"/>
        </w:rPr>
        <w:t xml:space="preserve">. 2014. «Protest event analysis and its offspring». </w:t>
      </w:r>
      <w:proofErr w:type="spellStart"/>
      <w:r w:rsidRPr="00FF5190">
        <w:rPr>
          <w:rFonts w:cs="Times New Roman"/>
          <w:color w:val="000000"/>
        </w:rPr>
        <w:t>En</w:t>
      </w:r>
      <w:proofErr w:type="spellEnd"/>
      <w:r w:rsidRPr="00FF5190">
        <w:rPr>
          <w:rFonts w:cs="Times New Roman"/>
          <w:color w:val="000000"/>
        </w:rPr>
        <w:t xml:space="preserve"> </w:t>
      </w:r>
      <w:r w:rsidRPr="00FF5190">
        <w:rPr>
          <w:rFonts w:cs="Times New Roman"/>
          <w:i/>
          <w:iCs/>
          <w:color w:val="000000"/>
        </w:rPr>
        <w:t>Methodological Practices in Social Movements Research</w:t>
      </w:r>
      <w:r w:rsidRPr="00FF5190">
        <w:rPr>
          <w:rFonts w:cs="Times New Roman"/>
          <w:color w:val="000000"/>
        </w:rPr>
        <w:t xml:space="preserve">, </w:t>
      </w:r>
      <w:proofErr w:type="spellStart"/>
      <w:r w:rsidRPr="00FF5190">
        <w:rPr>
          <w:rFonts w:cs="Times New Roman"/>
          <w:color w:val="000000"/>
        </w:rPr>
        <w:t>editado</w:t>
      </w:r>
      <w:proofErr w:type="spellEnd"/>
      <w:r w:rsidRPr="00FF5190">
        <w:rPr>
          <w:rFonts w:cs="Times New Roman"/>
          <w:color w:val="000000"/>
        </w:rPr>
        <w:t xml:space="preserve"> </w:t>
      </w:r>
      <w:proofErr w:type="spellStart"/>
      <w:r w:rsidRPr="00FF5190">
        <w:rPr>
          <w:rFonts w:cs="Times New Roman"/>
          <w:color w:val="000000"/>
        </w:rPr>
        <w:t>por</w:t>
      </w:r>
      <w:proofErr w:type="spellEnd"/>
      <w:r w:rsidRPr="00FF5190">
        <w:rPr>
          <w:rFonts w:cs="Times New Roman"/>
          <w:color w:val="000000"/>
        </w:rPr>
        <w:t xml:space="preserve"> Donatella Della Porta, 335-67. Oxford: Oxford University Press.</w:t>
      </w:r>
    </w:p>
    <w:p w14:paraId="79AE5FCA" w14:textId="77777777" w:rsidR="00FF5190" w:rsidRPr="00FF5190" w:rsidRDefault="00FF5190" w:rsidP="00FF5190">
      <w:pPr>
        <w:pStyle w:val="Bibliography"/>
        <w:rPr>
          <w:rFonts w:cs="Times New Roman"/>
          <w:color w:val="000000"/>
        </w:rPr>
      </w:pPr>
      <w:r w:rsidRPr="00FF5190">
        <w:rPr>
          <w:rFonts w:cs="Times New Roman"/>
          <w:color w:val="000000"/>
        </w:rPr>
        <w:t xml:space="preserve">McAdam, Doug, Sidney </w:t>
      </w:r>
      <w:proofErr w:type="spellStart"/>
      <w:r w:rsidRPr="00FF5190">
        <w:rPr>
          <w:rFonts w:cs="Times New Roman"/>
          <w:color w:val="000000"/>
        </w:rPr>
        <w:t>Tarrow</w:t>
      </w:r>
      <w:proofErr w:type="spellEnd"/>
      <w:r w:rsidRPr="00FF5190">
        <w:rPr>
          <w:rFonts w:cs="Times New Roman"/>
          <w:color w:val="000000"/>
        </w:rPr>
        <w:t xml:space="preserve">, y Charles Tilly. 2001. </w:t>
      </w:r>
      <w:r w:rsidRPr="00FF5190">
        <w:rPr>
          <w:rFonts w:cs="Times New Roman"/>
          <w:i/>
          <w:iCs/>
          <w:color w:val="000000"/>
        </w:rPr>
        <w:t>Dynamic of Contention</w:t>
      </w:r>
      <w:r w:rsidRPr="00FF5190">
        <w:rPr>
          <w:rFonts w:cs="Times New Roman"/>
          <w:color w:val="000000"/>
        </w:rPr>
        <w:t xml:space="preserve">. Cambridge: </w:t>
      </w:r>
      <w:proofErr w:type="spellStart"/>
      <w:r w:rsidRPr="00FF5190">
        <w:rPr>
          <w:rFonts w:cs="Times New Roman"/>
          <w:color w:val="000000"/>
        </w:rPr>
        <w:t>Cambrigde</w:t>
      </w:r>
      <w:proofErr w:type="spellEnd"/>
      <w:r w:rsidRPr="00FF5190">
        <w:rPr>
          <w:rFonts w:cs="Times New Roman"/>
          <w:color w:val="000000"/>
        </w:rPr>
        <w:t xml:space="preserve"> University Press.</w:t>
      </w:r>
    </w:p>
    <w:p w14:paraId="319DCAE9"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2005. </w:t>
      </w:r>
      <w:r w:rsidRPr="00FF5190">
        <w:rPr>
          <w:rFonts w:cs="Times New Roman"/>
          <w:i/>
          <w:iCs/>
          <w:color w:val="000000"/>
          <w:lang w:val="es-ES"/>
        </w:rPr>
        <w:t>Dinámica de la contienda política</w:t>
      </w:r>
      <w:r w:rsidRPr="00FF5190">
        <w:rPr>
          <w:rFonts w:cs="Times New Roman"/>
          <w:color w:val="000000"/>
          <w:lang w:val="es-ES"/>
        </w:rPr>
        <w:t>. Barcelona: Editorial Hacer.</w:t>
      </w:r>
    </w:p>
    <w:p w14:paraId="0D7E104F" w14:textId="77777777" w:rsidR="00FF5190" w:rsidRPr="00FF5190" w:rsidRDefault="00FF5190" w:rsidP="00FF5190">
      <w:pPr>
        <w:pStyle w:val="Bibliography"/>
        <w:rPr>
          <w:rFonts w:cs="Times New Roman"/>
          <w:color w:val="000000"/>
          <w:lang w:val="es-ES"/>
        </w:rPr>
      </w:pPr>
      <w:proofErr w:type="spellStart"/>
      <w:r w:rsidRPr="00FF5190">
        <w:rPr>
          <w:rFonts w:cs="Times New Roman"/>
          <w:color w:val="000000"/>
          <w:lang w:val="es-ES"/>
        </w:rPr>
        <w:t>Melucci</w:t>
      </w:r>
      <w:proofErr w:type="spellEnd"/>
      <w:r w:rsidRPr="00FF5190">
        <w:rPr>
          <w:rFonts w:cs="Times New Roman"/>
          <w:color w:val="000000"/>
          <w:lang w:val="es-ES"/>
        </w:rPr>
        <w:t xml:space="preserve">, Alberto. 1999. </w:t>
      </w:r>
      <w:r w:rsidRPr="00FF5190">
        <w:rPr>
          <w:rFonts w:cs="Times New Roman"/>
          <w:i/>
          <w:iCs/>
          <w:color w:val="000000"/>
          <w:lang w:val="es-ES"/>
        </w:rPr>
        <w:t>Acción Colectiva, Vida Cotidiana y Democracia</w:t>
      </w:r>
      <w:r w:rsidRPr="00FF5190">
        <w:rPr>
          <w:rFonts w:cs="Times New Roman"/>
          <w:color w:val="000000"/>
          <w:lang w:val="es-ES"/>
        </w:rPr>
        <w:t xml:space="preserve">. </w:t>
      </w:r>
      <w:proofErr w:type="spellStart"/>
      <w:r w:rsidRPr="00FF5190">
        <w:rPr>
          <w:rFonts w:cs="Times New Roman"/>
          <w:color w:val="000000"/>
          <w:lang w:val="es-ES"/>
        </w:rPr>
        <w:t>Mexico</w:t>
      </w:r>
      <w:proofErr w:type="spellEnd"/>
      <w:r w:rsidRPr="00FF5190">
        <w:rPr>
          <w:rFonts w:cs="Times New Roman"/>
          <w:color w:val="000000"/>
          <w:lang w:val="es-ES"/>
        </w:rPr>
        <w:t xml:space="preserve"> D.F.: El Colegio de México.</w:t>
      </w:r>
    </w:p>
    <w:p w14:paraId="38445B00"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Moore, Adam. 2011. «</w:t>
      </w:r>
      <w:proofErr w:type="spellStart"/>
      <w:r w:rsidRPr="00FF5190">
        <w:rPr>
          <w:rFonts w:cs="Times New Roman"/>
          <w:color w:val="000000"/>
          <w:lang w:val="es-ES"/>
        </w:rPr>
        <w:t>The</w:t>
      </w:r>
      <w:proofErr w:type="spellEnd"/>
      <w:r w:rsidRPr="00FF5190">
        <w:rPr>
          <w:rFonts w:cs="Times New Roman"/>
          <w:color w:val="000000"/>
          <w:lang w:val="es-ES"/>
        </w:rPr>
        <w:t xml:space="preserve"> </w:t>
      </w:r>
      <w:proofErr w:type="spellStart"/>
      <w:r w:rsidRPr="00FF5190">
        <w:rPr>
          <w:rFonts w:cs="Times New Roman"/>
          <w:color w:val="000000"/>
          <w:lang w:val="es-ES"/>
        </w:rPr>
        <w:t>Eventfulness</w:t>
      </w:r>
      <w:proofErr w:type="spellEnd"/>
      <w:r w:rsidRPr="00FF5190">
        <w:rPr>
          <w:rFonts w:cs="Times New Roman"/>
          <w:color w:val="000000"/>
          <w:lang w:val="es-ES"/>
        </w:rPr>
        <w:t xml:space="preserve"> of Social </w:t>
      </w:r>
      <w:proofErr w:type="spellStart"/>
      <w:r w:rsidRPr="00FF5190">
        <w:rPr>
          <w:rFonts w:cs="Times New Roman"/>
          <w:color w:val="000000"/>
          <w:lang w:val="es-ES"/>
        </w:rPr>
        <w:t>Reproduction</w:t>
      </w:r>
      <w:proofErr w:type="spellEnd"/>
      <w:r w:rsidRPr="00FF5190">
        <w:rPr>
          <w:rFonts w:cs="Times New Roman"/>
          <w:color w:val="000000"/>
          <w:lang w:val="es-ES"/>
        </w:rPr>
        <w:t xml:space="preserve">». </w:t>
      </w:r>
      <w:proofErr w:type="spellStart"/>
      <w:r w:rsidRPr="00FF5190">
        <w:rPr>
          <w:rFonts w:cs="Times New Roman"/>
          <w:i/>
          <w:iCs/>
          <w:color w:val="000000"/>
          <w:lang w:val="es-ES"/>
        </w:rPr>
        <w:t>Sociological</w:t>
      </w:r>
      <w:proofErr w:type="spellEnd"/>
      <w:r w:rsidRPr="00FF5190">
        <w:rPr>
          <w:rFonts w:cs="Times New Roman"/>
          <w:i/>
          <w:iCs/>
          <w:color w:val="000000"/>
          <w:lang w:val="es-ES"/>
        </w:rPr>
        <w:t xml:space="preserve"> </w:t>
      </w:r>
      <w:proofErr w:type="spellStart"/>
      <w:r w:rsidRPr="00FF5190">
        <w:rPr>
          <w:rFonts w:cs="Times New Roman"/>
          <w:i/>
          <w:iCs/>
          <w:color w:val="000000"/>
          <w:lang w:val="es-ES"/>
        </w:rPr>
        <w:t>Theory</w:t>
      </w:r>
      <w:proofErr w:type="spellEnd"/>
      <w:r w:rsidRPr="00FF5190">
        <w:rPr>
          <w:rFonts w:cs="Times New Roman"/>
          <w:color w:val="000000"/>
          <w:lang w:val="es-ES"/>
        </w:rPr>
        <w:t xml:space="preserve"> 29 (4): 294-314.</w:t>
      </w:r>
    </w:p>
    <w:p w14:paraId="3163E099" w14:textId="77777777" w:rsidR="00FF5190" w:rsidRPr="00FF5190" w:rsidRDefault="00FF5190" w:rsidP="00FF5190">
      <w:pPr>
        <w:pStyle w:val="Bibliography"/>
        <w:rPr>
          <w:rFonts w:cs="Times New Roman"/>
          <w:color w:val="000000"/>
        </w:rPr>
      </w:pPr>
      <w:r w:rsidRPr="00FF5190">
        <w:rPr>
          <w:rFonts w:cs="Times New Roman"/>
          <w:color w:val="000000"/>
          <w:lang w:val="es-ES"/>
        </w:rPr>
        <w:t xml:space="preserve">Ortiz, David. G., Daniel J. Myers, Eugene </w:t>
      </w:r>
      <w:proofErr w:type="spellStart"/>
      <w:r w:rsidRPr="00FF5190">
        <w:rPr>
          <w:rFonts w:cs="Times New Roman"/>
          <w:color w:val="000000"/>
          <w:lang w:val="es-ES"/>
        </w:rPr>
        <w:t>Walls</w:t>
      </w:r>
      <w:proofErr w:type="spellEnd"/>
      <w:r w:rsidRPr="00FF5190">
        <w:rPr>
          <w:rFonts w:cs="Times New Roman"/>
          <w:color w:val="000000"/>
          <w:lang w:val="es-ES"/>
        </w:rPr>
        <w:t xml:space="preserve">, y </w:t>
      </w:r>
      <w:proofErr w:type="spellStart"/>
      <w:r w:rsidRPr="00FF5190">
        <w:rPr>
          <w:rFonts w:cs="Times New Roman"/>
          <w:color w:val="000000"/>
          <w:lang w:val="es-ES"/>
        </w:rPr>
        <w:t>Maria</w:t>
      </w:r>
      <w:proofErr w:type="spellEnd"/>
      <w:r w:rsidRPr="00FF5190">
        <w:rPr>
          <w:rFonts w:cs="Times New Roman"/>
          <w:color w:val="000000"/>
          <w:lang w:val="es-ES"/>
        </w:rPr>
        <w:t xml:space="preserve">-Elena D. </w:t>
      </w:r>
      <w:proofErr w:type="spellStart"/>
      <w:r w:rsidRPr="00FF5190">
        <w:rPr>
          <w:rFonts w:cs="Times New Roman"/>
          <w:color w:val="000000"/>
          <w:lang w:val="es-ES"/>
        </w:rPr>
        <w:t>Diaz</w:t>
      </w:r>
      <w:proofErr w:type="spellEnd"/>
      <w:r w:rsidRPr="00FF5190">
        <w:rPr>
          <w:rFonts w:cs="Times New Roman"/>
          <w:color w:val="000000"/>
          <w:lang w:val="es-ES"/>
        </w:rPr>
        <w:t xml:space="preserve">. 1999. </w:t>
      </w:r>
      <w:r w:rsidRPr="00FF5190">
        <w:rPr>
          <w:rFonts w:cs="Times New Roman"/>
          <w:color w:val="000000"/>
        </w:rPr>
        <w:t xml:space="preserve">«Where do We stand with newspaper data?» </w:t>
      </w:r>
      <w:r w:rsidRPr="00FF5190">
        <w:rPr>
          <w:rFonts w:cs="Times New Roman"/>
          <w:i/>
          <w:iCs/>
          <w:color w:val="000000"/>
        </w:rPr>
        <w:t>Mobilization: An International Journal</w:t>
      </w:r>
      <w:r w:rsidRPr="00FF5190">
        <w:rPr>
          <w:rFonts w:cs="Times New Roman"/>
          <w:color w:val="000000"/>
        </w:rPr>
        <w:t xml:space="preserve"> 10 (3): 397-419.</w:t>
      </w:r>
    </w:p>
    <w:p w14:paraId="5FAC2000" w14:textId="77777777" w:rsidR="00FF5190" w:rsidRPr="00FF5190" w:rsidRDefault="00FF5190" w:rsidP="00FF5190">
      <w:pPr>
        <w:pStyle w:val="Bibliography"/>
        <w:rPr>
          <w:rFonts w:cs="Times New Roman"/>
          <w:color w:val="000000"/>
        </w:rPr>
      </w:pPr>
      <w:r w:rsidRPr="00FF5190">
        <w:rPr>
          <w:rFonts w:cs="Times New Roman"/>
          <w:color w:val="000000"/>
        </w:rPr>
        <w:t xml:space="preserve">Rohlfing, Ingo. 2012. </w:t>
      </w:r>
      <w:r w:rsidRPr="00FF5190">
        <w:rPr>
          <w:rFonts w:cs="Times New Roman"/>
          <w:i/>
          <w:iCs/>
          <w:color w:val="000000"/>
        </w:rPr>
        <w:t>Case Studies and Causal Inference. An Integrative Framework</w:t>
      </w:r>
      <w:r w:rsidRPr="00FF5190">
        <w:rPr>
          <w:rFonts w:cs="Times New Roman"/>
          <w:color w:val="000000"/>
        </w:rPr>
        <w:t>. New York: Palgrave Macmillan.</w:t>
      </w:r>
    </w:p>
    <w:p w14:paraId="695498B5" w14:textId="77777777" w:rsidR="00FF5190" w:rsidRPr="00FF5190" w:rsidRDefault="00FF5190" w:rsidP="00FF5190">
      <w:pPr>
        <w:pStyle w:val="Bibliography"/>
        <w:rPr>
          <w:rFonts w:cs="Times New Roman"/>
          <w:color w:val="000000"/>
        </w:rPr>
      </w:pPr>
      <w:proofErr w:type="spellStart"/>
      <w:r w:rsidRPr="00FF5190">
        <w:rPr>
          <w:rFonts w:cs="Times New Roman"/>
          <w:color w:val="000000"/>
        </w:rPr>
        <w:t>Sartori</w:t>
      </w:r>
      <w:proofErr w:type="spellEnd"/>
      <w:r w:rsidRPr="00FF5190">
        <w:rPr>
          <w:rFonts w:cs="Times New Roman"/>
          <w:color w:val="000000"/>
        </w:rPr>
        <w:t xml:space="preserve">, Giovanni. 1970. «Concept </w:t>
      </w:r>
      <w:proofErr w:type="spellStart"/>
      <w:r w:rsidRPr="00FF5190">
        <w:rPr>
          <w:rFonts w:cs="Times New Roman"/>
          <w:color w:val="000000"/>
        </w:rPr>
        <w:t>Misformation</w:t>
      </w:r>
      <w:proofErr w:type="spellEnd"/>
      <w:r w:rsidRPr="00FF5190">
        <w:rPr>
          <w:rFonts w:cs="Times New Roman"/>
          <w:color w:val="000000"/>
        </w:rPr>
        <w:t xml:space="preserve"> in Comparative Politics». </w:t>
      </w:r>
      <w:r w:rsidRPr="00FF5190">
        <w:rPr>
          <w:rFonts w:cs="Times New Roman"/>
          <w:i/>
          <w:iCs/>
          <w:color w:val="000000"/>
        </w:rPr>
        <w:t>The American Political Science Review</w:t>
      </w:r>
      <w:r w:rsidRPr="00FF5190">
        <w:rPr>
          <w:rFonts w:cs="Times New Roman"/>
          <w:color w:val="000000"/>
        </w:rPr>
        <w:t xml:space="preserve"> 64 (4): 1033-53. https://doi.org/10.2307/1958356.</w:t>
      </w:r>
    </w:p>
    <w:p w14:paraId="6D73497E" w14:textId="77777777" w:rsidR="00FF5190" w:rsidRPr="00FF5190" w:rsidRDefault="00FF5190" w:rsidP="00FF5190">
      <w:pPr>
        <w:pStyle w:val="Bibliography"/>
        <w:rPr>
          <w:rFonts w:cs="Times New Roman"/>
          <w:color w:val="000000"/>
        </w:rPr>
      </w:pPr>
      <w:proofErr w:type="spellStart"/>
      <w:r w:rsidRPr="00FF5190">
        <w:rPr>
          <w:rFonts w:cs="Times New Roman"/>
          <w:color w:val="000000"/>
        </w:rPr>
        <w:lastRenderedPageBreak/>
        <w:t>Tarrow</w:t>
      </w:r>
      <w:proofErr w:type="spellEnd"/>
      <w:r w:rsidRPr="00FF5190">
        <w:rPr>
          <w:rFonts w:cs="Times New Roman"/>
          <w:color w:val="000000"/>
        </w:rPr>
        <w:t xml:space="preserve">, Sidney. 2004. «Bridging the Quantitative-Qualitative Divide». </w:t>
      </w:r>
      <w:proofErr w:type="spellStart"/>
      <w:r w:rsidRPr="00FF5190">
        <w:rPr>
          <w:rFonts w:cs="Times New Roman"/>
          <w:color w:val="000000"/>
        </w:rPr>
        <w:t>En</w:t>
      </w:r>
      <w:proofErr w:type="spellEnd"/>
      <w:r w:rsidRPr="00FF5190">
        <w:rPr>
          <w:rFonts w:cs="Times New Roman"/>
          <w:color w:val="000000"/>
        </w:rPr>
        <w:t xml:space="preserve"> </w:t>
      </w:r>
      <w:r w:rsidRPr="00FF5190">
        <w:rPr>
          <w:rFonts w:cs="Times New Roman"/>
          <w:i/>
          <w:iCs/>
          <w:color w:val="000000"/>
        </w:rPr>
        <w:t>Rethinking Social Inquiry. Diverse Tools, Shared Standards</w:t>
      </w:r>
      <w:r w:rsidRPr="00FF5190">
        <w:rPr>
          <w:rFonts w:cs="Times New Roman"/>
          <w:color w:val="000000"/>
        </w:rPr>
        <w:t xml:space="preserve">, </w:t>
      </w:r>
      <w:proofErr w:type="spellStart"/>
      <w:r w:rsidRPr="00FF5190">
        <w:rPr>
          <w:rFonts w:cs="Times New Roman"/>
          <w:color w:val="000000"/>
        </w:rPr>
        <w:t>editado</w:t>
      </w:r>
      <w:proofErr w:type="spellEnd"/>
      <w:r w:rsidRPr="00FF5190">
        <w:rPr>
          <w:rFonts w:cs="Times New Roman"/>
          <w:color w:val="000000"/>
        </w:rPr>
        <w:t xml:space="preserve"> </w:t>
      </w:r>
      <w:proofErr w:type="spellStart"/>
      <w:r w:rsidRPr="00FF5190">
        <w:rPr>
          <w:rFonts w:cs="Times New Roman"/>
          <w:color w:val="000000"/>
        </w:rPr>
        <w:t>por</w:t>
      </w:r>
      <w:proofErr w:type="spellEnd"/>
      <w:r w:rsidRPr="00FF5190">
        <w:rPr>
          <w:rFonts w:cs="Times New Roman"/>
          <w:color w:val="000000"/>
        </w:rPr>
        <w:t xml:space="preserve"> Henry E. Brady y David Collier, </w:t>
      </w:r>
      <w:proofErr w:type="spellStart"/>
      <w:r w:rsidRPr="00FF5190">
        <w:rPr>
          <w:rFonts w:cs="Times New Roman"/>
          <w:color w:val="000000"/>
        </w:rPr>
        <w:t>Primera</w:t>
      </w:r>
      <w:proofErr w:type="spellEnd"/>
      <w:r w:rsidRPr="00FF5190">
        <w:rPr>
          <w:rFonts w:cs="Times New Roman"/>
          <w:color w:val="000000"/>
        </w:rPr>
        <w:t xml:space="preserve"> </w:t>
      </w:r>
      <w:proofErr w:type="spellStart"/>
      <w:r w:rsidRPr="00FF5190">
        <w:rPr>
          <w:rFonts w:cs="Times New Roman"/>
          <w:color w:val="000000"/>
        </w:rPr>
        <w:t>edición</w:t>
      </w:r>
      <w:proofErr w:type="spellEnd"/>
      <w:r w:rsidRPr="00FF5190">
        <w:rPr>
          <w:rFonts w:cs="Times New Roman"/>
          <w:color w:val="000000"/>
        </w:rPr>
        <w:t>, 171-92. Boulder: Rowman &amp; Littlefield Publishers.</w:t>
      </w:r>
    </w:p>
    <w:p w14:paraId="7AD75CA2" w14:textId="77777777" w:rsidR="00FF5190" w:rsidRPr="00FF5190" w:rsidRDefault="00FF5190" w:rsidP="00FF5190">
      <w:pPr>
        <w:pStyle w:val="Bibliography"/>
        <w:rPr>
          <w:rFonts w:cs="Times New Roman"/>
          <w:color w:val="000000"/>
        </w:rPr>
      </w:pPr>
      <w:r w:rsidRPr="00FF5190">
        <w:rPr>
          <w:rFonts w:cs="Times New Roman"/>
          <w:color w:val="000000"/>
        </w:rPr>
        <w:t xml:space="preserve">Tilly, Charles. 1978a. </w:t>
      </w:r>
      <w:r w:rsidRPr="00FF5190">
        <w:rPr>
          <w:rFonts w:cs="Times New Roman"/>
          <w:i/>
          <w:iCs/>
          <w:color w:val="000000"/>
        </w:rPr>
        <w:t>From Mobilization to Revolution</w:t>
      </w:r>
      <w:r w:rsidRPr="00FF5190">
        <w:rPr>
          <w:rFonts w:cs="Times New Roman"/>
          <w:color w:val="000000"/>
        </w:rPr>
        <w:t>. New York: Random House.</w:t>
      </w:r>
    </w:p>
    <w:p w14:paraId="3309A86A" w14:textId="77777777" w:rsidR="00FF5190" w:rsidRPr="00FF5190" w:rsidRDefault="00FF5190" w:rsidP="00FF5190">
      <w:pPr>
        <w:pStyle w:val="Bibliography"/>
        <w:rPr>
          <w:rFonts w:cs="Times New Roman"/>
          <w:color w:val="000000"/>
        </w:rPr>
      </w:pPr>
      <w:r w:rsidRPr="00FF5190">
        <w:rPr>
          <w:rFonts w:cs="Times New Roman"/>
          <w:color w:val="000000"/>
        </w:rPr>
        <w:t xml:space="preserve">———. 1978b. </w:t>
      </w:r>
      <w:r w:rsidRPr="00FF5190">
        <w:rPr>
          <w:rFonts w:cs="Times New Roman"/>
          <w:i/>
          <w:iCs/>
          <w:color w:val="000000"/>
        </w:rPr>
        <w:t xml:space="preserve">From </w:t>
      </w:r>
      <w:proofErr w:type="spellStart"/>
      <w:r w:rsidRPr="00FF5190">
        <w:rPr>
          <w:rFonts w:cs="Times New Roman"/>
          <w:i/>
          <w:iCs/>
          <w:color w:val="000000"/>
        </w:rPr>
        <w:t>Movilization</w:t>
      </w:r>
      <w:proofErr w:type="spellEnd"/>
      <w:r w:rsidRPr="00FF5190">
        <w:rPr>
          <w:rFonts w:cs="Times New Roman"/>
          <w:i/>
          <w:iCs/>
          <w:color w:val="000000"/>
        </w:rPr>
        <w:t xml:space="preserve"> to Revolution</w:t>
      </w:r>
      <w:r w:rsidRPr="00FF5190">
        <w:rPr>
          <w:rFonts w:cs="Times New Roman"/>
          <w:color w:val="000000"/>
        </w:rPr>
        <w:t>. New York: Random House.</w:t>
      </w:r>
    </w:p>
    <w:p w14:paraId="148EC433" w14:textId="77777777" w:rsidR="00FF5190" w:rsidRPr="00FF5190" w:rsidRDefault="00FF5190" w:rsidP="00FF5190">
      <w:pPr>
        <w:pStyle w:val="Bibliography"/>
        <w:rPr>
          <w:rFonts w:cs="Times New Roman"/>
          <w:color w:val="000000"/>
        </w:rPr>
      </w:pPr>
      <w:r w:rsidRPr="00FF5190">
        <w:rPr>
          <w:rFonts w:cs="Times New Roman"/>
          <w:color w:val="000000"/>
        </w:rPr>
        <w:t xml:space="preserve">———. 1993. «Contentious Repertories in Great Britain, 1758- 1834». </w:t>
      </w:r>
      <w:r w:rsidRPr="00FF5190">
        <w:rPr>
          <w:rFonts w:cs="Times New Roman"/>
          <w:i/>
          <w:iCs/>
          <w:color w:val="000000"/>
        </w:rPr>
        <w:t>Social Science History</w:t>
      </w:r>
      <w:r w:rsidRPr="00FF5190">
        <w:rPr>
          <w:rFonts w:cs="Times New Roman"/>
          <w:color w:val="000000"/>
        </w:rPr>
        <w:t xml:space="preserve"> 17 (2): 253-80.</w:t>
      </w:r>
    </w:p>
    <w:p w14:paraId="44099C43" w14:textId="77777777" w:rsidR="00FF5190" w:rsidRPr="00FF5190" w:rsidRDefault="00FF5190" w:rsidP="00FF5190">
      <w:pPr>
        <w:pStyle w:val="Bibliography"/>
        <w:rPr>
          <w:rFonts w:cs="Times New Roman"/>
          <w:color w:val="000000"/>
        </w:rPr>
      </w:pPr>
      <w:r w:rsidRPr="00FF5190">
        <w:rPr>
          <w:rFonts w:cs="Times New Roman"/>
          <w:color w:val="000000"/>
        </w:rPr>
        <w:t xml:space="preserve">———. 2000. «Processes and Mechanisms of Democratization». </w:t>
      </w:r>
      <w:r w:rsidRPr="00FF5190">
        <w:rPr>
          <w:rFonts w:cs="Times New Roman"/>
          <w:i/>
          <w:iCs/>
          <w:color w:val="000000"/>
        </w:rPr>
        <w:t>Sociological Theory</w:t>
      </w:r>
      <w:r w:rsidRPr="00FF5190">
        <w:rPr>
          <w:rFonts w:cs="Times New Roman"/>
          <w:color w:val="000000"/>
        </w:rPr>
        <w:t xml:space="preserve"> 18 (1): 1-16. http://www.jstor.org/stable/223279.</w:t>
      </w:r>
    </w:p>
    <w:p w14:paraId="3FBC97F9" w14:textId="77777777" w:rsidR="00FF5190" w:rsidRPr="00FF5190" w:rsidRDefault="00FF5190" w:rsidP="00FF5190">
      <w:pPr>
        <w:pStyle w:val="Bibliography"/>
        <w:rPr>
          <w:rFonts w:cs="Times New Roman"/>
          <w:color w:val="000000"/>
        </w:rPr>
      </w:pPr>
      <w:r w:rsidRPr="00FF5190">
        <w:rPr>
          <w:rFonts w:cs="Times New Roman"/>
          <w:color w:val="000000"/>
        </w:rPr>
        <w:t xml:space="preserve">———. 2001a. «Historical Analysis of Political Processes». </w:t>
      </w:r>
      <w:proofErr w:type="spellStart"/>
      <w:r w:rsidRPr="00FF5190">
        <w:rPr>
          <w:rFonts w:cs="Times New Roman"/>
          <w:color w:val="000000"/>
        </w:rPr>
        <w:t>En</w:t>
      </w:r>
      <w:proofErr w:type="spellEnd"/>
      <w:r w:rsidRPr="00FF5190">
        <w:rPr>
          <w:rFonts w:cs="Times New Roman"/>
          <w:color w:val="000000"/>
        </w:rPr>
        <w:t xml:space="preserve"> </w:t>
      </w:r>
      <w:r w:rsidRPr="00FF5190">
        <w:rPr>
          <w:rFonts w:cs="Times New Roman"/>
          <w:i/>
          <w:iCs/>
          <w:color w:val="000000"/>
        </w:rPr>
        <w:t>Handbook of Sociological Theory</w:t>
      </w:r>
      <w:r w:rsidRPr="00FF5190">
        <w:rPr>
          <w:rFonts w:cs="Times New Roman"/>
          <w:color w:val="000000"/>
        </w:rPr>
        <w:t xml:space="preserve">, </w:t>
      </w:r>
      <w:proofErr w:type="spellStart"/>
      <w:r w:rsidRPr="00FF5190">
        <w:rPr>
          <w:rFonts w:cs="Times New Roman"/>
          <w:color w:val="000000"/>
        </w:rPr>
        <w:t>editado</w:t>
      </w:r>
      <w:proofErr w:type="spellEnd"/>
      <w:r w:rsidRPr="00FF5190">
        <w:rPr>
          <w:rFonts w:cs="Times New Roman"/>
          <w:color w:val="000000"/>
        </w:rPr>
        <w:t xml:space="preserve"> </w:t>
      </w:r>
      <w:proofErr w:type="spellStart"/>
      <w:r w:rsidRPr="00FF5190">
        <w:rPr>
          <w:rFonts w:cs="Times New Roman"/>
          <w:color w:val="000000"/>
        </w:rPr>
        <w:t>por</w:t>
      </w:r>
      <w:proofErr w:type="spellEnd"/>
      <w:r w:rsidRPr="00FF5190">
        <w:rPr>
          <w:rFonts w:cs="Times New Roman"/>
          <w:color w:val="000000"/>
        </w:rPr>
        <w:t xml:space="preserve"> Jonathan H. Turner, 567-88. Boston, MA: Springer US. https://doi.org/10.1007/0-387-36274-6_26.</w:t>
      </w:r>
    </w:p>
    <w:p w14:paraId="411EF8EF" w14:textId="77777777" w:rsidR="00FF5190" w:rsidRPr="00FF5190" w:rsidRDefault="00FF5190" w:rsidP="00FF5190">
      <w:pPr>
        <w:pStyle w:val="Bibliography"/>
        <w:rPr>
          <w:rFonts w:cs="Times New Roman"/>
          <w:color w:val="000000"/>
        </w:rPr>
      </w:pPr>
      <w:r w:rsidRPr="00FF5190">
        <w:rPr>
          <w:rFonts w:cs="Times New Roman"/>
          <w:color w:val="000000"/>
        </w:rPr>
        <w:t xml:space="preserve">———. 2001b. «Historical Sociology». </w:t>
      </w:r>
      <w:proofErr w:type="spellStart"/>
      <w:r w:rsidRPr="00FF5190">
        <w:rPr>
          <w:rFonts w:cs="Times New Roman"/>
          <w:color w:val="000000"/>
        </w:rPr>
        <w:t>En</w:t>
      </w:r>
      <w:proofErr w:type="spellEnd"/>
      <w:r w:rsidRPr="00FF5190">
        <w:rPr>
          <w:rFonts w:cs="Times New Roman"/>
          <w:color w:val="000000"/>
        </w:rPr>
        <w:t xml:space="preserve"> </w:t>
      </w:r>
      <w:r w:rsidRPr="00FF5190">
        <w:rPr>
          <w:rFonts w:cs="Times New Roman"/>
          <w:i/>
          <w:iCs/>
          <w:color w:val="000000"/>
        </w:rPr>
        <w:t>International Encyclopedia of the Social &amp; Behavioral Sciences</w:t>
      </w:r>
      <w:r w:rsidRPr="00FF5190">
        <w:rPr>
          <w:rFonts w:cs="Times New Roman"/>
          <w:color w:val="000000"/>
        </w:rPr>
        <w:t xml:space="preserve">, </w:t>
      </w:r>
      <w:proofErr w:type="spellStart"/>
      <w:r w:rsidRPr="00FF5190">
        <w:rPr>
          <w:rFonts w:cs="Times New Roman"/>
          <w:color w:val="000000"/>
        </w:rPr>
        <w:t>editado</w:t>
      </w:r>
      <w:proofErr w:type="spellEnd"/>
      <w:r w:rsidRPr="00FF5190">
        <w:rPr>
          <w:rFonts w:cs="Times New Roman"/>
          <w:color w:val="000000"/>
        </w:rPr>
        <w:t xml:space="preserve"> </w:t>
      </w:r>
      <w:proofErr w:type="spellStart"/>
      <w:r w:rsidRPr="00FF5190">
        <w:rPr>
          <w:rFonts w:cs="Times New Roman"/>
          <w:color w:val="000000"/>
        </w:rPr>
        <w:t>por</w:t>
      </w:r>
      <w:proofErr w:type="spellEnd"/>
      <w:r w:rsidRPr="00FF5190">
        <w:rPr>
          <w:rFonts w:cs="Times New Roman"/>
          <w:color w:val="000000"/>
        </w:rPr>
        <w:t xml:space="preserve"> Paul B. </w:t>
      </w:r>
      <w:proofErr w:type="spellStart"/>
      <w:r w:rsidRPr="00FF5190">
        <w:rPr>
          <w:rFonts w:cs="Times New Roman"/>
          <w:color w:val="000000"/>
        </w:rPr>
        <w:t>Baltes</w:t>
      </w:r>
      <w:proofErr w:type="spellEnd"/>
      <w:r w:rsidRPr="00FF5190">
        <w:rPr>
          <w:rFonts w:cs="Times New Roman"/>
          <w:color w:val="000000"/>
        </w:rPr>
        <w:t xml:space="preserve">, 6753-57. Oxford: </w:t>
      </w:r>
      <w:proofErr w:type="spellStart"/>
      <w:r w:rsidRPr="00FF5190">
        <w:rPr>
          <w:rFonts w:cs="Times New Roman"/>
          <w:color w:val="000000"/>
        </w:rPr>
        <w:t>Pergamon</w:t>
      </w:r>
      <w:proofErr w:type="spellEnd"/>
      <w:r w:rsidRPr="00FF5190">
        <w:rPr>
          <w:rFonts w:cs="Times New Roman"/>
          <w:color w:val="000000"/>
        </w:rPr>
        <w:t>. https://doi.org/10.1016/B0-08-043076-7/01894-5.</w:t>
      </w:r>
    </w:p>
    <w:p w14:paraId="5C40BB9E" w14:textId="77777777" w:rsidR="00FF5190" w:rsidRPr="00FF5190" w:rsidRDefault="00FF5190" w:rsidP="00FF5190">
      <w:pPr>
        <w:pStyle w:val="Bibliography"/>
        <w:rPr>
          <w:rFonts w:cs="Times New Roman"/>
          <w:color w:val="000000"/>
        </w:rPr>
      </w:pPr>
      <w:r w:rsidRPr="00FF5190">
        <w:rPr>
          <w:rFonts w:cs="Times New Roman"/>
          <w:color w:val="000000"/>
        </w:rPr>
        <w:t xml:space="preserve">———. 2001c. «Mechanisms in political processes». </w:t>
      </w:r>
      <w:r w:rsidRPr="00FF5190">
        <w:rPr>
          <w:rFonts w:cs="Times New Roman"/>
          <w:i/>
          <w:iCs/>
          <w:color w:val="000000"/>
        </w:rPr>
        <w:t>Annual Review of Political Science</w:t>
      </w:r>
      <w:r w:rsidRPr="00FF5190">
        <w:rPr>
          <w:rFonts w:cs="Times New Roman"/>
          <w:color w:val="000000"/>
        </w:rPr>
        <w:t xml:space="preserve"> 4 (1): 21-41.</w:t>
      </w:r>
    </w:p>
    <w:p w14:paraId="3A6A9196" w14:textId="77777777" w:rsidR="00FF5190" w:rsidRPr="00FF5190" w:rsidRDefault="00FF5190" w:rsidP="00FF5190">
      <w:pPr>
        <w:pStyle w:val="Bibliography"/>
        <w:rPr>
          <w:rFonts w:cs="Times New Roman"/>
          <w:color w:val="000000"/>
        </w:rPr>
      </w:pPr>
      <w:r w:rsidRPr="00FF5190">
        <w:rPr>
          <w:rFonts w:cs="Times New Roman"/>
          <w:color w:val="000000"/>
        </w:rPr>
        <w:t xml:space="preserve">———. 2002a. </w:t>
      </w:r>
      <w:r w:rsidRPr="00FF5190">
        <w:rPr>
          <w:rFonts w:cs="Times New Roman"/>
          <w:i/>
          <w:iCs/>
          <w:color w:val="000000"/>
        </w:rPr>
        <w:t>Stories, Identities, and Political Change</w:t>
      </w:r>
      <w:r w:rsidRPr="00FF5190">
        <w:rPr>
          <w:rFonts w:cs="Times New Roman"/>
          <w:color w:val="000000"/>
        </w:rPr>
        <w:t>. Oxford: Rowman &amp; Littlefield Publishers.</w:t>
      </w:r>
    </w:p>
    <w:p w14:paraId="256004A1" w14:textId="77777777" w:rsidR="00FF5190" w:rsidRPr="00FF5190" w:rsidRDefault="00FF5190" w:rsidP="00FF5190">
      <w:pPr>
        <w:pStyle w:val="Bibliography"/>
        <w:rPr>
          <w:rFonts w:cs="Times New Roman"/>
          <w:color w:val="000000"/>
        </w:rPr>
      </w:pPr>
      <w:r w:rsidRPr="00FF5190">
        <w:rPr>
          <w:rFonts w:cs="Times New Roman"/>
          <w:color w:val="000000"/>
        </w:rPr>
        <w:t xml:space="preserve">———. 2002b. «Event Catalogs as Theories». </w:t>
      </w:r>
      <w:r w:rsidRPr="00FF5190">
        <w:rPr>
          <w:rFonts w:cs="Times New Roman"/>
          <w:i/>
          <w:iCs/>
          <w:color w:val="000000"/>
        </w:rPr>
        <w:t>Sociological Theory</w:t>
      </w:r>
      <w:r w:rsidRPr="00FF5190">
        <w:rPr>
          <w:rFonts w:cs="Times New Roman"/>
          <w:color w:val="000000"/>
        </w:rPr>
        <w:t xml:space="preserve"> 20 (2): 248-54. https://doi.org/10.1111/1467-9558.00161.</w:t>
      </w:r>
    </w:p>
    <w:p w14:paraId="6F9E65DC" w14:textId="77777777" w:rsidR="00FF5190" w:rsidRPr="00FF5190" w:rsidRDefault="00FF5190" w:rsidP="00FF5190">
      <w:pPr>
        <w:pStyle w:val="Bibliography"/>
        <w:rPr>
          <w:rFonts w:cs="Times New Roman"/>
          <w:color w:val="000000"/>
        </w:rPr>
      </w:pPr>
      <w:r w:rsidRPr="00FF5190">
        <w:rPr>
          <w:rFonts w:cs="Times New Roman"/>
          <w:color w:val="000000"/>
        </w:rPr>
        <w:t xml:space="preserve">———. 2004. «Observations of Social Processes and Their Formal Representations». </w:t>
      </w:r>
      <w:r w:rsidRPr="00FF5190">
        <w:rPr>
          <w:rFonts w:cs="Times New Roman"/>
          <w:i/>
          <w:iCs/>
          <w:color w:val="000000"/>
        </w:rPr>
        <w:t>Sociological Theory</w:t>
      </w:r>
      <w:r w:rsidRPr="00FF5190">
        <w:rPr>
          <w:rFonts w:cs="Times New Roman"/>
          <w:color w:val="000000"/>
        </w:rPr>
        <w:t xml:space="preserve"> 22 (4): 595--602. http://www.jstor.org/stable/3648934.</w:t>
      </w:r>
    </w:p>
    <w:p w14:paraId="2AB68CCE" w14:textId="77777777" w:rsidR="00FF5190" w:rsidRPr="00FF5190" w:rsidRDefault="00FF5190" w:rsidP="00FF5190">
      <w:pPr>
        <w:pStyle w:val="Bibliography"/>
        <w:rPr>
          <w:rFonts w:cs="Times New Roman"/>
          <w:color w:val="000000"/>
        </w:rPr>
      </w:pPr>
      <w:r w:rsidRPr="00FF5190">
        <w:rPr>
          <w:rFonts w:cs="Times New Roman"/>
          <w:color w:val="000000"/>
        </w:rPr>
        <w:t xml:space="preserve">———. 2005. </w:t>
      </w:r>
      <w:r w:rsidRPr="00FF5190">
        <w:rPr>
          <w:rFonts w:cs="Times New Roman"/>
          <w:i/>
          <w:iCs/>
          <w:color w:val="000000"/>
        </w:rPr>
        <w:t>Identities, Boundaries and Social Ties</w:t>
      </w:r>
      <w:r w:rsidRPr="00FF5190">
        <w:rPr>
          <w:rFonts w:cs="Times New Roman"/>
          <w:color w:val="000000"/>
        </w:rPr>
        <w:t>. Boulder: Paradigm Publishers.</w:t>
      </w:r>
    </w:p>
    <w:p w14:paraId="38447342" w14:textId="77777777" w:rsidR="00FF5190" w:rsidRPr="00FF5190" w:rsidRDefault="00FF5190" w:rsidP="00FF5190">
      <w:pPr>
        <w:pStyle w:val="Bibliography"/>
        <w:rPr>
          <w:rFonts w:cs="Times New Roman"/>
          <w:color w:val="000000"/>
        </w:rPr>
      </w:pPr>
      <w:r w:rsidRPr="00FF5190">
        <w:rPr>
          <w:rFonts w:cs="Times New Roman"/>
          <w:color w:val="000000"/>
        </w:rPr>
        <w:t xml:space="preserve">———. 2006. </w:t>
      </w:r>
      <w:r w:rsidRPr="00FF5190">
        <w:rPr>
          <w:rFonts w:cs="Times New Roman"/>
          <w:i/>
          <w:iCs/>
          <w:color w:val="000000"/>
        </w:rPr>
        <w:t>Regimes and Repertoires</w:t>
      </w:r>
      <w:r w:rsidRPr="00FF5190">
        <w:rPr>
          <w:rFonts w:cs="Times New Roman"/>
          <w:color w:val="000000"/>
        </w:rPr>
        <w:t>. Chicago and London: The University Chicago Press.</w:t>
      </w:r>
    </w:p>
    <w:p w14:paraId="35067C33" w14:textId="77777777" w:rsidR="00FF5190" w:rsidRPr="00FF5190" w:rsidRDefault="00FF5190" w:rsidP="00FF5190">
      <w:pPr>
        <w:pStyle w:val="Bibliography"/>
        <w:rPr>
          <w:rFonts w:cs="Times New Roman"/>
          <w:color w:val="000000"/>
        </w:rPr>
      </w:pPr>
      <w:r w:rsidRPr="00FF5190">
        <w:rPr>
          <w:rFonts w:cs="Times New Roman"/>
          <w:color w:val="000000"/>
        </w:rPr>
        <w:t xml:space="preserve">———. 2008a. </w:t>
      </w:r>
      <w:r w:rsidRPr="00FF5190">
        <w:rPr>
          <w:rFonts w:cs="Times New Roman"/>
          <w:i/>
          <w:iCs/>
          <w:color w:val="000000"/>
        </w:rPr>
        <w:t>Contentious Performances</w:t>
      </w:r>
      <w:r w:rsidRPr="00FF5190">
        <w:rPr>
          <w:rFonts w:cs="Times New Roman"/>
          <w:color w:val="000000"/>
        </w:rPr>
        <w:t>. New York: Cambridge University Press.</w:t>
      </w:r>
    </w:p>
    <w:p w14:paraId="54D78678" w14:textId="77777777" w:rsidR="00FF5190" w:rsidRPr="00FF5190" w:rsidRDefault="00FF5190" w:rsidP="00FF5190">
      <w:pPr>
        <w:pStyle w:val="Bibliography"/>
        <w:rPr>
          <w:rFonts w:cs="Times New Roman"/>
          <w:color w:val="000000"/>
        </w:rPr>
      </w:pPr>
      <w:r w:rsidRPr="00FF5190">
        <w:rPr>
          <w:rFonts w:cs="Times New Roman"/>
          <w:color w:val="000000"/>
        </w:rPr>
        <w:t xml:space="preserve">———. 2008b. </w:t>
      </w:r>
      <w:r w:rsidRPr="00FF5190">
        <w:rPr>
          <w:rFonts w:cs="Times New Roman"/>
          <w:i/>
          <w:iCs/>
          <w:color w:val="000000"/>
        </w:rPr>
        <w:t>Explaining Social Processes</w:t>
      </w:r>
      <w:r w:rsidRPr="00FF5190">
        <w:rPr>
          <w:rFonts w:cs="Times New Roman"/>
          <w:color w:val="000000"/>
        </w:rPr>
        <w:t>. Routledge. https://doi.org/10.4324/9781315634722.</w:t>
      </w:r>
    </w:p>
    <w:p w14:paraId="6B4E908B" w14:textId="77777777" w:rsidR="00FF5190" w:rsidRPr="00FF5190" w:rsidRDefault="00FF5190" w:rsidP="00FF5190">
      <w:pPr>
        <w:pStyle w:val="Bibliography"/>
        <w:rPr>
          <w:rFonts w:cs="Times New Roman"/>
          <w:color w:val="000000"/>
        </w:rPr>
      </w:pPr>
      <w:r w:rsidRPr="00FF5190">
        <w:rPr>
          <w:rFonts w:cs="Times New Roman"/>
          <w:color w:val="000000"/>
        </w:rPr>
        <w:t xml:space="preserve">Tilly, Charles, y Robert E </w:t>
      </w:r>
      <w:proofErr w:type="spellStart"/>
      <w:r w:rsidRPr="00FF5190">
        <w:rPr>
          <w:rFonts w:cs="Times New Roman"/>
          <w:color w:val="000000"/>
        </w:rPr>
        <w:t>Goodin</w:t>
      </w:r>
      <w:proofErr w:type="spellEnd"/>
      <w:r w:rsidRPr="00FF5190">
        <w:rPr>
          <w:rFonts w:cs="Times New Roman"/>
          <w:color w:val="000000"/>
        </w:rPr>
        <w:t xml:space="preserve">. 2006. «Why and How History Matters». </w:t>
      </w:r>
      <w:proofErr w:type="spellStart"/>
      <w:r w:rsidRPr="00FF5190">
        <w:rPr>
          <w:rFonts w:cs="Times New Roman"/>
          <w:color w:val="000000"/>
        </w:rPr>
        <w:t>En</w:t>
      </w:r>
      <w:proofErr w:type="spellEnd"/>
      <w:r w:rsidRPr="00FF5190">
        <w:rPr>
          <w:rFonts w:cs="Times New Roman"/>
          <w:color w:val="000000"/>
        </w:rPr>
        <w:t xml:space="preserve"> </w:t>
      </w:r>
      <w:r w:rsidRPr="00FF5190">
        <w:rPr>
          <w:rFonts w:cs="Times New Roman"/>
          <w:i/>
          <w:iCs/>
          <w:color w:val="000000"/>
        </w:rPr>
        <w:t>The Oxford Handbook of Contextual Political Analysis</w:t>
      </w:r>
      <w:r w:rsidRPr="00FF5190">
        <w:rPr>
          <w:rFonts w:cs="Times New Roman"/>
          <w:color w:val="000000"/>
        </w:rPr>
        <w:t xml:space="preserve">, </w:t>
      </w:r>
      <w:proofErr w:type="spellStart"/>
      <w:r w:rsidRPr="00FF5190">
        <w:rPr>
          <w:rFonts w:cs="Times New Roman"/>
          <w:color w:val="000000"/>
        </w:rPr>
        <w:t>editado</w:t>
      </w:r>
      <w:proofErr w:type="spellEnd"/>
      <w:r w:rsidRPr="00FF5190">
        <w:rPr>
          <w:rFonts w:cs="Times New Roman"/>
          <w:color w:val="000000"/>
        </w:rPr>
        <w:t xml:space="preserve"> </w:t>
      </w:r>
      <w:proofErr w:type="spellStart"/>
      <w:r w:rsidRPr="00FF5190">
        <w:rPr>
          <w:rFonts w:cs="Times New Roman"/>
          <w:color w:val="000000"/>
        </w:rPr>
        <w:t>por</w:t>
      </w:r>
      <w:proofErr w:type="spellEnd"/>
      <w:r w:rsidRPr="00FF5190">
        <w:rPr>
          <w:rFonts w:cs="Times New Roman"/>
          <w:color w:val="000000"/>
        </w:rPr>
        <w:t xml:space="preserve"> Robert E </w:t>
      </w:r>
      <w:proofErr w:type="spellStart"/>
      <w:r w:rsidRPr="00FF5190">
        <w:rPr>
          <w:rFonts w:cs="Times New Roman"/>
          <w:color w:val="000000"/>
        </w:rPr>
        <w:t>Goodin</w:t>
      </w:r>
      <w:proofErr w:type="spellEnd"/>
      <w:r w:rsidRPr="00FF5190">
        <w:rPr>
          <w:rFonts w:cs="Times New Roman"/>
          <w:color w:val="000000"/>
        </w:rPr>
        <w:t xml:space="preserve"> y Charles Tilly, 417-37. Oxford: Oxford University Press.</w:t>
      </w:r>
    </w:p>
    <w:p w14:paraId="400C145D" w14:textId="77777777" w:rsidR="00FF5190" w:rsidRPr="00FF5190" w:rsidRDefault="00FF5190" w:rsidP="00FF5190">
      <w:pPr>
        <w:pStyle w:val="Bibliography"/>
        <w:rPr>
          <w:rFonts w:cs="Times New Roman"/>
          <w:color w:val="000000"/>
        </w:rPr>
      </w:pPr>
      <w:r w:rsidRPr="00FF5190">
        <w:rPr>
          <w:rFonts w:cs="Times New Roman"/>
          <w:color w:val="000000"/>
        </w:rPr>
        <w:t xml:space="preserve">Tilly, Charles, y Sidney </w:t>
      </w:r>
      <w:proofErr w:type="spellStart"/>
      <w:r w:rsidRPr="00FF5190">
        <w:rPr>
          <w:rFonts w:cs="Times New Roman"/>
          <w:color w:val="000000"/>
        </w:rPr>
        <w:t>Tarrow</w:t>
      </w:r>
      <w:proofErr w:type="spellEnd"/>
      <w:r w:rsidRPr="00FF5190">
        <w:rPr>
          <w:rFonts w:cs="Times New Roman"/>
          <w:color w:val="000000"/>
        </w:rPr>
        <w:t xml:space="preserve">. 2015. </w:t>
      </w:r>
      <w:r w:rsidRPr="00FF5190">
        <w:rPr>
          <w:rFonts w:cs="Times New Roman"/>
          <w:i/>
          <w:iCs/>
          <w:color w:val="000000"/>
        </w:rPr>
        <w:t>Contentious Politics</w:t>
      </w:r>
      <w:r w:rsidRPr="00FF5190">
        <w:rPr>
          <w:rFonts w:cs="Times New Roman"/>
          <w:color w:val="000000"/>
        </w:rPr>
        <w:t xml:space="preserve">. </w:t>
      </w:r>
      <w:proofErr w:type="spellStart"/>
      <w:r w:rsidRPr="00FF5190">
        <w:rPr>
          <w:rFonts w:cs="Times New Roman"/>
          <w:color w:val="000000"/>
        </w:rPr>
        <w:t>Segunda</w:t>
      </w:r>
      <w:proofErr w:type="spellEnd"/>
      <w:r w:rsidRPr="00FF5190">
        <w:rPr>
          <w:rFonts w:cs="Times New Roman"/>
          <w:color w:val="000000"/>
        </w:rPr>
        <w:t xml:space="preserve"> </w:t>
      </w:r>
      <w:proofErr w:type="spellStart"/>
      <w:r w:rsidRPr="00FF5190">
        <w:rPr>
          <w:rFonts w:cs="Times New Roman"/>
          <w:color w:val="000000"/>
        </w:rPr>
        <w:t>Edición</w:t>
      </w:r>
      <w:proofErr w:type="spellEnd"/>
      <w:r w:rsidRPr="00FF5190">
        <w:rPr>
          <w:rFonts w:cs="Times New Roman"/>
          <w:color w:val="000000"/>
        </w:rPr>
        <w:t>. New York: Oxford University Press.</w:t>
      </w:r>
    </w:p>
    <w:p w14:paraId="2A7614F8" w14:textId="77777777" w:rsidR="00FF5190" w:rsidRPr="00FF5190" w:rsidRDefault="00FF5190" w:rsidP="00FF5190">
      <w:pPr>
        <w:pStyle w:val="Bibliography"/>
        <w:rPr>
          <w:rFonts w:cs="Times New Roman"/>
          <w:color w:val="000000"/>
        </w:rPr>
      </w:pPr>
      <w:r w:rsidRPr="00FF5190">
        <w:rPr>
          <w:rFonts w:cs="Times New Roman"/>
          <w:color w:val="000000"/>
        </w:rPr>
        <w:t xml:space="preserve">Touraine, Alain. 1981. </w:t>
      </w:r>
      <w:r w:rsidRPr="00FF5190">
        <w:rPr>
          <w:rFonts w:cs="Times New Roman"/>
          <w:i/>
          <w:iCs/>
          <w:color w:val="000000"/>
        </w:rPr>
        <w:t>The voice and the eye: An analysis of social movements</w:t>
      </w:r>
      <w:r w:rsidRPr="00FF5190">
        <w:rPr>
          <w:rFonts w:cs="Times New Roman"/>
          <w:color w:val="000000"/>
        </w:rPr>
        <w:t>. Cambridge: Cambridge University Press.</w:t>
      </w:r>
    </w:p>
    <w:p w14:paraId="0F0F3820" w14:textId="77777777" w:rsidR="00FF5190" w:rsidRPr="00FF5190" w:rsidRDefault="00FF5190" w:rsidP="00FF5190">
      <w:pPr>
        <w:pStyle w:val="Bibliography"/>
        <w:rPr>
          <w:rFonts w:cs="Times New Roman"/>
          <w:color w:val="000000"/>
        </w:rPr>
      </w:pPr>
      <w:r w:rsidRPr="00FF5190">
        <w:rPr>
          <w:rFonts w:cs="Times New Roman"/>
          <w:color w:val="000000"/>
        </w:rPr>
        <w:t xml:space="preserve">———. 1985. «An Introduction to the Study of Social Movements». </w:t>
      </w:r>
      <w:r w:rsidRPr="00FF5190">
        <w:rPr>
          <w:rFonts w:cs="Times New Roman"/>
          <w:i/>
          <w:iCs/>
          <w:color w:val="000000"/>
        </w:rPr>
        <w:t>Social Research</w:t>
      </w:r>
      <w:r w:rsidRPr="00FF5190">
        <w:rPr>
          <w:rFonts w:cs="Times New Roman"/>
          <w:color w:val="000000"/>
        </w:rPr>
        <w:t xml:space="preserve"> 52 (4): 749-87. https://doi.org/10.1177/0011392104043498.</w:t>
      </w:r>
    </w:p>
    <w:p w14:paraId="55E8E8C8"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1987. «Los movimientos sociales ¿Objeto particular o problema central de análisis sociológico?» En </w:t>
      </w:r>
      <w:r w:rsidRPr="00FF5190">
        <w:rPr>
          <w:rFonts w:cs="Times New Roman"/>
          <w:i/>
          <w:iCs/>
          <w:color w:val="000000"/>
          <w:lang w:val="es-ES"/>
        </w:rPr>
        <w:t>El regreso del autor</w:t>
      </w:r>
      <w:r w:rsidRPr="00FF5190">
        <w:rPr>
          <w:rFonts w:cs="Times New Roman"/>
          <w:color w:val="000000"/>
          <w:lang w:val="es-ES"/>
        </w:rPr>
        <w:t>. Buenos Aires: Editorial Universitaria.</w:t>
      </w:r>
    </w:p>
    <w:p w14:paraId="63373398" w14:textId="77777777" w:rsidR="00FF5190" w:rsidRPr="00FF5190" w:rsidRDefault="00FF5190" w:rsidP="00FF5190">
      <w:pPr>
        <w:pStyle w:val="Bibliography"/>
        <w:rPr>
          <w:rFonts w:cs="Times New Roman"/>
          <w:color w:val="000000"/>
        </w:rPr>
      </w:pPr>
      <w:r w:rsidRPr="00FF5190">
        <w:rPr>
          <w:rFonts w:cs="Times New Roman"/>
          <w:color w:val="000000"/>
          <w:lang w:val="es-ES"/>
        </w:rPr>
        <w:t xml:space="preserve">Turner, Ralph H. 1969. </w:t>
      </w:r>
      <w:r w:rsidRPr="00FF5190">
        <w:rPr>
          <w:rFonts w:cs="Times New Roman"/>
          <w:color w:val="000000"/>
        </w:rPr>
        <w:t xml:space="preserve">«The Public Perception of Protest». </w:t>
      </w:r>
      <w:r w:rsidRPr="00FF5190">
        <w:rPr>
          <w:rFonts w:cs="Times New Roman"/>
          <w:i/>
          <w:iCs/>
          <w:color w:val="000000"/>
        </w:rPr>
        <w:t>American Sociological Review</w:t>
      </w:r>
      <w:r w:rsidRPr="00FF5190">
        <w:rPr>
          <w:rFonts w:cs="Times New Roman"/>
          <w:color w:val="000000"/>
        </w:rPr>
        <w:t xml:space="preserve"> 34 (6): 815-31. https://doi.org/10.2307/2095975.</w:t>
      </w:r>
    </w:p>
    <w:p w14:paraId="0224894C" w14:textId="6FDE4B29" w:rsidR="000F1B48" w:rsidRPr="000F1B48" w:rsidRDefault="00E45F54" w:rsidP="000F1B48">
      <w:pPr>
        <w:rPr>
          <w:lang w:val="es-ES"/>
        </w:rPr>
      </w:pPr>
      <w:r>
        <w:rPr>
          <w:lang w:val="es-ES"/>
        </w:rPr>
        <w:lastRenderedPageBreak/>
        <w:fldChar w:fldCharType="end"/>
      </w:r>
    </w:p>
    <w:p w14:paraId="526DEF6C" w14:textId="77777777" w:rsidR="000F1B48" w:rsidRPr="000F1B48" w:rsidRDefault="000F1B48" w:rsidP="000F1B48">
      <w:pPr>
        <w:rPr>
          <w:lang w:val="es-ES"/>
        </w:rPr>
      </w:pPr>
    </w:p>
    <w:sectPr w:rsidR="000F1B48" w:rsidRPr="000F1B48" w:rsidSect="00D561F1">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4D513" w14:textId="77777777" w:rsidR="00E75A39" w:rsidRDefault="00E75A39" w:rsidP="00294850">
      <w:pPr>
        <w:spacing w:before="0" w:after="0" w:line="240" w:lineRule="auto"/>
      </w:pPr>
      <w:r>
        <w:separator/>
      </w:r>
    </w:p>
  </w:endnote>
  <w:endnote w:type="continuationSeparator" w:id="0">
    <w:p w14:paraId="641A2430" w14:textId="77777777" w:rsidR="00E75A39" w:rsidRDefault="00E75A39" w:rsidP="002948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0391" w14:textId="77777777" w:rsidR="00E627A1" w:rsidRDefault="00E627A1" w:rsidP="00381D3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532AD" w14:textId="77777777" w:rsidR="00E627A1" w:rsidRDefault="00E627A1" w:rsidP="00E627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921E0" w14:textId="77777777" w:rsidR="00E627A1" w:rsidRDefault="00E627A1" w:rsidP="00381D3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4110B3A9" w14:textId="77777777" w:rsidR="00E627A1" w:rsidRDefault="00E627A1" w:rsidP="00E627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F7C2A" w14:textId="77777777" w:rsidR="00E75A39" w:rsidRDefault="00E75A39" w:rsidP="00294850">
      <w:pPr>
        <w:spacing w:before="0" w:after="0" w:line="240" w:lineRule="auto"/>
      </w:pPr>
      <w:r>
        <w:separator/>
      </w:r>
    </w:p>
  </w:footnote>
  <w:footnote w:type="continuationSeparator" w:id="0">
    <w:p w14:paraId="5599C5A5" w14:textId="77777777" w:rsidR="00E75A39" w:rsidRDefault="00E75A39" w:rsidP="00294850">
      <w:pPr>
        <w:spacing w:before="0" w:after="0" w:line="240" w:lineRule="auto"/>
      </w:pPr>
      <w:r>
        <w:continuationSeparator/>
      </w:r>
    </w:p>
  </w:footnote>
  <w:footnote w:id="1">
    <w:p w14:paraId="62B7A129" w14:textId="1F7677AB" w:rsidR="00120BA6" w:rsidRPr="00120BA6" w:rsidRDefault="00294850" w:rsidP="005218CC">
      <w:pPr>
        <w:pStyle w:val="FootnoteText"/>
      </w:pPr>
      <w:r>
        <w:rPr>
          <w:rStyle w:val="FootnoteReference"/>
        </w:rPr>
        <w:footnoteRef/>
      </w:r>
      <w:r w:rsidRPr="00120BA6">
        <w:t xml:space="preserve"> </w:t>
      </w:r>
      <w:r w:rsidR="00120BA6" w:rsidRPr="00120BA6">
        <w:t>Bachiller en ciencia política por la Universidad Nacional Mayor de San Marcos</w:t>
      </w:r>
      <w:r w:rsidR="00120BA6">
        <w:t xml:space="preserve"> (UNMSM)</w:t>
      </w:r>
      <w:r w:rsidR="00120BA6" w:rsidRPr="00120BA6">
        <w:t xml:space="preserve">. </w:t>
      </w:r>
      <w:r w:rsidR="00120BA6">
        <w:t xml:space="preserve">Candidato a magister en </w:t>
      </w:r>
      <w:r w:rsidR="00120BA6" w:rsidRPr="005218CC">
        <w:t>sociología</w:t>
      </w:r>
      <w:r w:rsidR="00120BA6">
        <w:t xml:space="preserve"> política por la Facultad Latinoamericana de Ciencias Sociales – Sede Ecuador (FLACSO – Ecuador). Miembro del Grupo de investigación “Historia y Ciudadanía Activa” del Instituto de Historial Rural Andina de la Facultad de Ciencias Sociales </w:t>
      </w:r>
      <w:r w:rsidR="000B1071">
        <w:t>en</w:t>
      </w:r>
      <w:r w:rsidR="00120BA6">
        <w:t xml:space="preserve"> la UNMSM. Correo: </w:t>
      </w:r>
      <w:hyperlink r:id="rId1" w:history="1">
        <w:r w:rsidR="00120BA6" w:rsidRPr="00B52933">
          <w:rPr>
            <w:rStyle w:val="Hyperlink"/>
          </w:rPr>
          <w:t>jose.mejia2@unmsm.edu.pe</w:t>
        </w:r>
      </w:hyperlink>
      <w:r w:rsidR="00120BA6">
        <w:t>.</w:t>
      </w:r>
    </w:p>
  </w:footnote>
  <w:footnote w:id="2">
    <w:p w14:paraId="1F584CBD" w14:textId="0B290EE8" w:rsidR="002B7C9B" w:rsidRPr="002B7C9B" w:rsidRDefault="002B7C9B">
      <w:pPr>
        <w:pStyle w:val="FootnoteText"/>
      </w:pPr>
      <w:r>
        <w:rPr>
          <w:rStyle w:val="FootnoteReference"/>
        </w:rPr>
        <w:footnoteRef/>
      </w:r>
      <w:r>
        <w:t xml:space="preserve"> </w:t>
      </w:r>
      <w:r w:rsidRPr="002B7C9B">
        <w:t xml:space="preserve">La labor de Mario </w:t>
      </w:r>
      <w:proofErr w:type="spellStart"/>
      <w:r w:rsidRPr="002B7C9B">
        <w:t>Diani</w:t>
      </w:r>
      <w:proofErr w:type="spellEnd"/>
      <w:r w:rsidRPr="002B7C9B">
        <w:t xml:space="preserve"> </w:t>
      </w:r>
      <w:r w:rsidRPr="002B7C9B">
        <w:rPr>
          <w:lang w:val="en-US"/>
        </w:rPr>
        <w:fldChar w:fldCharType="begin"/>
      </w:r>
      <w:r w:rsidRPr="002B7C9B">
        <w:instrText xml:space="preserve"> ADDIN ZOTERO_ITEM CSL_CITATION {"citationID":"a1s6o5ek92m","properties":{"formattedCitation":"(1992, 2015a, 2015b)","plainCitation":"(1992, 2015a, 2015b)"},"citationItems":[{"id":4862,"uris":["http://zotero.org/users/4081719/items/R768QK5M"],"uri":["http://zotero.org/users/4081719/items/R768QK5M"],"itemData":{"id":4862,"type":"article-journal","title":"The concept of social movement","container-title":"The Sociological Review","page":"1-25","volume":"40","issue":"1","URL":"http://doi.wiley.com/10.1111/j.1467-954X.1992.tb02943.x","DOI":"10.1111/j.1467-954X.1992.tb02943.x","author":[{"family":"Diani","given":"Mario"}],"issued":{"date-parts":[["1992",2]]}},"label":"page","suppress-author":true},{"id":2886,"uris":["http://zotero.org/users/4081719/items/TXF7FNW8"],"uri":["http://zotero.org/users/4081719/items/TXF7FNW8"],"itemData":{"id":2886,"type":"article-journal","title":"Revisando el concepto de movimiento social","container-title":"Encrucijadas. Revista Crítica de Ciencias Sociales","page":"r0902","volume":"9","shortTitle":"Revisando el concepto de movimiento social","author":[{"family":"Diani","given":"Mario"}],"issued":{"date-parts":[["2015"]]}},"label":"page","suppress-author":true},{"id":2872,"uris":["http://zotero.org/users/4081719/items/W9ZDRLCD"],"uri":["http://zotero.org/users/4081719/items/W9ZDRLCD"],"itemData":{"id":2872,"type":"book","title":"The Cement of Civil Society: Studying Networks in Localities","publisher":"Cambridge University Press","publisher-place":"Cambridge","event-place":"Cambridge","shortTitle":"The Cement of Civil Society: Studying Networks in Localities","author":[{"family":"Diani","given":"Mario"}],"issued":{"date-parts":[["2015"]]}},"label":"page","suppress-author":true}],"schema":"https://github.com/citation-style-language/schema/raw/master/csl-citation.json"} </w:instrText>
      </w:r>
      <w:r w:rsidRPr="002B7C9B">
        <w:rPr>
          <w:lang w:val="en-US"/>
        </w:rPr>
        <w:fldChar w:fldCharType="separate"/>
      </w:r>
      <w:r w:rsidRPr="002B7C9B">
        <w:t>(1992, 2015a, 2015b)</w:t>
      </w:r>
      <w:r w:rsidRPr="002B7C9B">
        <w:fldChar w:fldCharType="end"/>
      </w:r>
      <w:r w:rsidRPr="002B7C9B">
        <w:t xml:space="preserve"> en la construcción de conceptos y tipos conceptuales </w:t>
      </w:r>
      <w:r w:rsidRPr="002B7C9B">
        <w:rPr>
          <w:lang w:val="en-US"/>
        </w:rPr>
        <w:fldChar w:fldCharType="begin"/>
      </w:r>
      <w:r w:rsidRPr="002B7C9B">
        <w:instrText xml:space="preserve"> ADDIN ZOTERO_ITEM CSL_CITATION {"citationID":"a2k1ip5rjku","properties":{"formattedCitation":"(Sartori 1970; Collier y Mahon 1993; Collier y Levitsky 1997, 2009)","plainCitation":"(Sartori 1970; Collier y Mahon 1993; Collier y Levitsky 1997, 2009)"},"citationItems":[{"id":2865,"uris":["http://zotero.org/users/4081719/items/RBIL7BXU"],"uri":["http://zotero.org/users/4081719/items/RBIL7BXU"],"itemData":{"id":2865,"type":"article-journal","title":"Concept Misformation in Comparative Politics","container-title":"The American Political Science Review","page":"1033-1053","volume":"64","issue":"4","URL":"http://www.jstor.org/stable/1958356","DOI":"10.2307/1958356","ISSN":"00030554, 15375943","shortTitle":"Concept Misformation in Comparative Politics","author":[{"family":"Sartori","given":"Giovanni"}],"issued":{"date-parts":[["1970"]]}},"label":"page"},{"id":2966,"uris":["http://zotero.org/users/4081719/items/FXQQXY3S"],"uri":["http://zotero.org/users/4081719/items/FXQQXY3S"],"itemData":{"id":2966,"type":"article-journal","title":"Conceptual \"Stretching\" Revis</w:instrText>
      </w:r>
      <w:r w:rsidRPr="002B7C9B">
        <w:rPr>
          <w:lang w:val="en-US"/>
        </w:rPr>
        <w:instrText>ited: Adapting Categories in Comparative Analysis","container-title":"The American Political Science Review","page":"845-855","volume":"87","issue":"4","URL":"http://www.jstor.org/stable/2938818","DOI":"10.2307/2938818","ISSN":"00030554, 15375943","shortTitle":"Conceptual \"Stretching\" Revisited: Adapting Categories in Comparative Analysis","author":[{"family":"Collier","given":"David"},{"family":"Mahon","given":"James E."}],"issued":{"date-parts":[["1993"]]}},"label":"page"},{"id":3392,"uris":["http://zotero.org/users/4081719/items/CR6GS5QX"],"uri":</w:instrText>
      </w:r>
      <w:r w:rsidRPr="002B7C9B">
        <w:instrText xml:space="preserve">["http://zotero.org/users/4081719/items/CR6GS5QX"],"itemData":{"id":3392,"type":"article-journal","title":"Democracy with Adjectives: Conceptual Innovation in Comparative Research","container-title":"World Politics","page":"430-451","volume":"49","issue":"3","abstract":"Concept formation Almost classical text on how, in general, concepts are desigend and, in particular, how this applies to the definition and concept of democracy","URL":"http://muse.jhu.edu/content/crossref/journals/world_politics/v049/49.3collier.html","DOI":"10.1353/wp.1997.0009","author":[{"family":"Collier","given":"David"},{"family":"Levitsky","given":"Steven"}],"issued":{"date-parts":[["1997"]]}},"label":"page"},{"id":1848,"uris":["http://zotero.org/users/4081719/items/LI3GL8C3"],"uri":["http://zotero.org/users/4081719/items/LI3GL8C3"],"itemData":{"id":1848,"type":"chapter","title":"Democracy. Conceptual hierarchies in comparative research.","container-title":"Concept &amp; Method in the Social Science: The tradition of Giovanni Sartori.","publisher":"Routledge","publisher-place":"London","page":"269-288","event-place":"London","URL":"http://polisci.berkeley.edu/people/faculty/CollierD/Conceptual","author":[{"family":"Collier","given":"David"},{"family":"Levitsky","given":"Steven"}],"editor":[{"family":"Collier","given":"David"},{"family":"Gerring","given":"John"}],"issued":{"date-parts":[["2009"]]}},"label":"page"}],"schema":"https://github.com/citation-style-language/schema/raw/master/csl-citation.json"} </w:instrText>
      </w:r>
      <w:r w:rsidRPr="002B7C9B">
        <w:rPr>
          <w:lang w:val="en-US"/>
        </w:rPr>
        <w:fldChar w:fldCharType="separate"/>
      </w:r>
      <w:r w:rsidRPr="002B7C9B">
        <w:t xml:space="preserve">(Sartori 1970; </w:t>
      </w:r>
      <w:proofErr w:type="spellStart"/>
      <w:r w:rsidRPr="002B7C9B">
        <w:t>Collier</w:t>
      </w:r>
      <w:proofErr w:type="spellEnd"/>
      <w:r w:rsidRPr="002B7C9B">
        <w:t xml:space="preserve"> y </w:t>
      </w:r>
      <w:proofErr w:type="spellStart"/>
      <w:r w:rsidRPr="002B7C9B">
        <w:t>Mahon</w:t>
      </w:r>
      <w:proofErr w:type="spellEnd"/>
      <w:r w:rsidRPr="002B7C9B">
        <w:t xml:space="preserve"> 1993; </w:t>
      </w:r>
      <w:proofErr w:type="spellStart"/>
      <w:r w:rsidRPr="002B7C9B">
        <w:t>Collier</w:t>
      </w:r>
      <w:proofErr w:type="spellEnd"/>
      <w:r w:rsidRPr="002B7C9B">
        <w:t xml:space="preserve"> y </w:t>
      </w:r>
      <w:proofErr w:type="spellStart"/>
      <w:r w:rsidRPr="002B7C9B">
        <w:t>Levitsky</w:t>
      </w:r>
      <w:proofErr w:type="spellEnd"/>
      <w:r w:rsidRPr="002B7C9B">
        <w:t xml:space="preserve"> 1997, 2009)</w:t>
      </w:r>
      <w:r w:rsidRPr="002B7C9B">
        <w:fldChar w:fldCharType="end"/>
      </w:r>
      <w:r w:rsidRPr="002B7C9B">
        <w:t xml:space="preserve"> ha permitido, no solo traer a colación el debate sobre la “intervención sociológica” de los intelectuales ligados al estudio de los movimientos sociales y/o la teoría social en las dinámicas y trayectorias de movilización </w:t>
      </w:r>
      <w:r w:rsidRPr="002B7C9B">
        <w:rPr>
          <w:lang w:val="en-US"/>
        </w:rPr>
        <w:fldChar w:fldCharType="begin"/>
      </w:r>
      <w:r w:rsidRPr="002B7C9B">
        <w:instrText xml:space="preserve"> ADDIN ZOTERO_ITEM CSL_CITATION {"citationID":"xNwM74XX","properties":{"formattedCitation":"(Fominaya y Cox 2013)","plainCitation":"(Fominaya y Cox 2013)"},"citationItems":[{"id":7509,"uris":["http://zotero.org/users/4081719/items/6FS4VGZI"],"uri":["http://zotero.org/users/4081719/items/6FS4VGZI"],"itemData":{"id":7509,"type":"chapter","title":"European Social Movements and Social Theory. A Richer Narrative?","container-title":"Understanding European movements: new social movements, global justice struggles, anti-austerity protest","collection-title":"Routledge Advances in Sociology","collection-number":"103","publisher":"Routledge, Taylor &amp; Francis Group","publisher-place":"London","page":"7-29","source":"Library of Congress ISBN","event-place":"London","ISBN":"978-0-415-63879-1","call-number":"HM881 .U53 2013","author":[{"family":"Fominaya","given":"Cristina"},{"family":"Cox","given":"Laurence"}],"issued":{"date-parts":[["2013"]]}}}],"schema":"https://github.com/citation-style-language/schema/raw/master/csl-citation.json"} </w:instrText>
      </w:r>
      <w:r w:rsidRPr="002B7C9B">
        <w:rPr>
          <w:lang w:val="en-US"/>
        </w:rPr>
        <w:fldChar w:fldCharType="separate"/>
      </w:r>
      <w:r w:rsidRPr="002B7C9B">
        <w:t>(</w:t>
      </w:r>
      <w:proofErr w:type="spellStart"/>
      <w:r w:rsidRPr="002B7C9B">
        <w:t>Fominaya</w:t>
      </w:r>
      <w:proofErr w:type="spellEnd"/>
      <w:r w:rsidRPr="002B7C9B">
        <w:t xml:space="preserve"> y Cox 2013)</w:t>
      </w:r>
      <w:r w:rsidRPr="002B7C9B">
        <w:fldChar w:fldCharType="end"/>
      </w:r>
      <w:r w:rsidRPr="002B7C9B">
        <w:t xml:space="preserve">, sino sobre todo avanzar en la formalización de la sociología histórica que comprende al programa de la contienda política </w:t>
      </w:r>
      <w:r>
        <w:fldChar w:fldCharType="begin"/>
      </w:r>
      <w:r>
        <w:instrText xml:space="preserve"> ADDIN ZOTERO_ITEM CSL_CITATION {"citationID":"plnwONO8","properties":{"formattedCitation":"(Tilly 2004)","plainCitation":"(Tilly 2004)"},"citationItems":[{"id":2600,"uris":["http://zotero.org/users/4081719/items/KY943ALW"],"uri":["http://zotero.org/users/4081719/items/KY943ALW"],"itemData":{"id":2600,"type":"article-journal","title":"Observations of Social Processes and Their Formal Representations","container-title":"Sociological Theory","page":"595--602","volume":"22","issue":"4","archive_location":"2004","abstract":"Distinctions between quantitative and qualitative social science misrepresent the actual choices confronting analysts of observations concerning social processes. Analysts regularly (if not always self-consciously) choose between adopting and avoiding formal representations of social processes. Despite widespread prejudices to the contrary, formalisms are available and helpful for all sorts of social scientific evidence, including those commonly labeled as qualitative. Available formalisms vary in two important regards: (1) from direct to analogical representation of the evidence at hand; and (2) from numerical to topological correspondence between formalism and evidence. Adoption of formalisms facilitates the identification of erroneous arguments, hence the correction of analytic errors and the production of more adequate explanations.","URL":"http://www.jstor.org/stable/3648934","ISSN":"07352751","shortTitle":"Observations of Social Processes and Their Formal Representations","author":[{"family":"Tilly","given":"Charles"}],"issued":{"date-parts":[["2004"]]}}}],"schema":"https://github.com/citation-style-language/schema/raw/master/csl-citation.json"} </w:instrText>
      </w:r>
      <w:r>
        <w:fldChar w:fldCharType="separate"/>
      </w:r>
      <w:r>
        <w:rPr>
          <w:noProof/>
        </w:rPr>
        <w:t>(Tilly 2004)</w:t>
      </w:r>
      <w:r>
        <w:fldChar w:fldCharType="end"/>
      </w:r>
      <w:r>
        <w:t xml:space="preserve"> con el empleo</w:t>
      </w:r>
      <w:r w:rsidRPr="002B7C9B">
        <w:t xml:space="preserve"> </w:t>
      </w:r>
      <w:r>
        <w:t>d</w:t>
      </w:r>
      <w:r w:rsidRPr="002B7C9B">
        <w:t>el concepto de ámbitos o campos de contienda o conflicto político (</w:t>
      </w:r>
      <w:proofErr w:type="spellStart"/>
      <w:r w:rsidRPr="002B7C9B">
        <w:rPr>
          <w:i/>
        </w:rPr>
        <w:t>fields</w:t>
      </w:r>
      <w:proofErr w:type="spellEnd"/>
      <w:r w:rsidRPr="002B7C9B">
        <w:rPr>
          <w:i/>
        </w:rPr>
        <w:t xml:space="preserve"> of </w:t>
      </w:r>
      <w:proofErr w:type="spellStart"/>
      <w:r w:rsidRPr="002B7C9B">
        <w:rPr>
          <w:i/>
        </w:rPr>
        <w:t>contention</w:t>
      </w:r>
      <w:proofErr w:type="spellEnd"/>
      <w:r w:rsidRPr="002B7C9B">
        <w:t>) (</w:t>
      </w:r>
      <w:proofErr w:type="spellStart"/>
      <w:r w:rsidRPr="002B7C9B">
        <w:t>Crossley</w:t>
      </w:r>
      <w:proofErr w:type="spellEnd"/>
      <w:r w:rsidRPr="002B7C9B">
        <w:t xml:space="preserve"> 2013) en la </w:t>
      </w:r>
      <w:r w:rsidR="00D7345B">
        <w:t>conceptualización</w:t>
      </w:r>
      <w:r w:rsidRPr="002B7C9B">
        <w:t xml:space="preserve"> de tres modos de coordinación de la acción colectiva adicionales al de movimiento social: coaliciones, organizaciones y subculturas.</w:t>
      </w:r>
      <w:r w:rsidR="002363EA">
        <w:t xml:space="preserve"> </w:t>
      </w:r>
      <w:r w:rsidR="002363EA" w:rsidRPr="006A5DF0">
        <w:t>Los modos de co</w:t>
      </w:r>
      <w:r w:rsidR="002363EA">
        <w:t xml:space="preserve">ordinación de la acción colectiva teorizados por </w:t>
      </w:r>
      <w:proofErr w:type="spellStart"/>
      <w:r w:rsidR="002363EA" w:rsidRPr="006A5DF0">
        <w:t>Diani</w:t>
      </w:r>
      <w:proofErr w:type="spellEnd"/>
      <w:r w:rsidR="002363EA" w:rsidRPr="006A5DF0">
        <w:t xml:space="preserve"> </w:t>
      </w:r>
      <w:r w:rsidR="002363EA">
        <w:fldChar w:fldCharType="begin"/>
      </w:r>
      <w:r w:rsidR="008B104A">
        <w:instrText xml:space="preserve"> ADDIN ZOTERO_ITEM CSL_CITATION {"citationID":"sGVrzUPV","properties":{"formattedCitation":"(Diani 2015a, 10-12)","plainCitation":"(Diani 2015a, 10-12)"},"citationItems":[{"id":2886,"uris":["http://zotero.org/users/4081719/items/TXF7FNW8"],"uri":["http://zotero.org/users/4081719/items/TXF7FNW8"],"itemData":{"id":2886,"type":"article-journal","title":"Revisando el concepto de movimiento social","container-title":"Encrucijadas. Revista Crítica de Ciencias Sociales","page":"r0902","volume":"9","shortTitle":"Revisando el concepto de movimiento social","author":[{"family":"Diani","given":"Mario"}],"issued":{"date-parts":[["2015"]]}},"locator":"10-12","label":"page"}],"schema":"https://github.com/citation-style-language/schema/raw/master/csl-citation.json"} </w:instrText>
      </w:r>
      <w:r w:rsidR="002363EA">
        <w:fldChar w:fldCharType="separate"/>
      </w:r>
      <w:r w:rsidR="002363EA">
        <w:rPr>
          <w:noProof/>
        </w:rPr>
        <w:t>(2015a, 10-12)</w:t>
      </w:r>
      <w:r w:rsidR="002363EA">
        <w:fldChar w:fldCharType="end"/>
      </w:r>
      <w:r w:rsidR="002363EA" w:rsidRPr="006A5DF0">
        <w:t xml:space="preserve"> responden a dos dimensiones tipológicas: la amplitud en la participación en la toma de decisiones respecto a la movilización y la extensión de los bordes sociales que def</w:t>
      </w:r>
      <w:r w:rsidR="002363EA">
        <w:t>inen los límites del colectivo</w:t>
      </w:r>
      <w:r w:rsidR="00A24878">
        <w:t>.</w:t>
      </w:r>
    </w:p>
  </w:footnote>
  <w:footnote w:id="3">
    <w:p w14:paraId="5DAD49F3" w14:textId="77777777" w:rsidR="00012009" w:rsidRDefault="00012009" w:rsidP="00012009">
      <w:pPr>
        <w:pStyle w:val="FootnoteText"/>
      </w:pPr>
      <w:r>
        <w:rPr>
          <w:rStyle w:val="FootnoteReference"/>
        </w:rPr>
        <w:footnoteRef/>
      </w:r>
      <w:r>
        <w:t xml:space="preserve"> </w:t>
      </w:r>
      <w:r w:rsidRPr="0020486A">
        <w:fldChar w:fldCharType="begin"/>
      </w:r>
      <w:r w:rsidRPr="0020486A">
        <w:instrText xml:space="preserve"> ADDIN ZOTERO_ITEM CSL_CITATION {"citationID":"aaab05gdiu","properties":{"custom":"Arce (2010)","formattedCitation":"Arce (2010)","plainCitation":"Arce (2010)"},"citationItems":[{"id":2444,"uris":["http://zotero.org/users/4081719/items/ZTYYXZIH"],"uri":["http://zotero.org/users/4081719/items/ZTYYXZIH"],"itemData":{"id":2444,"type":"chapter","title":"Algunos apuntes sobre los movimientos sociales y protestas en el Perú","container-title":"La iniciación de la política. El Perú político en perspectiva comparada","publisher":"Fondo Editorial PUCP","publisher-place":"Lima","page":"273-294","event-place":"Lima","ISBN":"978-9972-42-942-2","shortTitle":"Algunos apuntes sobre los movimientos sociales y protestas en el Perú","author":[{"family":"Arce","given":"Moisés"}],"editor":[{"family":"Meléndez","given":"Carlos"},{"family":"Vergara","given":"Alberto"}],"issued":{"date-parts":[["2010"]]}}}],"schema":"https://github.com/citation-style-language/schema/raw/master/csl-citation.json"} </w:instrText>
      </w:r>
      <w:r w:rsidRPr="0020486A">
        <w:fldChar w:fldCharType="separate"/>
      </w:r>
      <w:r w:rsidRPr="0020486A">
        <w:t>Arce (2010)</w:t>
      </w:r>
      <w:r w:rsidRPr="0020486A">
        <w:fldChar w:fldCharType="end"/>
      </w:r>
      <w:r w:rsidRPr="0020486A">
        <w:t xml:space="preserve"> ofrece un análisis actualizado de las bases de datos existentes en Perú vinculadas a esta clase de eventos.</w:t>
      </w:r>
    </w:p>
  </w:footnote>
  <w:footnote w:id="4">
    <w:p w14:paraId="5BFAD5C7" w14:textId="77777777" w:rsidR="00012009" w:rsidRDefault="00012009" w:rsidP="00012009">
      <w:pPr>
        <w:pStyle w:val="FootnoteText"/>
      </w:pPr>
      <w:r>
        <w:rPr>
          <w:rStyle w:val="FootnoteReference"/>
        </w:rPr>
        <w:footnoteRef/>
      </w:r>
      <w:r>
        <w:t xml:space="preserve"> </w:t>
      </w:r>
      <w:r>
        <w:rPr>
          <w:lang w:val="es-PE"/>
        </w:rPr>
        <w:t xml:space="preserve">El levantamiento de datos anteriores al 2004 por parte de la Defensoría del Pueblo, empleó </w:t>
      </w:r>
      <w:r w:rsidRPr="00521CE4">
        <w:rPr>
          <w:lang w:val="es-PE"/>
        </w:rPr>
        <w:t xml:space="preserve">información estadística muy general </w:t>
      </w:r>
      <w:r>
        <w:rPr>
          <w:lang w:val="es-PE"/>
        </w:rPr>
        <w:t>derivada d</w:t>
      </w:r>
      <w:r w:rsidRPr="00521CE4">
        <w:rPr>
          <w:lang w:val="es-PE"/>
        </w:rPr>
        <w:t>el Instituto Nacional de Estadísti</w:t>
      </w:r>
      <w:r>
        <w:rPr>
          <w:lang w:val="es-PE"/>
        </w:rPr>
        <w:t>ca e Informática (INEI) para el registro de</w:t>
      </w:r>
      <w:r w:rsidRPr="00521CE4">
        <w:rPr>
          <w:lang w:val="es-PE"/>
        </w:rPr>
        <w:t xml:space="preserve"> huelgas </w:t>
      </w:r>
      <w:r w:rsidRPr="00521CE4">
        <w:rPr>
          <w:lang w:val="es-PE"/>
        </w:rPr>
        <w:fldChar w:fldCharType="begin"/>
      </w:r>
      <w:r w:rsidRPr="00521CE4">
        <w:rPr>
          <w:lang w:val="es-PE"/>
        </w:rPr>
        <w:instrText xml:space="preserve"> ADDIN ZOTERO_ITEM CSL_CITATION {"citationID":"l1xSpVOh","properties":{"formattedCitation":"(Arce 2011)","plainCitation":"(Arce 2011)"},"citationItems":[{"id":16,"uris":["http://zotero.org/users/local/xffJ4JHL/items/G59YL8F4"],"uri":["http://zotero.org/users/local/xffJ4JHL/items/G59YL8F4"],"itemData":{"id":16,"type":"article-journal","title":"La repolitización de la acción colectiva tras el neoliberalismo en el Perú","container-title":"Debates en Sociología","page":"57-83","volume":"36","ISSN":"0254-9220","author":[{"family":"Arce","given":"Moisés"}],"issued":{"date-parts":[["2011"]]}}}],"schema":"https://github.com/citation-style-language/schema/raw/master/csl-citation.json"} </w:instrText>
      </w:r>
      <w:r w:rsidRPr="00521CE4">
        <w:rPr>
          <w:lang w:val="es-PE"/>
        </w:rPr>
        <w:fldChar w:fldCharType="separate"/>
      </w:r>
      <w:r w:rsidRPr="00521CE4">
        <w:t>(Arce 2011)</w:t>
      </w:r>
      <w:r w:rsidRPr="00521CE4">
        <w:fldChar w:fldCharType="end"/>
      </w:r>
      <w:r>
        <w:t xml:space="preserve">. Cabe señalar que la definición de huelgas y de protestas, como unidades de registro u observación, pueden no ser comparables </w:t>
      </w:r>
      <w:r>
        <w:fldChar w:fldCharType="begin"/>
      </w:r>
      <w:r>
        <w:instrText xml:space="preserve"> ADDIN ZOTERO_ITEM CSL_CITATION {"citationID":"15L4RMl4","properties":{"formattedCitation":"(Arce 2010)","plainCitation":"(Arce 2010)"},"citationItems":[{"id":2444,"uris":["http://zotero.org/users/4081719/items/ZTYYXZIH"],"uri":["http://zotero.org/users/4081719/items/ZTYYXZIH"],"itemData":{"id":2444,"type":"chapter","title":"Algunos apuntes sobre los movimientos sociales y protestas en el Perú","container-title":"La iniciación de la política. El Perú político en perspectiva comparada","publisher":"Fondo Editorial PUCP","publisher-place":"Lima","page":"273-294","event-place":"Lima","ISBN":"978-9972-42-942-2","shortTitle":"Algunos apuntes sobre los movimientos sociales y protestas en el Perú","author":[{"family":"Arce","given":"Moisés"}],"editor":[{"family":"Meléndez","given":"Carlos"},{"family":"Vergara","given":"Alberto"}],"issued":{"date-parts":[["2010"]]}}}],"schema":"https://github.com/citation-style-language/schema/raw/master/csl-citation.json"} </w:instrText>
      </w:r>
      <w:r>
        <w:fldChar w:fldCharType="separate"/>
      </w:r>
      <w:r>
        <w:rPr>
          <w:noProof/>
        </w:rPr>
        <w:t>(Arce 2010)</w:t>
      </w:r>
      <w:r>
        <w:fldChar w:fldCharType="end"/>
      </w:r>
      <w:r>
        <w:t>.</w:t>
      </w:r>
    </w:p>
  </w:footnote>
  <w:footnote w:id="5">
    <w:p w14:paraId="40E81FB7" w14:textId="37DFB5EA" w:rsidR="00012009" w:rsidRDefault="00012009" w:rsidP="00012009">
      <w:pPr>
        <w:pStyle w:val="FootnoteText"/>
      </w:pPr>
      <w:r>
        <w:rPr>
          <w:rStyle w:val="FootnoteReference"/>
        </w:rPr>
        <w:footnoteRef/>
      </w:r>
      <w:r>
        <w:t xml:space="preserve"> La definición del límite inferior de participantes para el registro de un evento contencioso como mayor o igual a tres (3) personas </w:t>
      </w:r>
      <w:r>
        <w:fldChar w:fldCharType="begin"/>
      </w:r>
      <w:r w:rsidR="00FF5190">
        <w:instrText xml:space="preserve"> ADDIN ZOTERO_ITEM CSL_CITATION {"citationID":"al22rcuct","properties":{"formattedCitation":"(Arce 2015)","plainCitation":"(Arce 2015)"},"citationItems":[{"id":5199,"uris":["http://zotero.org/users/4081719/items/A5IMTJD4"],"uri":["http://zotero.org/users/4081719/items/A5IMTJD4"],"itemData":{"id":5199,"type":"chapter","title":"Apéndice: La base de datos de las protestas sociales del Perú.","container-title":"La extracción de recursos naturales y la protesta social en el Perú.","publisher":"Fondo Editorial de la PUCP","publisher-place":"Lima","event-place":"Lima","author":[{"family":"Arce","given":"Moisés"}],"issued":{"date-parts":[["2015"]]}}}],"schema":"https://github.com/citation-style-language/schema/raw/master/csl-citation.json"} </w:instrText>
      </w:r>
      <w:r>
        <w:fldChar w:fldCharType="separate"/>
      </w:r>
      <w:r w:rsidR="00FF5190">
        <w:rPr>
          <w:noProof/>
        </w:rPr>
        <w:t>(Arce 2015)</w:t>
      </w:r>
      <w:r>
        <w:fldChar w:fldCharType="end"/>
      </w:r>
      <w:r>
        <w:t xml:space="preserve">, ajusta el levantamiento de datos al contexto peruano en tanto nos permite registrar eventos contenciosos caracterizados por </w:t>
      </w:r>
      <w:r w:rsidRPr="00712DDB">
        <w:rPr>
          <w:i/>
        </w:rPr>
        <w:t>performances</w:t>
      </w:r>
      <w:r>
        <w:t xml:space="preserve"> como la huelga de hambre u otros de orientación simbólica como el lavado de bandera.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07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FCC37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03C42BA"/>
    <w:multiLevelType w:val="hybridMultilevel"/>
    <w:tmpl w:val="75826694"/>
    <w:lvl w:ilvl="0" w:tplc="3BA82F14">
      <w:start w:val="1"/>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702A5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67D7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58"/>
    <w:rsid w:val="000008CA"/>
    <w:rsid w:val="00005571"/>
    <w:rsid w:val="00012009"/>
    <w:rsid w:val="0003205E"/>
    <w:rsid w:val="000621E0"/>
    <w:rsid w:val="00065F47"/>
    <w:rsid w:val="0007094B"/>
    <w:rsid w:val="0009231B"/>
    <w:rsid w:val="000B1071"/>
    <w:rsid w:val="000C4A96"/>
    <w:rsid w:val="000C5B15"/>
    <w:rsid w:val="000F1B48"/>
    <w:rsid w:val="00102B02"/>
    <w:rsid w:val="00104458"/>
    <w:rsid w:val="00120BA6"/>
    <w:rsid w:val="00131F57"/>
    <w:rsid w:val="001429A0"/>
    <w:rsid w:val="00144766"/>
    <w:rsid w:val="001600A7"/>
    <w:rsid w:val="001612A9"/>
    <w:rsid w:val="0017204C"/>
    <w:rsid w:val="001925A5"/>
    <w:rsid w:val="001B3071"/>
    <w:rsid w:val="001C3022"/>
    <w:rsid w:val="001D23F1"/>
    <w:rsid w:val="001D57E4"/>
    <w:rsid w:val="001F50DF"/>
    <w:rsid w:val="002036B4"/>
    <w:rsid w:val="00231D12"/>
    <w:rsid w:val="002363EA"/>
    <w:rsid w:val="00240249"/>
    <w:rsid w:val="002719A0"/>
    <w:rsid w:val="00273BE3"/>
    <w:rsid w:val="00277F0D"/>
    <w:rsid w:val="00292DA9"/>
    <w:rsid w:val="00294850"/>
    <w:rsid w:val="0029702C"/>
    <w:rsid w:val="002A0D84"/>
    <w:rsid w:val="002A2EB5"/>
    <w:rsid w:val="002A4023"/>
    <w:rsid w:val="002A6B13"/>
    <w:rsid w:val="002A7D45"/>
    <w:rsid w:val="002B7C9B"/>
    <w:rsid w:val="002C2B6F"/>
    <w:rsid w:val="002C48D0"/>
    <w:rsid w:val="002C5E52"/>
    <w:rsid w:val="002F4063"/>
    <w:rsid w:val="0032642B"/>
    <w:rsid w:val="00356302"/>
    <w:rsid w:val="00390534"/>
    <w:rsid w:val="003A1E23"/>
    <w:rsid w:val="003A718F"/>
    <w:rsid w:val="003B2888"/>
    <w:rsid w:val="003E47BC"/>
    <w:rsid w:val="0040261A"/>
    <w:rsid w:val="004066F3"/>
    <w:rsid w:val="004303DC"/>
    <w:rsid w:val="00440358"/>
    <w:rsid w:val="00447D66"/>
    <w:rsid w:val="00451325"/>
    <w:rsid w:val="00453AE4"/>
    <w:rsid w:val="00463163"/>
    <w:rsid w:val="0046552E"/>
    <w:rsid w:val="00471BB6"/>
    <w:rsid w:val="004726B0"/>
    <w:rsid w:val="00493511"/>
    <w:rsid w:val="004A57D9"/>
    <w:rsid w:val="004A7BBD"/>
    <w:rsid w:val="004D2491"/>
    <w:rsid w:val="004F0EAC"/>
    <w:rsid w:val="0050291D"/>
    <w:rsid w:val="005052AA"/>
    <w:rsid w:val="005218CC"/>
    <w:rsid w:val="00542B4C"/>
    <w:rsid w:val="00545033"/>
    <w:rsid w:val="00563E54"/>
    <w:rsid w:val="00566457"/>
    <w:rsid w:val="00582DA3"/>
    <w:rsid w:val="005901F0"/>
    <w:rsid w:val="005904C3"/>
    <w:rsid w:val="0059109A"/>
    <w:rsid w:val="005A31D5"/>
    <w:rsid w:val="005A4EDC"/>
    <w:rsid w:val="005B46B6"/>
    <w:rsid w:val="005C7ED0"/>
    <w:rsid w:val="005D2532"/>
    <w:rsid w:val="005D45CF"/>
    <w:rsid w:val="005D5E6A"/>
    <w:rsid w:val="005D767A"/>
    <w:rsid w:val="005E0E04"/>
    <w:rsid w:val="005E3E18"/>
    <w:rsid w:val="006152D4"/>
    <w:rsid w:val="0061675F"/>
    <w:rsid w:val="0062207C"/>
    <w:rsid w:val="00630CAB"/>
    <w:rsid w:val="00634A35"/>
    <w:rsid w:val="0064153C"/>
    <w:rsid w:val="00660488"/>
    <w:rsid w:val="00676093"/>
    <w:rsid w:val="00676FEA"/>
    <w:rsid w:val="0068368F"/>
    <w:rsid w:val="00684A0B"/>
    <w:rsid w:val="0068756B"/>
    <w:rsid w:val="006A5DF0"/>
    <w:rsid w:val="006C7D07"/>
    <w:rsid w:val="006E3303"/>
    <w:rsid w:val="006E4C81"/>
    <w:rsid w:val="006E58A6"/>
    <w:rsid w:val="007036FA"/>
    <w:rsid w:val="00733531"/>
    <w:rsid w:val="0073443C"/>
    <w:rsid w:val="007856BA"/>
    <w:rsid w:val="007A4A2A"/>
    <w:rsid w:val="007B0826"/>
    <w:rsid w:val="007D2111"/>
    <w:rsid w:val="007E11A5"/>
    <w:rsid w:val="007E36E2"/>
    <w:rsid w:val="007E626B"/>
    <w:rsid w:val="007F1B8F"/>
    <w:rsid w:val="00833675"/>
    <w:rsid w:val="008875E4"/>
    <w:rsid w:val="008978AF"/>
    <w:rsid w:val="008B104A"/>
    <w:rsid w:val="008B2D0A"/>
    <w:rsid w:val="008E449E"/>
    <w:rsid w:val="008F4056"/>
    <w:rsid w:val="008F63FE"/>
    <w:rsid w:val="009541E7"/>
    <w:rsid w:val="00956E23"/>
    <w:rsid w:val="00970C90"/>
    <w:rsid w:val="009A7237"/>
    <w:rsid w:val="009B16BE"/>
    <w:rsid w:val="009B56A6"/>
    <w:rsid w:val="009D063C"/>
    <w:rsid w:val="009D446C"/>
    <w:rsid w:val="009D456C"/>
    <w:rsid w:val="009E7BE4"/>
    <w:rsid w:val="00A06E5E"/>
    <w:rsid w:val="00A07A2C"/>
    <w:rsid w:val="00A15650"/>
    <w:rsid w:val="00A21117"/>
    <w:rsid w:val="00A243CD"/>
    <w:rsid w:val="00A24878"/>
    <w:rsid w:val="00A3361B"/>
    <w:rsid w:val="00A3643A"/>
    <w:rsid w:val="00A42471"/>
    <w:rsid w:val="00A6112E"/>
    <w:rsid w:val="00A71B92"/>
    <w:rsid w:val="00A75271"/>
    <w:rsid w:val="00AE25CD"/>
    <w:rsid w:val="00B033C8"/>
    <w:rsid w:val="00B16697"/>
    <w:rsid w:val="00B21CCF"/>
    <w:rsid w:val="00B265DD"/>
    <w:rsid w:val="00B35D8D"/>
    <w:rsid w:val="00B430A7"/>
    <w:rsid w:val="00B47144"/>
    <w:rsid w:val="00B52E11"/>
    <w:rsid w:val="00B60859"/>
    <w:rsid w:val="00B73592"/>
    <w:rsid w:val="00BA4F2C"/>
    <w:rsid w:val="00BC4EB6"/>
    <w:rsid w:val="00BD1683"/>
    <w:rsid w:val="00C111DD"/>
    <w:rsid w:val="00C14D6E"/>
    <w:rsid w:val="00C32CBF"/>
    <w:rsid w:val="00C3304A"/>
    <w:rsid w:val="00C46F13"/>
    <w:rsid w:val="00C64F26"/>
    <w:rsid w:val="00C661AB"/>
    <w:rsid w:val="00C71257"/>
    <w:rsid w:val="00C77082"/>
    <w:rsid w:val="00C80F90"/>
    <w:rsid w:val="00C81379"/>
    <w:rsid w:val="00C932EA"/>
    <w:rsid w:val="00CB1BEF"/>
    <w:rsid w:val="00CB7589"/>
    <w:rsid w:val="00CF2824"/>
    <w:rsid w:val="00CF6E07"/>
    <w:rsid w:val="00D02E8B"/>
    <w:rsid w:val="00D03A27"/>
    <w:rsid w:val="00D07762"/>
    <w:rsid w:val="00D269C1"/>
    <w:rsid w:val="00D334CC"/>
    <w:rsid w:val="00D4377B"/>
    <w:rsid w:val="00D561F1"/>
    <w:rsid w:val="00D7345B"/>
    <w:rsid w:val="00D77344"/>
    <w:rsid w:val="00D81437"/>
    <w:rsid w:val="00D87A8E"/>
    <w:rsid w:val="00D9504F"/>
    <w:rsid w:val="00DA6696"/>
    <w:rsid w:val="00DA67FB"/>
    <w:rsid w:val="00DA7D5A"/>
    <w:rsid w:val="00DF2DEC"/>
    <w:rsid w:val="00DF3DFC"/>
    <w:rsid w:val="00E0636F"/>
    <w:rsid w:val="00E063A8"/>
    <w:rsid w:val="00E36584"/>
    <w:rsid w:val="00E401B8"/>
    <w:rsid w:val="00E42AFA"/>
    <w:rsid w:val="00E43974"/>
    <w:rsid w:val="00E45F54"/>
    <w:rsid w:val="00E627A1"/>
    <w:rsid w:val="00E70AFC"/>
    <w:rsid w:val="00E75A39"/>
    <w:rsid w:val="00E9010C"/>
    <w:rsid w:val="00E950E6"/>
    <w:rsid w:val="00EA4079"/>
    <w:rsid w:val="00EC55FB"/>
    <w:rsid w:val="00EF35E4"/>
    <w:rsid w:val="00EF5CD0"/>
    <w:rsid w:val="00EF68D9"/>
    <w:rsid w:val="00F02EEF"/>
    <w:rsid w:val="00F067E8"/>
    <w:rsid w:val="00F14161"/>
    <w:rsid w:val="00F15335"/>
    <w:rsid w:val="00F33747"/>
    <w:rsid w:val="00F35046"/>
    <w:rsid w:val="00F62AEB"/>
    <w:rsid w:val="00F71D15"/>
    <w:rsid w:val="00F71F0C"/>
    <w:rsid w:val="00F75900"/>
    <w:rsid w:val="00F858EB"/>
    <w:rsid w:val="00F924D3"/>
    <w:rsid w:val="00F926F1"/>
    <w:rsid w:val="00FA0A05"/>
    <w:rsid w:val="00FB7393"/>
    <w:rsid w:val="00FD058A"/>
    <w:rsid w:val="00FF51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E4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850"/>
    <w:pPr>
      <w:spacing w:before="120" w:after="120" w:line="36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440358"/>
    <w:pPr>
      <w:keepNext/>
      <w:keepLines/>
      <w:spacing w:before="36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012009"/>
    <w:pPr>
      <w:keepNext/>
      <w:keepLines/>
      <w:spacing w:before="280" w:after="240" w:line="240" w:lineRule="auto"/>
      <w:jc w:val="left"/>
      <w:outlineLvl w:val="1"/>
    </w:pPr>
    <w:rPr>
      <w:rFonts w:eastAsiaTheme="majorEastAsia" w:cstheme="majorBidi"/>
      <w:b/>
      <w:bCs/>
      <w:i/>
    </w:rPr>
  </w:style>
  <w:style w:type="paragraph" w:styleId="Heading3">
    <w:name w:val="heading 3"/>
    <w:basedOn w:val="Normal"/>
    <w:next w:val="Normal"/>
    <w:link w:val="Heading3Char"/>
    <w:uiPriority w:val="9"/>
    <w:semiHidden/>
    <w:unhideWhenUsed/>
    <w:qFormat/>
    <w:rsid w:val="00440358"/>
    <w:pPr>
      <w:keepNext/>
      <w:keepLines/>
      <w:spacing w:before="40" w:after="0"/>
      <w:outlineLvl w:val="2"/>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009"/>
    <w:rPr>
      <w:rFonts w:ascii="Times New Roman" w:eastAsiaTheme="majorEastAsia" w:hAnsi="Times New Roman" w:cstheme="majorBidi"/>
      <w:b/>
      <w:bCs/>
      <w:i/>
      <w:color w:val="000000" w:themeColor="text1"/>
    </w:rPr>
  </w:style>
  <w:style w:type="paragraph" w:styleId="Quote">
    <w:name w:val="Quote"/>
    <w:basedOn w:val="Normal"/>
    <w:next w:val="Normal"/>
    <w:link w:val="QuoteChar"/>
    <w:uiPriority w:val="29"/>
    <w:qFormat/>
    <w:rsid w:val="00A15650"/>
    <w:pPr>
      <w:spacing w:before="200" w:after="160"/>
      <w:ind w:left="862" w:right="862"/>
    </w:pPr>
    <w:rPr>
      <w:i/>
      <w:iCs/>
    </w:rPr>
  </w:style>
  <w:style w:type="character" w:customStyle="1" w:styleId="QuoteChar">
    <w:name w:val="Quote Char"/>
    <w:basedOn w:val="DefaultParagraphFont"/>
    <w:link w:val="Quote"/>
    <w:uiPriority w:val="29"/>
    <w:rsid w:val="00A15650"/>
    <w:rPr>
      <w:rFonts w:ascii="Times New Roman" w:hAnsi="Times New Roman"/>
      <w:i/>
      <w:iCs/>
      <w:color w:val="000000" w:themeColor="text1"/>
    </w:rPr>
  </w:style>
  <w:style w:type="character" w:customStyle="1" w:styleId="Heading1Char">
    <w:name w:val="Heading 1 Char"/>
    <w:basedOn w:val="DefaultParagraphFont"/>
    <w:link w:val="Heading1"/>
    <w:uiPriority w:val="9"/>
    <w:rsid w:val="00440358"/>
    <w:rPr>
      <w:rFonts w:ascii="Times New Roman" w:eastAsiaTheme="majorEastAsia" w:hAnsi="Times New Roman" w:cstheme="majorBidi"/>
      <w:b/>
      <w:bCs/>
      <w:color w:val="000000" w:themeColor="text1"/>
      <w:szCs w:val="32"/>
    </w:rPr>
  </w:style>
  <w:style w:type="character" w:customStyle="1" w:styleId="Heading3Char">
    <w:name w:val="Heading 3 Char"/>
    <w:basedOn w:val="DefaultParagraphFont"/>
    <w:link w:val="Heading3"/>
    <w:uiPriority w:val="9"/>
    <w:semiHidden/>
    <w:rsid w:val="00440358"/>
    <w:rPr>
      <w:rFonts w:ascii="Times New Roman" w:eastAsiaTheme="majorEastAsia" w:hAnsi="Times New Roman" w:cstheme="majorBidi"/>
      <w:b/>
      <w:bCs/>
      <w:i/>
      <w:iCs/>
      <w:color w:val="000000" w:themeColor="text1"/>
    </w:rPr>
  </w:style>
  <w:style w:type="paragraph" w:styleId="Title">
    <w:name w:val="Title"/>
    <w:basedOn w:val="Normal"/>
    <w:next w:val="Normal"/>
    <w:link w:val="TitleChar"/>
    <w:uiPriority w:val="10"/>
    <w:qFormat/>
    <w:rsid w:val="00294850"/>
    <w:pPr>
      <w:spacing w:before="240" w:after="240" w:line="240" w:lineRule="auto"/>
      <w:jc w:val="center"/>
    </w:pPr>
    <w:rPr>
      <w:rFonts w:eastAsiaTheme="majorEastAsia" w:cstheme="majorBidi"/>
      <w:b/>
      <w:bCs/>
      <w:smallCaps/>
      <w:kern w:val="28"/>
      <w:sz w:val="28"/>
      <w:szCs w:val="56"/>
    </w:rPr>
  </w:style>
  <w:style w:type="character" w:customStyle="1" w:styleId="TitleChar">
    <w:name w:val="Title Char"/>
    <w:basedOn w:val="DefaultParagraphFont"/>
    <w:link w:val="Title"/>
    <w:uiPriority w:val="10"/>
    <w:rsid w:val="00294850"/>
    <w:rPr>
      <w:rFonts w:ascii="Times New Roman" w:eastAsiaTheme="majorEastAsia" w:hAnsi="Times New Roman" w:cstheme="majorBidi"/>
      <w:b/>
      <w:bCs/>
      <w:smallCaps/>
      <w:color w:val="000000" w:themeColor="text1"/>
      <w:kern w:val="28"/>
      <w:sz w:val="28"/>
      <w:szCs w:val="56"/>
    </w:rPr>
  </w:style>
  <w:style w:type="paragraph" w:styleId="Subtitle">
    <w:name w:val="Subtitle"/>
    <w:basedOn w:val="Normal"/>
    <w:next w:val="Normal"/>
    <w:link w:val="SubtitleChar"/>
    <w:uiPriority w:val="11"/>
    <w:qFormat/>
    <w:rsid w:val="00294850"/>
    <w:pPr>
      <w:numPr>
        <w:ilvl w:val="1"/>
      </w:numPr>
      <w:spacing w:after="160" w:line="240" w:lineRule="auto"/>
      <w:jc w:val="center"/>
    </w:pPr>
    <w:rPr>
      <w:rFonts w:eastAsiaTheme="minorEastAsia"/>
      <w:b/>
      <w:bCs/>
      <w:i/>
      <w:iCs/>
      <w:spacing w:val="15"/>
      <w:szCs w:val="22"/>
    </w:rPr>
  </w:style>
  <w:style w:type="character" w:customStyle="1" w:styleId="SubtitleChar">
    <w:name w:val="Subtitle Char"/>
    <w:basedOn w:val="DefaultParagraphFont"/>
    <w:link w:val="Subtitle"/>
    <w:uiPriority w:val="11"/>
    <w:rsid w:val="00294850"/>
    <w:rPr>
      <w:rFonts w:ascii="Times New Roman" w:eastAsiaTheme="minorEastAsia" w:hAnsi="Times New Roman"/>
      <w:b/>
      <w:bCs/>
      <w:i/>
      <w:iCs/>
      <w:color w:val="000000" w:themeColor="text1"/>
      <w:spacing w:val="15"/>
      <w:szCs w:val="22"/>
    </w:rPr>
  </w:style>
  <w:style w:type="paragraph" w:styleId="ListParagraph">
    <w:name w:val="List Paragraph"/>
    <w:basedOn w:val="Normal"/>
    <w:uiPriority w:val="34"/>
    <w:qFormat/>
    <w:rsid w:val="00970C90"/>
    <w:pPr>
      <w:ind w:left="720"/>
      <w:contextualSpacing/>
    </w:pPr>
  </w:style>
  <w:style w:type="paragraph" w:styleId="NoSpacing">
    <w:name w:val="No Spacing"/>
    <w:uiPriority w:val="1"/>
    <w:qFormat/>
    <w:rsid w:val="00294850"/>
    <w:pPr>
      <w:jc w:val="both"/>
    </w:pPr>
    <w:rPr>
      <w:rFonts w:ascii="Times New Roman" w:hAnsi="Times New Roman"/>
      <w:color w:val="000000" w:themeColor="text1"/>
    </w:rPr>
  </w:style>
  <w:style w:type="paragraph" w:styleId="FootnoteText">
    <w:name w:val="footnote text"/>
    <w:basedOn w:val="Normal"/>
    <w:link w:val="FootnoteTextChar"/>
    <w:uiPriority w:val="99"/>
    <w:unhideWhenUsed/>
    <w:qFormat/>
    <w:rsid w:val="005218CC"/>
    <w:pPr>
      <w:spacing w:before="0" w:after="0" w:line="240" w:lineRule="auto"/>
    </w:pPr>
    <w:rPr>
      <w:sz w:val="20"/>
      <w:szCs w:val="20"/>
      <w:lang w:val="es-ES"/>
    </w:rPr>
  </w:style>
  <w:style w:type="character" w:customStyle="1" w:styleId="FootnoteTextChar">
    <w:name w:val="Footnote Text Char"/>
    <w:basedOn w:val="DefaultParagraphFont"/>
    <w:link w:val="FootnoteText"/>
    <w:uiPriority w:val="99"/>
    <w:rsid w:val="005218CC"/>
    <w:rPr>
      <w:rFonts w:ascii="Times New Roman" w:hAnsi="Times New Roman"/>
      <w:color w:val="000000" w:themeColor="text1"/>
      <w:sz w:val="20"/>
      <w:szCs w:val="20"/>
      <w:lang w:val="es-ES"/>
    </w:rPr>
  </w:style>
  <w:style w:type="character" w:styleId="FootnoteReference">
    <w:name w:val="footnote reference"/>
    <w:basedOn w:val="DefaultParagraphFont"/>
    <w:uiPriority w:val="99"/>
    <w:unhideWhenUsed/>
    <w:rsid w:val="00120BA6"/>
    <w:rPr>
      <w:rFonts w:ascii="Times New Roman" w:hAnsi="Times New Roman"/>
      <w:sz w:val="20"/>
      <w:vertAlign w:val="superscript"/>
    </w:rPr>
  </w:style>
  <w:style w:type="character" w:styleId="Hyperlink">
    <w:name w:val="Hyperlink"/>
    <w:basedOn w:val="DefaultParagraphFont"/>
    <w:uiPriority w:val="99"/>
    <w:unhideWhenUsed/>
    <w:rsid w:val="00120BA6"/>
    <w:rPr>
      <w:color w:val="0563C1" w:themeColor="hyperlink"/>
      <w:u w:val="single"/>
    </w:rPr>
  </w:style>
  <w:style w:type="paragraph" w:customStyle="1" w:styleId="p1">
    <w:name w:val="p1"/>
    <w:basedOn w:val="Normal"/>
    <w:rsid w:val="00B60859"/>
    <w:pPr>
      <w:spacing w:before="0" w:after="0" w:line="240" w:lineRule="auto"/>
      <w:jc w:val="left"/>
    </w:pPr>
    <w:rPr>
      <w:rFonts w:cs="Times New Roman"/>
      <w:color w:val="auto"/>
      <w:sz w:val="20"/>
      <w:szCs w:val="20"/>
    </w:rPr>
  </w:style>
  <w:style w:type="paragraph" w:customStyle="1" w:styleId="p2">
    <w:name w:val="p2"/>
    <w:basedOn w:val="Normal"/>
    <w:rsid w:val="00B60859"/>
    <w:pPr>
      <w:spacing w:before="0" w:after="0" w:line="240" w:lineRule="auto"/>
      <w:jc w:val="left"/>
    </w:pPr>
    <w:rPr>
      <w:rFonts w:cs="Times New Roman"/>
      <w:color w:val="auto"/>
      <w:sz w:val="20"/>
      <w:szCs w:val="20"/>
    </w:rPr>
  </w:style>
  <w:style w:type="character" w:customStyle="1" w:styleId="apple-converted-space">
    <w:name w:val="apple-converted-space"/>
    <w:basedOn w:val="DefaultParagraphFont"/>
    <w:rsid w:val="00B60859"/>
  </w:style>
  <w:style w:type="character" w:styleId="Strong">
    <w:name w:val="Strong"/>
    <w:basedOn w:val="DefaultParagraphFont"/>
    <w:uiPriority w:val="22"/>
    <w:qFormat/>
    <w:rsid w:val="00012009"/>
    <w:rPr>
      <w:b/>
      <w:bCs/>
      <w:sz w:val="22"/>
    </w:rPr>
  </w:style>
  <w:style w:type="table" w:styleId="TableGrid">
    <w:name w:val="Table Grid"/>
    <w:basedOn w:val="TableNormal"/>
    <w:uiPriority w:val="59"/>
    <w:rsid w:val="00012009"/>
    <w:rPr>
      <w:sz w:val="22"/>
      <w:szCs w:val="22"/>
      <w:lang w:val="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45F54"/>
    <w:pPr>
      <w:spacing w:after="0" w:line="240" w:lineRule="auto"/>
      <w:ind w:left="720" w:hanging="720"/>
    </w:pPr>
  </w:style>
  <w:style w:type="paragraph" w:styleId="Footer">
    <w:name w:val="footer"/>
    <w:basedOn w:val="Normal"/>
    <w:link w:val="FooterChar"/>
    <w:uiPriority w:val="99"/>
    <w:unhideWhenUsed/>
    <w:rsid w:val="00E627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27A1"/>
    <w:rPr>
      <w:rFonts w:ascii="Times New Roman" w:hAnsi="Times New Roman"/>
      <w:color w:val="000000" w:themeColor="text1"/>
    </w:rPr>
  </w:style>
  <w:style w:type="character" w:styleId="PageNumber">
    <w:name w:val="page number"/>
    <w:basedOn w:val="DefaultParagraphFont"/>
    <w:uiPriority w:val="99"/>
    <w:semiHidden/>
    <w:unhideWhenUsed/>
    <w:rsid w:val="00E62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1493">
      <w:bodyDiv w:val="1"/>
      <w:marLeft w:val="0"/>
      <w:marRight w:val="0"/>
      <w:marTop w:val="0"/>
      <w:marBottom w:val="0"/>
      <w:divBdr>
        <w:top w:val="none" w:sz="0" w:space="0" w:color="auto"/>
        <w:left w:val="none" w:sz="0" w:space="0" w:color="auto"/>
        <w:bottom w:val="none" w:sz="0" w:space="0" w:color="auto"/>
        <w:right w:val="none" w:sz="0" w:space="0" w:color="auto"/>
      </w:divBdr>
    </w:div>
    <w:div w:id="583221555">
      <w:bodyDiv w:val="1"/>
      <w:marLeft w:val="0"/>
      <w:marRight w:val="0"/>
      <w:marTop w:val="0"/>
      <w:marBottom w:val="0"/>
      <w:divBdr>
        <w:top w:val="none" w:sz="0" w:space="0" w:color="auto"/>
        <w:left w:val="none" w:sz="0" w:space="0" w:color="auto"/>
        <w:bottom w:val="none" w:sz="0" w:space="0" w:color="auto"/>
        <w:right w:val="none" w:sz="0" w:space="0" w:color="auto"/>
      </w:divBdr>
    </w:div>
    <w:div w:id="918909167">
      <w:bodyDiv w:val="1"/>
      <w:marLeft w:val="0"/>
      <w:marRight w:val="0"/>
      <w:marTop w:val="0"/>
      <w:marBottom w:val="0"/>
      <w:divBdr>
        <w:top w:val="none" w:sz="0" w:space="0" w:color="auto"/>
        <w:left w:val="none" w:sz="0" w:space="0" w:color="auto"/>
        <w:bottom w:val="none" w:sz="0" w:space="0" w:color="auto"/>
        <w:right w:val="none" w:sz="0" w:space="0" w:color="auto"/>
      </w:divBdr>
    </w:div>
    <w:div w:id="1058699788">
      <w:bodyDiv w:val="1"/>
      <w:marLeft w:val="0"/>
      <w:marRight w:val="0"/>
      <w:marTop w:val="0"/>
      <w:marBottom w:val="0"/>
      <w:divBdr>
        <w:top w:val="none" w:sz="0" w:space="0" w:color="auto"/>
        <w:left w:val="none" w:sz="0" w:space="0" w:color="auto"/>
        <w:bottom w:val="none" w:sz="0" w:space="0" w:color="auto"/>
        <w:right w:val="none" w:sz="0" w:space="0" w:color="auto"/>
      </w:divBdr>
    </w:div>
    <w:div w:id="1089353667">
      <w:bodyDiv w:val="1"/>
      <w:marLeft w:val="0"/>
      <w:marRight w:val="0"/>
      <w:marTop w:val="0"/>
      <w:marBottom w:val="0"/>
      <w:divBdr>
        <w:top w:val="none" w:sz="0" w:space="0" w:color="auto"/>
        <w:left w:val="none" w:sz="0" w:space="0" w:color="auto"/>
        <w:bottom w:val="none" w:sz="0" w:space="0" w:color="auto"/>
        <w:right w:val="none" w:sz="0" w:space="0" w:color="auto"/>
      </w:divBdr>
    </w:div>
    <w:div w:id="1829398372">
      <w:bodyDiv w:val="1"/>
      <w:marLeft w:val="0"/>
      <w:marRight w:val="0"/>
      <w:marTop w:val="0"/>
      <w:marBottom w:val="0"/>
      <w:divBdr>
        <w:top w:val="none" w:sz="0" w:space="0" w:color="auto"/>
        <w:left w:val="none" w:sz="0" w:space="0" w:color="auto"/>
        <w:bottom w:val="none" w:sz="0" w:space="0" w:color="auto"/>
        <w:right w:val="none" w:sz="0" w:space="0" w:color="auto"/>
      </w:divBdr>
    </w:div>
    <w:div w:id="2018382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mailto:jose.mejia2@unmsm.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F58AF63-4F14-6C4E-959F-FF8B9259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8466</Words>
  <Characters>48259</Characters>
  <Application>Microsoft Macintosh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dcterms:created xsi:type="dcterms:W3CDTF">2018-03-10T09:10:00Z</dcterms:created>
  <dcterms:modified xsi:type="dcterms:W3CDTF">2018-03-12T09:46:00Z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id="J8yGah0V"/&gt;&lt;style id="http://www.zotero.org/styles/chicago-author-date" locale="es-ES" hasBibliography="1" bibliographyStyleHasBeenSet="1"/&gt;&lt;prefs&gt;&lt;pref name="fieldType" value="Field"/&gt;&lt;pref na</vt:lpwstr>
  </property>
  <property fmtid="{D5CDD505-2E9C-101B-9397-08002B2CF9AE}" pid="3" name="ZOTERO_PREF_2">
    <vt:lpwstr>me="automaticJournalAbbreviations" value="true"/&gt;&lt;pref name="noteType" value="0"/&gt;&lt;/prefs&gt;&lt;/data&gt;</vt:lpwstr>
  </property>
</Properties>
</file>