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TestigentAI Product Architecture &amp; Scale Roadmap</w:t>
      </w:r>
    </w:p>
    <w:p>
      <w:pPr>
        <w:jc w:val="center"/>
      </w:pPr>
      <w:r>
        <w:rPr>
          <w:b/>
        </w:rPr>
        <w:t>Provider-neutral quality engineering control plane | V6</w:t>
      </w:r>
    </w:p>
    <w:p>
      <w:r>
        <w:t>Purpose: define the architecture needed to scale TestigentAI from a reusable Playwright framework into a credible quality-engineering product while preserving deterministic governance, organization flexibility and evidence-based market claims.</w:t>
      </w:r>
    </w:p>
    <w:p>
      <w:pPr>
        <w:pStyle w:val="Heading1"/>
      </w:pPr>
      <w:r>
        <w:t>1. Product North Star</w:t>
      </w:r>
    </w:p>
    <w:p>
      <w:pPr>
        <w:pStyle w:val="ListBullet"/>
      </w:pPr>
      <w:r>
        <w:t>TestigentAI should orchestrate quality across UI, API, database, data-driven and AI/agent systems while keeping projects portable. Reusable engines belong in src/framework; application behavior belongs in projects/&lt;project&gt;.</w:t>
      </w:r>
    </w:p>
    <w:p>
      <w:pPr>
        <w:pStyle w:val="ListBullet"/>
      </w:pPr>
      <w:r>
        <w:t>The product should integrate device clouds, accessibility/visual engines and evaluation platforms through adapters rather than reproduce every proprietary infrastructure capability.</w:t>
      </w:r>
    </w:p>
    <w:p>
      <w:pPr>
        <w:pStyle w:val="Heading1"/>
      </w:pPr>
      <w:r>
        <w:t>2. V6 Architecture Principles</w:t>
      </w:r>
    </w:p>
    <w:p>
      <w:pPr>
        <w:pStyle w:val="ListBullet"/>
      </w:pPr>
      <w:r>
        <w:t>Organization -&gt; project -&gt; environment -&gt; runtime/CLI configuration hierarchy with observable precedence.</w:t>
      </w:r>
    </w:p>
    <w:p>
      <w:pPr>
        <w:pStyle w:val="ListBullet"/>
      </w:pPr>
      <w:r>
        <w:t>Playwright-native workers, fullyParallel and sharding remain the primary scheduler. Percentage workers such as 50% are preserved.</w:t>
      </w:r>
    </w:p>
    <w:p>
      <w:pPr>
        <w:pStyle w:val="ListBullet"/>
      </w:pPr>
      <w:r>
        <w:t>Data-driven execution uses one row = one test, duplicate case-ID preflight and parallel-safe resource ownership.</w:t>
      </w:r>
    </w:p>
    <w:p>
      <w:pPr>
        <w:pStyle w:val="ListBullet"/>
      </w:pPr>
      <w:r>
        <w:t>AI/generated/manual execution is governed and safe-deny where appropriate. Self-healing can recover mechanics but cannot rewrite business expectations.</w:t>
      </w:r>
    </w:p>
    <w:p>
      <w:pPr>
        <w:pStyle w:val="ListBullet"/>
      </w:pPr>
      <w:r>
        <w:t>All cross-cutting capabilities expose provider-neutral contracts so organizations can select local, cloud or managed providers.</w:t>
      </w:r>
    </w:p>
    <w:p>
      <w:pPr>
        <w:pStyle w:val="Heading1"/>
      </w:pPr>
      <w:r>
        <w:t>3. Execution at Scale</w:t>
      </w:r>
    </w:p>
    <w:p>
      <w:pPr>
        <w:pStyle w:val="ListBullet"/>
      </w:pPr>
      <w:r>
        <w:t>Profiles: PR, smoke, regression, nightly, release and custom.</w:t>
      </w:r>
    </w:p>
    <w:p>
      <w:pPr>
        <w:pStyle w:val="ListBullet"/>
      </w:pPr>
      <w:r>
        <w:t>Lanes: UI, API, DB, E2E, AI, visual, accessibility and performance.</w:t>
      </w:r>
    </w:p>
    <w:p>
      <w:pPr>
        <w:pStyle w:val="ListBullet"/>
      </w:pPr>
      <w:r>
        <w:t>Native sharding is default; duration-aware LPT planning is opt-in and backed by indexed historical durations.</w:t>
      </w:r>
    </w:p>
    <w:p>
      <w:pPr>
        <w:pStyle w:val="ListBullet"/>
      </w:pPr>
      <w:r>
        <w:t>Shared-resource locks serialize only unavoidable critical resources rather than reducing global parallelism.</w:t>
      </w:r>
    </w:p>
    <w:p>
      <w:pPr>
        <w:pStyle w:val="Heading1"/>
      </w:pPr>
      <w:r>
        <w:t>4. Test Data Architecture</w:t>
      </w:r>
    </w:p>
    <w:p>
      <w:pPr>
        <w:pStyle w:val="ListBullet"/>
      </w:pPr>
      <w:r>
        <w:t>JSON, CSV, YAML and Excel feed a common DataFactory. Declaration-time loadCasesSync allows Playwright to see each case before execution.</w:t>
      </w:r>
    </w:p>
    <w:p>
      <w:pPr>
        <w:pStyle w:val="ListBullet"/>
      </w:pPr>
      <w:r>
        <w:t>dataScope provides stable, retry-attempt and idempotent identities so a test owns its mutable records and cleanup can be reasoned about.</w:t>
      </w:r>
    </w:p>
    <w:p>
      <w:pPr>
        <w:pStyle w:val="ListBullet"/>
      </w:pPr>
      <w:r>
        <w:t>At 2,000+ cases, scale comes from independent tests, shardable data and immutable/owned state - not from a giant loop inside one test.</w:t>
      </w:r>
    </w:p>
    <w:p>
      <w:pPr>
        <w:pStyle w:val="Heading1"/>
      </w:pPr>
      <w:r>
        <w:t>5. Market-informed Quality Surface</w:t>
      </w:r>
    </w:p>
    <w:p>
      <w:pPr>
        <w:pStyle w:val="ListBullet"/>
      </w:pPr>
      <w:r>
        <w:t>Agentic authoring: allowlisted declarative scenarios and Playwright agents with human review.</w:t>
      </w:r>
    </w:p>
    <w:p>
      <w:pPr>
        <w:pStyle w:val="ListBullet"/>
      </w:pPr>
      <w:r>
        <w:t>AI application testing: provider-neutral evaluation contract, deterministic hard gates, and adapters for DeepEval/LangSmith/internal evaluators.</w:t>
      </w:r>
    </w:p>
    <w:p>
      <w:pPr>
        <w:pStyle w:val="ListBullet"/>
      </w:pPr>
      <w:r>
        <w:t>Accessibility: built-in smoke signal plus specialist provider/manual validation for conformance.</w:t>
      </w:r>
    </w:p>
    <w:p>
      <w:pPr>
        <w:pStyle w:val="ListBullet"/>
      </w:pPr>
      <w:r>
        <w:t>Visual: Playwright screenshot baseline with adapter boundary for Percy/Applitools/SmartUI or organization standard.</w:t>
      </w:r>
    </w:p>
    <w:p>
      <w:pPr>
        <w:pStyle w:val="ListBullet"/>
      </w:pPr>
      <w:r>
        <w:t>Performance: browser budgets for regression; integrate k6/JMeter/Gatling/managed engines for real load generation.</w:t>
      </w:r>
    </w:p>
    <w:p>
      <w:pPr>
        <w:pStyle w:val="ListBullet"/>
      </w:pPr>
      <w:r>
        <w:t>Remote devices/browsers: generic Playwright remote execution; integrate BrowserStack/TestMu AI or private grids instead of owning physical fleet.</w:t>
      </w:r>
    </w:p>
    <w:p>
      <w:pPr>
        <w:pStyle w:val="Heading1"/>
      </w:pPr>
      <w:r>
        <w:t>6. Competitive Position</w:t>
      </w:r>
    </w:p>
    <w:p>
      <w:pPr>
        <w:pStyle w:val="ListBullet"/>
      </w:pPr>
      <w:r>
        <w:t>Compete on portability, deterministic governance, data-safe parallel execution, cross-layer evidence, provider neutrality and reproducible benchmarks.</w:t>
      </w:r>
    </w:p>
    <w:p>
      <w:pPr>
        <w:pStyle w:val="ListBullet"/>
      </w:pPr>
      <w:r>
        <w:t>Do not market device-count, full WCAG conformance, SAP/native desktop or massive load generation as built-in unless those capabilities are truly implemented and benchmarked.</w:t>
      </w:r>
    </w:p>
    <w:p>
      <w:pPr>
        <w:pStyle w:val="ListBullet"/>
      </w:pPr>
      <w:r>
        <w:t>Current market research shows AI adoption is high but enterprise scaling and secure test data remain difficult; this makes governance/data architecture a stronger differentiator than simply generating more tests.</w:t>
      </w:r>
    </w:p>
    <w:p>
      <w:pPr>
        <w:pStyle w:val="Heading1"/>
      </w:pPr>
      <w:r>
        <w:t>7. Roadmap</w:t>
      </w:r>
    </w:p>
    <w:p>
      <w:pPr>
        <w:pStyle w:val="ListBullet"/>
      </w:pPr>
      <w:r>
        <w:t>P0: CycloneDX SBOM and pinned-dependency/offline release gates are implemented. Next: signed release provenance, automated license/vulnerability policy beyond npm audit, schema-versioned report contracts, and the reproducible competitive benchmark suite.</w:t>
      </w:r>
    </w:p>
    <w:p>
      <w:pPr>
        <w:pStyle w:val="ListBullet"/>
      </w:pPr>
      <w:r>
        <w:t>P1: Appium/mobile adapter, OpenAPI/AsyncAPI import, test-management adapters, DeepEval/LangSmith adapters, change-impact selection, specialist accessibility integration.</w:t>
      </w:r>
    </w:p>
    <w:p>
      <w:pPr>
        <w:pStyle w:val="ListBullet"/>
      </w:pPr>
      <w:r>
        <w:t>P2: cross-layer root-cause graph, evidence-based failure clustering/ownership routing, privacy-aware synthetic-data adapters, regulated-industry policy packs.</w:t>
      </w:r>
    </w:p>
    <w:p>
      <w:pPr>
        <w:pStyle w:val="Heading1"/>
      </w:pPr>
      <w:r>
        <w:t>8. Market Leadership Evidence Gate</w:t>
      </w:r>
    </w:p>
    <w:p>
      <w:pPr>
        <w:pStyle w:val="ListBullet"/>
      </w:pPr>
      <w:r>
        <w:t>Before comparative superiority claims, benchmark requirement-to-test authoring time, 100/500/2,000-case execution, shard imbalance, data collision rate, safe-heal false-positive rate, RCA precision/recall, evaluator calibration, provider portability, security and release reproducibility.</w:t>
      </w:r>
    </w:p>
    <w:p>
      <w:pPr>
        <w:pStyle w:val="ListBullet"/>
      </w:pPr>
      <w:r>
        <w:t>A feature becomes a claimed competitive advantage only after repeatable results across more than one representative application.</w:t>
      </w:r>
    </w:p>
    <w:p>
      <w:pPr>
        <w:pStyle w:val="Heading1"/>
      </w:pPr>
      <w:r>
        <w:t>9. Key 2026 Research Sources</w:t>
      </w:r>
    </w:p>
    <w:p>
      <w:pPr>
        <w:pStyle w:val="ListBullet"/>
      </w:pPr>
      <w:r>
        <w:t>Capgemini - World Quality Report 2025-26: https://www.capgemini.com/insights/research-library/world-quality-report-2025-26/</w:t>
      </w:r>
    </w:p>
    <w:p>
      <w:pPr>
        <w:pStyle w:val="ListBullet"/>
      </w:pPr>
      <w:r>
        <w:t>PractiTest - 2026 State of Testing: https://www.practitest.com/state-of-testing/</w:t>
      </w:r>
    </w:p>
    <w:p>
      <w:pPr>
        <w:pStyle w:val="ListBullet"/>
      </w:pPr>
      <w:r>
        <w:t>Playwright documentation - parallelism, sharding and agents: https://playwright.dev/docs/test-sharding ; https://playwright.dev/docs/test-agents</w:t>
      </w:r>
    </w:p>
    <w:p>
      <w:pPr>
        <w:pStyle w:val="ListBullet"/>
      </w:pPr>
      <w:r>
        <w:t>BrowserStack - AI Agents / Test Management: https://www.browserstack.com/automate/ai-agents ; https://www.browserstack.com/test-management</w:t>
      </w:r>
    </w:p>
    <w:p>
      <w:pPr>
        <w:pStyle w:val="ListBullet"/>
      </w:pPr>
      <w:r>
        <w:t>TestMu AI - KaneAI: https://www.testmuai.com/kane-ai/</w:t>
      </w:r>
    </w:p>
    <w:p>
      <w:pPr>
        <w:pStyle w:val="ListBullet"/>
      </w:pPr>
      <w:r>
        <w:t>DeepEval - AI Agent Evaluation Metrics: https://deepeval.com/guides/guides-ai-agent-evaluation-metrics</w:t>
      </w:r>
    </w:p>
    <w:p>
      <w:pPr>
        <w:pStyle w:val="ListBullet"/>
      </w:pPr>
      <w:r>
        <w:t>Postman - Agent Mode: https://learning.postman.com/docs/use/agent-mode/overview</w:t>
      </w:r>
    </w:p>
    <w:p>
      <w:pPr>
        <w:pStyle w:val="ListBullet"/>
      </w:pPr>
      <w:r>
        <w:t>Tricentis - Vision AI: https://docs.tricentis.com/tosca-2026.1/en-us/content/vision_ai/vision_ai_introduction.htm</w:t>
      </w:r>
    </w:p>
    <w:p>
      <w:pPr>
        <w:pStyle w:val="Heading1"/>
      </w:pPr>
      <w:r>
        <w:t>10. Final V6 Release Hardening</w:t>
      </w:r>
    </w:p>
    <w:p>
      <w:pPr>
        <w:pStyle w:val="ListBullet"/>
      </w:pPr>
      <w:r>
        <w:t>Governed CLI filtering merges user grep choices with mandatory profile/lane inclusions and exclusions so convenience flags cannot silently bypass execution policy.</w:t>
      </w:r>
    </w:p>
    <w:p>
      <w:pPr>
        <w:pStyle w:val="ListBullet"/>
      </w:pPr>
      <w:r>
        <w:t>Parallel data ownership is environment-aware and test-aware; case IDs are registered at declaration time before fixtures build dataScope.</w:t>
      </w:r>
    </w:p>
    <w:p>
      <w:pPr>
        <w:pStyle w:val="ListBullet"/>
      </w:pPr>
      <w:r>
        <w:t>Duration-history inputs are validated before optional history-based shard planning so corrupt optimization metadata cannot destabilize execution.</w:t>
      </w:r>
    </w:p>
    <w:p>
      <w:pPr>
        <w:pStyle w:val="ListBullet"/>
      </w:pPr>
      <w:r>
        <w:t>Release assurance now includes an offline structural/secret/reproducibility gate, clean-install full verification, a lockfile-derived CycloneDX SBOM, an upgrade manifest, idempotent upgrade scripts and ZIP/SHA-256 integrity evidence.</w:t>
      </w:r>
    </w:p>
    <w:p>
      <w:pPr>
        <w:pStyle w:val="ListBullet"/>
      </w:pPr>
      <w:r>
        <w:t>Competitive position remains evidence-gated: integrate device clouds, specialized accessibility and load engines instead of claiming to own infrastructure that dedicated vendors already operate at scale.</w:t>
      </w:r>
    </w:p>
    <w:p>
      <w:pPr>
        <w:pStyle w:val="Heading1"/>
      </w:pPr>
      <w:r>
        <w:t>11. Additional 2026 Market Sources</w:t>
      </w:r>
    </w:p>
    <w:p>
      <w:pPr>
        <w:pStyle w:val="ListBullet"/>
      </w:pPr>
      <w:r>
        <w:t>BrowserStack AI Agents / Test Data Generator: https://www.browserstack.com/docs/test-management/browserstack-ai and https://www.browserstack.com/docs/test-management/browserstack-ai/generate-test-datasets</w:t>
      </w:r>
    </w:p>
    <w:p>
      <w:pPr>
        <w:pStyle w:val="ListBullet"/>
      </w:pPr>
      <w:r>
        <w:t>Tricentis Tosca Cloud 2026 release notes / Agentic Test Automation: https://docs.tricentis.com/tosca-cloud/en-us/content/release_notes/release_notes.htm and https://docs.tricentis.com/tosca-2026.1/en-us/content/agentic_ai/landing_page.htm</w:t>
      </w:r>
    </w:p>
    <w:p>
      <w:pPr>
        <w:pStyle w:val="ListBullet"/>
      </w:pPr>
      <w:r>
        <w:t>Katalon TrueTest / Production Insights: https://katalon.com/truetest</w:t>
      </w:r>
    </w:p>
    <w:p>
      <w:pPr>
        <w:pStyle w:val="ListBullet"/>
      </w:pPr>
      <w:r>
        <w:t>LangSmith Evaluation / trajectory evaluation: https://docs.langchain.com/langsmith/evaluation and https://docs.langchain.com/langsmith/trajectory-evals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TestigentAI Product Architecture &amp; Scale 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