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17365D"/>
          <w:sz w:val="48"/>
        </w:rPr>
        <w:t>TestigentAI</w:t>
        <w:br/>
        <w:t>Issue, Challenge and Solution Log</w:t>
      </w:r>
    </w:p>
    <w:p>
      <w:pPr>
        <w:spacing w:after="320" w:before="0" w:line="259" w:lineRule="auto"/>
        <w:jc w:val="center"/>
      </w:pPr>
      <w:r>
        <w:rPr>
          <w:rFonts w:ascii="Aptos" w:hAnsi="Aptos"/>
          <w:b/>
          <w:color w:val="2F5597"/>
          <w:sz w:val="26"/>
        </w:rPr>
        <w:t>Intelligent Quality Engineering Platform</w:t>
      </w:r>
    </w:p>
    <w:p>
      <w:pPr>
        <w:spacing w:after="320" w:before="0" w:line="259" w:lineRule="auto"/>
        <w:jc w:val="center"/>
      </w:pPr>
      <w:r>
        <w:rPr>
          <w:rFonts w:ascii="Aptos" w:hAnsi="Aptos"/>
          <w:color w:val="555555"/>
          <w:sz w:val="20"/>
        </w:rPr>
        <w:t>Purpose: Maintain a reusable record of real framework issues, root causes, fixes, validation steps and lessons learned.</w:t>
      </w:r>
    </w:p>
    <w:tbl>
      <w:tblPr>
        <w:tblStyle w:val="TableGrid"/>
        <w:tblW w:type="auto" w:w="0"/>
        <w:jc w:val="center"/>
        <w:tblLook w:firstColumn="1" w:firstRow="1" w:lastColumn="0" w:lastRow="0" w:noHBand="0" w:noVBand="1" w:val="04A0"/>
      </w:tblPr>
      <w:tblGrid>
        <w:gridCol w:w="5112"/>
        <w:gridCol w:w="5112"/>
      </w:tblGrid>
      <w:tr>
        <w:trPr>
          <w:cantSplit/>
          <w:cantSplit/>
        </w:trPr>
        <w:tc>
          <w:tcPr>
            <w:tcW w:type="dxa" w:w="5112"/>
            <w:shd w:fill="EEF4FB"/>
            <w:tcMar>
              <w:top w:w="80" w:type="dxa"/>
              <w:start w:w="80" w:type="dxa"/>
              <w:bottom w:w="80" w:type="dxa"/>
              <w:end w:w="80" w:type="dxa"/>
            </w:tcMar>
            <w:vAlign w:val="center"/>
          </w:tcPr>
          <w:p>
            <w:pPr>
              <w:spacing w:after="0" w:before="0" w:line="259" w:lineRule="auto"/>
            </w:pPr>
            <w:r>
              <w:rPr>
                <w:rFonts w:ascii="Aptos" w:hAnsi="Aptos"/>
                <w:b/>
                <w:sz w:val="18"/>
              </w:rPr>
              <w:t>Repository</w:t>
            </w:r>
          </w:p>
        </w:tc>
        <w:tc>
          <w:tcPr>
            <w:tcW w:type="dxa" w:w="5112"/>
            <w:tcMar>
              <w:top w:w="80" w:type="dxa"/>
              <w:start w:w="80" w:type="dxa"/>
              <w:bottom w:w="80" w:type="dxa"/>
              <w:end w:w="80" w:type="dxa"/>
            </w:tcMar>
            <w:vAlign w:val="center"/>
          </w:tcPr>
          <w:p>
            <w:pPr>
              <w:spacing w:after="0" w:before="0" w:line="259" w:lineRule="auto"/>
            </w:pPr>
            <w:r>
              <w:rPr>
                <w:rFonts w:ascii="Aptos" w:hAnsi="Aptos"/>
                <w:sz w:val="18"/>
              </w:rPr>
              <w:t>~/testigent-ai</w:t>
            </w:r>
          </w:p>
        </w:tc>
      </w:tr>
      <w:tr>
        <w:trPr>
          <w:cantSplit/>
          <w:cantSplit/>
        </w:trPr>
        <w:tc>
          <w:tcPr>
            <w:tcW w:type="dxa" w:w="5112"/>
            <w:shd w:fill="EEF4FB"/>
            <w:tcMar>
              <w:top w:w="80" w:type="dxa"/>
              <w:start w:w="80" w:type="dxa"/>
              <w:bottom w:w="80" w:type="dxa"/>
              <w:end w:w="80" w:type="dxa"/>
            </w:tcMar>
            <w:vAlign w:val="center"/>
          </w:tcPr>
          <w:p>
            <w:pPr>
              <w:spacing w:after="0" w:before="0" w:line="259" w:lineRule="auto"/>
            </w:pPr>
            <w:r>
              <w:rPr>
                <w:rFonts w:ascii="Aptos" w:hAnsi="Aptos"/>
                <w:b/>
                <w:sz w:val="18"/>
              </w:rPr>
              <w:t>Primary stack</w:t>
            </w:r>
          </w:p>
        </w:tc>
        <w:tc>
          <w:tcPr>
            <w:tcW w:type="dxa" w:w="5112"/>
            <w:tcMar>
              <w:top w:w="80" w:type="dxa"/>
              <w:start w:w="80" w:type="dxa"/>
              <w:bottom w:w="80" w:type="dxa"/>
              <w:end w:w="80" w:type="dxa"/>
            </w:tcMar>
            <w:vAlign w:val="center"/>
          </w:tcPr>
          <w:p>
            <w:pPr>
              <w:spacing w:after="0" w:before="0" w:line="259" w:lineRule="auto"/>
            </w:pPr>
            <w:r>
              <w:rPr>
                <w:rFonts w:ascii="Aptos" w:hAnsi="Aptos"/>
                <w:sz w:val="18"/>
              </w:rPr>
              <w:t>Playwright + TypeScript + API + DB + AI-assisted healing/reporting</w:t>
            </w:r>
          </w:p>
        </w:tc>
      </w:tr>
      <w:tr>
        <w:trPr>
          <w:cantSplit/>
          <w:cantSplit/>
        </w:trPr>
        <w:tc>
          <w:tcPr>
            <w:tcW w:type="dxa" w:w="5112"/>
            <w:shd w:fill="EEF4FB"/>
            <w:tcMar>
              <w:top w:w="80" w:type="dxa"/>
              <w:start w:w="80" w:type="dxa"/>
              <w:bottom w:w="80" w:type="dxa"/>
              <w:end w:w="80" w:type="dxa"/>
            </w:tcMar>
            <w:vAlign w:val="center"/>
          </w:tcPr>
          <w:p>
            <w:pPr>
              <w:spacing w:after="0" w:before="0" w:line="259" w:lineRule="auto"/>
            </w:pPr>
            <w:r>
              <w:rPr>
                <w:rFonts w:ascii="Aptos" w:hAnsi="Aptos"/>
                <w:b/>
                <w:sz w:val="18"/>
              </w:rPr>
              <w:t>Local AI</w:t>
            </w:r>
          </w:p>
        </w:tc>
        <w:tc>
          <w:tcPr>
            <w:tcW w:type="dxa" w:w="5112"/>
            <w:tcMar>
              <w:top w:w="80" w:type="dxa"/>
              <w:start w:w="80" w:type="dxa"/>
              <w:bottom w:w="80" w:type="dxa"/>
              <w:end w:w="80" w:type="dxa"/>
            </w:tcMar>
            <w:vAlign w:val="center"/>
          </w:tcPr>
          <w:p>
            <w:pPr>
              <w:spacing w:after="0" w:before="0" w:line="259" w:lineRule="auto"/>
            </w:pPr>
            <w:r>
              <w:rPr>
                <w:rFonts w:ascii="Aptos" w:hAnsi="Aptos"/>
                <w:sz w:val="18"/>
              </w:rPr>
              <w:t>Ollama (local .env)</w:t>
            </w:r>
          </w:p>
        </w:tc>
      </w:tr>
      <w:tr>
        <w:trPr>
          <w:cantSplit/>
          <w:cantSplit/>
        </w:trPr>
        <w:tc>
          <w:tcPr>
            <w:tcW w:type="dxa" w:w="5112"/>
            <w:shd w:fill="EEF4FB"/>
            <w:tcMar>
              <w:top w:w="80" w:type="dxa"/>
              <w:start w:w="80" w:type="dxa"/>
              <w:bottom w:w="80" w:type="dxa"/>
              <w:end w:w="80" w:type="dxa"/>
            </w:tcMar>
            <w:vAlign w:val="center"/>
          </w:tcPr>
          <w:p>
            <w:pPr>
              <w:spacing w:after="0" w:before="0" w:line="259" w:lineRule="auto"/>
            </w:pPr>
            <w:r>
              <w:rPr>
                <w:rFonts w:ascii="Aptos" w:hAnsi="Aptos"/>
                <w:b/>
                <w:sz w:val="18"/>
              </w:rPr>
              <w:t>CI AI</w:t>
            </w:r>
          </w:p>
        </w:tc>
        <w:tc>
          <w:tcPr>
            <w:tcW w:type="dxa" w:w="5112"/>
            <w:tcMar>
              <w:top w:w="80" w:type="dxa"/>
              <w:start w:w="80" w:type="dxa"/>
              <w:bottom w:w="80" w:type="dxa"/>
              <w:end w:w="80" w:type="dxa"/>
            </w:tcMar>
            <w:vAlign w:val="center"/>
          </w:tcPr>
          <w:p>
            <w:pPr>
              <w:spacing w:after="0" w:before="0" w:line="259" w:lineRule="auto"/>
            </w:pPr>
            <w:r>
              <w:rPr>
                <w:rFonts w:ascii="Aptos" w:hAnsi="Aptos"/>
                <w:sz w:val="18"/>
              </w:rPr>
              <w:t>Gemini (GitHub Actions variables/secrets)</w:t>
            </w:r>
          </w:p>
        </w:tc>
      </w:tr>
    </w:tbl>
    <w:p>
      <w:pPr>
        <w:jc w:val="center"/>
      </w:pPr>
      <w:r>
        <w:rPr>
          <w:rFonts w:ascii="Aptos" w:hAnsi="Aptos"/>
          <w:color w:val="777777"/>
          <w:sz w:val="18"/>
        </w:rPr>
        <w:t>Updated: 11 September 2026</w:t>
      </w:r>
    </w:p>
    <w:p>
      <w:r>
        <w:br w:type="page"/>
      </w:r>
    </w:p>
    <w:p>
      <w:pPr>
        <w:pStyle w:val="Heading1"/>
      </w:pPr>
      <w:r>
        <w:t>1. How to Use This Document</w:t>
      </w:r>
    </w:p>
    <w:p>
      <w:pPr>
        <w:pStyle w:val="ListBullet"/>
      </w:pPr>
      <w:r>
        <w:t>Add a new entry whenever an issue requires investigation, a framework change, a configuration change, or a repeatable workaround.</w:t>
      </w:r>
    </w:p>
    <w:p>
      <w:pPr>
        <w:pStyle w:val="ListBullet"/>
      </w:pPr>
      <w:r>
        <w:t>Keep the symptom and root cause separate. A symptom explains what failed; the root cause explains why it failed.</w:t>
      </w:r>
    </w:p>
    <w:p>
      <w:pPr>
        <w:pStyle w:val="ListBullet"/>
      </w:pPr>
      <w:r>
        <w:t>Record the exact command or code change that fixed the issue, then record the command used to verify the fix.</w:t>
      </w:r>
    </w:p>
    <w:p>
      <w:pPr>
        <w:pStyle w:val="ListBullet"/>
      </w:pPr>
      <w:r>
        <w:t>Do not store passwords, API keys, tokens, SMTP credentials, or other secrets in this document. Store only variable names and safe examples.</w:t>
      </w:r>
    </w:p>
    <w:p>
      <w:pPr>
        <w:pStyle w:val="ListBullet"/>
      </w:pPr>
      <w:r>
        <w:t>Use status RESOLVED only when verification is complete. Use WORKAROUND or FOLLOW-UP when architecture improvement is still pending.</w:t>
      </w:r>
    </w:p>
    <w:p>
      <w:pPr>
        <w:pStyle w:val="Heading1"/>
      </w:pPr>
      <w:r>
        <w:t>2. Current Operating Model</w:t>
      </w:r>
    </w:p>
    <w:p>
      <w:r>
        <w:t>The framework intentionally separates local developer AI from CI AI, keeps database access behind a reusable abstraction, and merges technical/business reporting into a single TestigentAI reporting flow.</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cantSplit/>
        </w:trPr>
        <w:tc>
          <w:tcPr>
            <w:tcW w:type="dxa" w:w="3408"/>
            <w:shd w:fill="17365D"/>
          </w:tcPr>
          <w:p>
            <w:r>
              <w:rPr>
                <w:rFonts w:ascii="Aptos" w:hAnsi="Aptos"/>
                <w:b/>
                <w:color w:val="FFFFFF"/>
                <w:sz w:val="18"/>
              </w:rPr>
              <w:t>Area</w:t>
            </w:r>
          </w:p>
        </w:tc>
        <w:tc>
          <w:tcPr>
            <w:tcW w:type="dxa" w:w="3408"/>
            <w:shd w:fill="17365D"/>
          </w:tcPr>
          <w:p>
            <w:r>
              <w:rPr>
                <w:rFonts w:ascii="Aptos" w:hAnsi="Aptos"/>
                <w:b/>
                <w:color w:val="FFFFFF"/>
                <w:sz w:val="18"/>
              </w:rPr>
              <w:t>Local development</w:t>
            </w:r>
          </w:p>
        </w:tc>
        <w:tc>
          <w:tcPr>
            <w:tcW w:type="dxa" w:w="3408"/>
            <w:shd w:fill="17365D"/>
          </w:tcPr>
          <w:p>
            <w:r>
              <w:rPr>
                <w:rFonts w:ascii="Aptos" w:hAnsi="Aptos"/>
                <w:b/>
                <w:color w:val="FFFFFF"/>
                <w:sz w:val="18"/>
              </w:rPr>
              <w:t>GitHub Actions / CI</w:t>
            </w:r>
          </w:p>
        </w:tc>
      </w:tr>
      <w:tr>
        <w:trPr>
          <w:cantSplit/>
          <w:cantSplit/>
        </w:trPr>
        <w:tc>
          <w:tcPr>
            <w:tcW w:type="dxa" w:w="3408"/>
            <w:tcMar>
              <w:top w:w="80" w:type="dxa"/>
              <w:start w:w="80" w:type="dxa"/>
              <w:bottom w:w="80" w:type="dxa"/>
              <w:end w:w="80" w:type="dxa"/>
            </w:tcMar>
          </w:tcPr>
          <w:p>
            <w:pPr>
              <w:spacing w:after="0" w:before="0" w:line="259" w:lineRule="auto"/>
            </w:pPr>
            <w:r>
              <w:rPr>
                <w:rFonts w:ascii="Aptos" w:hAnsi="Aptos"/>
                <w:sz w:val="18"/>
              </w:rPr>
              <w:t>AI provider</w:t>
            </w:r>
          </w:p>
        </w:tc>
        <w:tc>
          <w:tcPr>
            <w:tcW w:type="dxa" w:w="3408"/>
            <w:tcMar>
              <w:top w:w="80" w:type="dxa"/>
              <w:start w:w="80" w:type="dxa"/>
              <w:bottom w:w="80" w:type="dxa"/>
              <w:end w:w="80" w:type="dxa"/>
            </w:tcMar>
          </w:tcPr>
          <w:p>
            <w:pPr>
              <w:spacing w:after="0" w:before="0" w:line="259" w:lineRule="auto"/>
            </w:pPr>
            <w:r>
              <w:rPr>
                <w:rFonts w:ascii="Aptos" w:hAnsi="Aptos"/>
                <w:sz w:val="18"/>
              </w:rPr>
              <w:t>Ollama</w:t>
            </w:r>
          </w:p>
        </w:tc>
        <w:tc>
          <w:tcPr>
            <w:tcW w:type="dxa" w:w="3408"/>
            <w:tcMar>
              <w:top w:w="80" w:type="dxa"/>
              <w:start w:w="80" w:type="dxa"/>
              <w:bottom w:w="80" w:type="dxa"/>
              <w:end w:w="80" w:type="dxa"/>
            </w:tcMar>
          </w:tcPr>
          <w:p>
            <w:pPr>
              <w:spacing w:after="0" w:before="0" w:line="259" w:lineRule="auto"/>
            </w:pPr>
            <w:r>
              <w:rPr>
                <w:rFonts w:ascii="Aptos" w:hAnsi="Aptos"/>
                <w:sz w:val="18"/>
              </w:rPr>
              <w:t>Gemini</w:t>
            </w:r>
          </w:p>
        </w:tc>
      </w:tr>
      <w:tr>
        <w:trPr>
          <w:cantSplit/>
          <w:cantSplit/>
        </w:trPr>
        <w:tc>
          <w:tcPr>
            <w:tcW w:type="dxa" w:w="3408"/>
            <w:tcMar>
              <w:top w:w="80" w:type="dxa"/>
              <w:start w:w="80" w:type="dxa"/>
              <w:bottom w:w="80" w:type="dxa"/>
              <w:end w:w="80" w:type="dxa"/>
            </w:tcMar>
          </w:tcPr>
          <w:p>
            <w:pPr>
              <w:spacing w:after="0" w:before="0" w:line="259" w:lineRule="auto"/>
            </w:pPr>
            <w:r>
              <w:rPr>
                <w:rFonts w:ascii="Aptos" w:hAnsi="Aptos"/>
                <w:sz w:val="18"/>
              </w:rPr>
              <w:t>Cloud egress</w:t>
            </w:r>
          </w:p>
        </w:tc>
        <w:tc>
          <w:tcPr>
            <w:tcW w:type="dxa" w:w="3408"/>
            <w:tcMar>
              <w:top w:w="80" w:type="dxa"/>
              <w:start w:w="80" w:type="dxa"/>
              <w:bottom w:w="80" w:type="dxa"/>
              <w:end w:w="80" w:type="dxa"/>
            </w:tcMar>
          </w:tcPr>
          <w:p>
            <w:pPr>
              <w:spacing w:after="0" w:before="0" w:line="259" w:lineRule="auto"/>
            </w:pPr>
            <w:r>
              <w:rPr>
                <w:rFonts w:ascii="Aptos" w:hAnsi="Aptos"/>
                <w:sz w:val="18"/>
              </w:rPr>
              <w:t>Disabled for local Ollama</w:t>
            </w:r>
          </w:p>
        </w:tc>
        <w:tc>
          <w:tcPr>
            <w:tcW w:type="dxa" w:w="3408"/>
            <w:tcMar>
              <w:top w:w="80" w:type="dxa"/>
              <w:start w:w="80" w:type="dxa"/>
              <w:bottom w:w="80" w:type="dxa"/>
              <w:end w:w="80" w:type="dxa"/>
            </w:tcMar>
          </w:tcPr>
          <w:p>
            <w:pPr>
              <w:spacing w:after="0" w:before="0" w:line="259" w:lineRule="auto"/>
            </w:pPr>
            <w:r>
              <w:rPr>
                <w:rFonts w:ascii="Aptos" w:hAnsi="Aptos"/>
                <w:sz w:val="18"/>
              </w:rPr>
              <w:t>Enabled only for configured cloud provider</w:t>
            </w:r>
          </w:p>
        </w:tc>
      </w:tr>
      <w:tr>
        <w:trPr>
          <w:cantSplit/>
          <w:cantSplit/>
        </w:trPr>
        <w:tc>
          <w:tcPr>
            <w:tcW w:type="dxa" w:w="3408"/>
            <w:tcMar>
              <w:top w:w="80" w:type="dxa"/>
              <w:start w:w="80" w:type="dxa"/>
              <w:bottom w:w="80" w:type="dxa"/>
              <w:end w:w="80" w:type="dxa"/>
            </w:tcMar>
          </w:tcPr>
          <w:p>
            <w:pPr>
              <w:spacing w:after="0" w:before="0" w:line="259" w:lineRule="auto"/>
            </w:pPr>
            <w:r>
              <w:rPr>
                <w:rFonts w:ascii="Aptos" w:hAnsi="Aptos"/>
                <w:sz w:val="18"/>
              </w:rPr>
              <w:t>Secrets</w:t>
            </w:r>
          </w:p>
        </w:tc>
        <w:tc>
          <w:tcPr>
            <w:tcW w:type="dxa" w:w="3408"/>
            <w:tcMar>
              <w:top w:w="80" w:type="dxa"/>
              <w:start w:w="80" w:type="dxa"/>
              <w:bottom w:w="80" w:type="dxa"/>
              <w:end w:w="80" w:type="dxa"/>
            </w:tcMar>
          </w:tcPr>
          <w:p>
            <w:pPr>
              <w:spacing w:after="0" w:before="0" w:line="259" w:lineRule="auto"/>
            </w:pPr>
            <w:r>
              <w:rPr>
                <w:rFonts w:ascii="Aptos" w:hAnsi="Aptos"/>
                <w:sz w:val="18"/>
              </w:rPr>
              <w:t>Local .env only; never commit</w:t>
            </w:r>
          </w:p>
        </w:tc>
        <w:tc>
          <w:tcPr>
            <w:tcW w:type="dxa" w:w="3408"/>
            <w:tcMar>
              <w:top w:w="80" w:type="dxa"/>
              <w:start w:w="80" w:type="dxa"/>
              <w:bottom w:w="80" w:type="dxa"/>
              <w:end w:w="80" w:type="dxa"/>
            </w:tcMar>
          </w:tcPr>
          <w:p>
            <w:pPr>
              <w:spacing w:after="0" w:before="0" w:line="259" w:lineRule="auto"/>
            </w:pPr>
            <w:r>
              <w:rPr>
                <w:rFonts w:ascii="Aptos" w:hAnsi="Aptos"/>
                <w:sz w:val="18"/>
              </w:rPr>
              <w:t>GitHub Actions Secrets</w:t>
            </w:r>
          </w:p>
        </w:tc>
      </w:tr>
      <w:tr>
        <w:trPr>
          <w:cantSplit/>
          <w:cantSplit/>
        </w:trPr>
        <w:tc>
          <w:tcPr>
            <w:tcW w:type="dxa" w:w="3408"/>
            <w:tcMar>
              <w:top w:w="80" w:type="dxa"/>
              <w:start w:w="80" w:type="dxa"/>
              <w:bottom w:w="80" w:type="dxa"/>
              <w:end w:w="80" w:type="dxa"/>
            </w:tcMar>
          </w:tcPr>
          <w:p>
            <w:pPr>
              <w:spacing w:after="0" w:before="0" w:line="259" w:lineRule="auto"/>
            </w:pPr>
            <w:r>
              <w:rPr>
                <w:rFonts w:ascii="Aptos" w:hAnsi="Aptos"/>
                <w:sz w:val="18"/>
              </w:rPr>
              <w:t>Project selection</w:t>
            </w:r>
          </w:p>
        </w:tc>
        <w:tc>
          <w:tcPr>
            <w:tcW w:type="dxa" w:w="3408"/>
            <w:tcMar>
              <w:top w:w="80" w:type="dxa"/>
              <w:start w:w="80" w:type="dxa"/>
              <w:bottom w:w="80" w:type="dxa"/>
              <w:end w:w="80" w:type="dxa"/>
            </w:tcMar>
          </w:tcPr>
          <w:p>
            <w:pPr>
              <w:spacing w:after="0" w:before="0" w:line="259" w:lineRule="auto"/>
            </w:pPr>
            <w:r>
              <w:rPr>
                <w:rFonts w:ascii="Aptos" w:hAnsi="Aptos"/>
                <w:sz w:val="18"/>
              </w:rPr>
              <w:t>APP + ENV from local .env/CLI</w:t>
            </w:r>
          </w:p>
        </w:tc>
        <w:tc>
          <w:tcPr>
            <w:tcW w:type="dxa" w:w="3408"/>
            <w:tcMar>
              <w:top w:w="80" w:type="dxa"/>
              <w:start w:w="80" w:type="dxa"/>
              <w:bottom w:w="80" w:type="dxa"/>
              <w:end w:w="80" w:type="dxa"/>
            </w:tcMar>
          </w:tcPr>
          <w:p>
            <w:pPr>
              <w:spacing w:after="0" w:before="0" w:line="259" w:lineRule="auto"/>
            </w:pPr>
            <w:r>
              <w:rPr>
                <w:rFonts w:ascii="Aptos" w:hAnsi="Aptos"/>
                <w:sz w:val="18"/>
              </w:rPr>
              <w:t>workflow inputs and repository variables</w:t>
            </w:r>
          </w:p>
        </w:tc>
      </w:tr>
      <w:tr>
        <w:trPr>
          <w:cantSplit/>
          <w:cantSplit/>
        </w:trPr>
        <w:tc>
          <w:tcPr>
            <w:tcW w:type="dxa" w:w="3408"/>
            <w:tcMar>
              <w:top w:w="80" w:type="dxa"/>
              <w:start w:w="80" w:type="dxa"/>
              <w:bottom w:w="80" w:type="dxa"/>
              <w:end w:w="80" w:type="dxa"/>
            </w:tcMar>
          </w:tcPr>
          <w:p>
            <w:pPr>
              <w:spacing w:after="0" w:before="0" w:line="259" w:lineRule="auto"/>
            </w:pPr>
            <w:r>
              <w:rPr>
                <w:rFonts w:ascii="Aptos" w:hAnsi="Aptos"/>
                <w:sz w:val="18"/>
              </w:rPr>
              <w:t>Database</w:t>
            </w:r>
          </w:p>
        </w:tc>
        <w:tc>
          <w:tcPr>
            <w:tcW w:type="dxa" w:w="3408"/>
            <w:tcMar>
              <w:top w:w="80" w:type="dxa"/>
              <w:start w:w="80" w:type="dxa"/>
              <w:bottom w:w="80" w:type="dxa"/>
              <w:end w:w="80" w:type="dxa"/>
            </w:tcMar>
          </w:tcPr>
          <w:p>
            <w:pPr>
              <w:spacing w:after="0" w:before="0" w:line="259" w:lineRule="auto"/>
            </w:pPr>
            <w:r>
              <w:rPr>
                <w:rFonts w:ascii="Aptos" w:hAnsi="Aptos"/>
                <w:sz w:val="18"/>
              </w:rPr>
              <w:t>Docker-hosted PostgreSQL via framework db fixture</w:t>
            </w:r>
          </w:p>
        </w:tc>
        <w:tc>
          <w:tcPr>
            <w:tcW w:type="dxa" w:w="3408"/>
            <w:tcMar>
              <w:top w:w="80" w:type="dxa"/>
              <w:start w:w="80" w:type="dxa"/>
              <w:bottom w:w="80" w:type="dxa"/>
              <w:end w:w="80" w:type="dxa"/>
            </w:tcMar>
          </w:tcPr>
          <w:p>
            <w:pPr>
              <w:spacing w:after="0" w:before="0" w:line="259" w:lineRule="auto"/>
            </w:pPr>
            <w:r>
              <w:rPr>
                <w:rFonts w:ascii="Aptos" w:hAnsi="Aptos"/>
                <w:sz w:val="18"/>
              </w:rPr>
              <w:t>Environment-specific; only when configured</w:t>
            </w:r>
          </w:p>
        </w:tc>
      </w:tr>
    </w:tbl>
    <w:p>
      <w:pPr>
        <w:pStyle w:val="Heading1"/>
      </w:pPr>
      <w:r>
        <w:t>3. Issue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cantSplit/>
        </w:trPr>
        <w:tc>
          <w:tcPr>
            <w:tcW w:type="dxa" w:w="2556"/>
            <w:shd w:fill="17365D"/>
          </w:tcPr>
          <w:p>
            <w:r>
              <w:rPr>
                <w:rFonts w:ascii="Aptos" w:hAnsi="Aptos"/>
                <w:b/>
                <w:color w:val="FFFFFF"/>
                <w:sz w:val="17"/>
              </w:rPr>
              <w:t>ID</w:t>
            </w:r>
          </w:p>
        </w:tc>
        <w:tc>
          <w:tcPr>
            <w:tcW w:type="dxa" w:w="2556"/>
            <w:shd w:fill="17365D"/>
          </w:tcPr>
          <w:p>
            <w:r>
              <w:rPr>
                <w:rFonts w:ascii="Aptos" w:hAnsi="Aptos"/>
                <w:b/>
                <w:color w:val="FFFFFF"/>
                <w:sz w:val="17"/>
              </w:rPr>
              <w:t>Area</w:t>
            </w:r>
          </w:p>
        </w:tc>
        <w:tc>
          <w:tcPr>
            <w:tcW w:type="dxa" w:w="2556"/>
            <w:shd w:fill="17365D"/>
          </w:tcPr>
          <w:p>
            <w:r>
              <w:rPr>
                <w:rFonts w:ascii="Aptos" w:hAnsi="Aptos"/>
                <w:b/>
                <w:color w:val="FFFFFF"/>
                <w:sz w:val="17"/>
              </w:rPr>
              <w:t>Challenge / Symptom</w:t>
            </w:r>
          </w:p>
        </w:tc>
        <w:tc>
          <w:tcPr>
            <w:tcW w:type="dxa" w:w="2556"/>
            <w:shd w:fill="17365D"/>
          </w:tcPr>
          <w:p>
            <w:r>
              <w:rPr>
                <w:rFonts w:ascii="Aptos" w:hAnsi="Aptos"/>
                <w:b/>
                <w:color w:val="FFFFFF"/>
                <w:sz w:val="17"/>
              </w:rPr>
              <w:t>Status</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TIG-001</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Auth / Playwright</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Missing storage-state file blocked project tests</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TIG-002</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Project runner</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.env values were not loaded by test-project.ts</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TIG-003</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Release validation</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Backup folder inside repo broke release:static</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TIG-004</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Reporting</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Dashboard filters / print / test-step details had defects</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TIG-005</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Reporting</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attachments possibly undefined TypeScript error</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TIG-006</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AI provider</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Provider errors were swallowed as no-result/provider=none</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TIG-007</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CI AI</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Provider was not resolved in GitHub Actions</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TIG-008</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Gemini</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Generation endpoint timed out</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TIG-009</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Gemini</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HTTP 503 UNAVAILABLE in CI</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 WITH RETRY</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TIG-010</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Gemini quota</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HTTP 429 RESOURCE_EXHAUSTED</w:t>
            </w:r>
          </w:p>
        </w:tc>
        <w:tc>
          <w:tcPr>
            <w:tcW w:type="dxa" w:w="2556"/>
            <w:tcMar>
              <w:top w:w="60" w:type="dxa"/>
              <w:start w:w="60" w:type="dxa"/>
              <w:bottom w:w="60" w:type="dxa"/>
              <w:end w:w="60" w:type="dxa"/>
            </w:tcMar>
            <w:vAlign w:val="top"/>
            <w:shd w:fill="FFF2CC"/>
          </w:tcPr>
          <w:p>
            <w:pPr>
              <w:spacing w:after="0" w:before="0" w:line="240" w:lineRule="auto"/>
            </w:pPr>
            <w:r>
              <w:rPr>
                <w:rFonts w:ascii="Aptos" w:hAnsi="Aptos"/>
                <w:sz w:val="18"/>
              </w:rPr>
              <w:t>MITIGATED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TIG-011</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Reporting</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9 demo tests discovered but only 4 executed</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EXPECTED / EXPLAINED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TIG-012</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Reporting patch</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v5 compile errors and incomplete skip persistence</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 v5.1</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TIG-013</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CLI usage</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npm ENOENT when commands ran from patch bundle</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TIG-014</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Database API</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db.query result treated as pg result.rows</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TIG-015</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SDET DB test</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DB-only test blocked by required auth state</w:t>
            </w:r>
          </w:p>
        </w:tc>
        <w:tc>
          <w:tcPr>
            <w:tcW w:type="dxa" w:w="2556"/>
            <w:tcMar>
              <w:top w:w="60" w:type="dxa"/>
              <w:start w:w="60" w:type="dxa"/>
              <w:bottom w:w="60" w:type="dxa"/>
              <w:end w:w="60" w:type="dxa"/>
            </w:tcMar>
            <w:vAlign w:val="top"/>
            <w:shd w:fill="FFF2CC"/>
          </w:tcPr>
          <w:p>
            <w:r>
              <w:t>RESOLVED V6</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TIG-016</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Docker / PostgreSQL</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ECONNREFUSED 127.0.0.1:5432</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TIG-017</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Cleanup</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Need to remove generated files without deleting state</w:t>
            </w:r>
          </w:p>
        </w:tc>
        <w:tc>
          <w:tcPr>
            <w:tcW w:type="dxa" w:w="2556"/>
            <w:tcMar>
              <w:top w:w="60" w:type="dxa"/>
              <w:start w:w="60" w:type="dxa"/>
              <w:bottom w:w="60" w:type="dxa"/>
              <w:end w:w="60" w:type="dxa"/>
            </w:tcMar>
            <w:vAlign w:val="top"/>
            <w:shd w:fill="E2F0D9"/>
          </w:tcPr>
          <w:p>
            <w:pPr>
              <w:spacing w:after="0" w:before="0" w:line="240" w:lineRule="auto"/>
            </w:pPr>
            <w:r>
              <w:rPr>
                <w:rFonts w:ascii="Aptos" w:hAnsi="Aptos"/>
                <w:sz w:val="18"/>
              </w:rPr>
              <w:t>RESOLVED</w:t>
            </w:r>
          </w:p>
        </w:tc>
      </w:tr>
      <w:tr>
        <w:trPr>
          <w:cantSplit/>
          <w:cantSplit/>
        </w:trPr>
        <w:tc>
          <w:tcPr>
            <w:tcW w:type="dxa" w:w="2556"/>
            <w:tcMar>
              <w:top w:w="60" w:type="dxa"/>
              <w:start w:w="60" w:type="dxa"/>
              <w:bottom w:w="60" w:type="dxa"/>
              <w:end w:w="60" w:type="dxa"/>
            </w:tcMar>
            <w:vAlign w:val="top"/>
          </w:tcPr>
          <w:p>
            <w:pPr>
              <w:spacing w:after="0" w:before="0" w:line="240" w:lineRule="auto"/>
            </w:pPr>
            <w:r>
              <w:rPr>
                <w:rFonts w:ascii="Aptos" w:hAnsi="Aptos"/>
                <w:sz w:val="18"/>
              </w:rPr>
              <w:t>APP-001</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SDET Practice app</w:t>
            </w:r>
          </w:p>
        </w:tc>
        <w:tc>
          <w:tcPr>
            <w:tcW w:type="dxa" w:w="2556"/>
            <w:tcMar>
              <w:top w:w="60" w:type="dxa"/>
              <w:start w:w="60" w:type="dxa"/>
              <w:bottom w:w="60" w:type="dxa"/>
              <w:end w:w="60" w:type="dxa"/>
            </w:tcMar>
            <w:vAlign w:val="top"/>
          </w:tcPr>
          <w:p>
            <w:pPr>
              <w:spacing w:after="0" w:before="0" w:line="240" w:lineRule="auto"/>
            </w:pPr>
            <w:r>
              <w:rPr>
                <w:rFonts w:ascii="Aptos" w:hAnsi="Aptos"/>
                <w:sz w:val="18"/>
              </w:rPr>
              <w:t>Delete action does not remove selected user</w:t>
            </w:r>
          </w:p>
        </w:tc>
        <w:tc>
          <w:tcPr>
            <w:tcW w:type="dxa" w:w="2556"/>
            <w:tcMar>
              <w:top w:w="60" w:type="dxa"/>
              <w:start w:w="60" w:type="dxa"/>
              <w:bottom w:w="60" w:type="dxa"/>
              <w:end w:w="60" w:type="dxa"/>
            </w:tcMar>
            <w:vAlign w:val="top"/>
            <w:shd w:fill="FCE4D6"/>
          </w:tcPr>
          <w:p>
            <w:pPr>
              <w:spacing w:after="0" w:before="0" w:line="240" w:lineRule="auto"/>
            </w:pPr>
            <w:r>
              <w:rPr>
                <w:rFonts w:ascii="Aptos" w:hAnsi="Aptos"/>
                <w:sz w:val="18"/>
              </w:rPr>
              <w:t>KNOWN APPLICATION DEFECT</w:t>
            </w:r>
          </w:p>
        </w:tc>
      </w:tr>
    </w:tbl>
    <w:p>
      <w:pPr>
        <w:pStyle w:val="Heading1"/>
      </w:pPr>
      <w:r>
        <w:t>4. Detailed Issue Records</w:t>
      </w:r>
    </w:p>
    <w:p>
      <w:pPr>
        <w:pStyle w:val="Heading2"/>
      </w:pPr>
      <w:r>
        <w:t>TIG-001 - Missing Playwright Authentication State</w:t>
      </w:r>
    </w:p>
    <w:p>
      <w:r>
        <w:rPr>
          <w:rFonts w:ascii="Aptos" w:hAnsi="Aptos"/>
          <w:b/>
          <w:color w:val="2F5597"/>
          <w:sz w:val="18"/>
        </w:rPr>
        <w:t>Area: Authentication / project bootstrap    Status: RESOLVED</w:t>
      </w:r>
    </w:p>
    <w:p>
      <w:pPr>
        <w:spacing w:after="60" w:before="0" w:line="259" w:lineRule="auto"/>
      </w:pPr>
      <w:r>
        <w:rPr>
          <w:b/>
        </w:rPr>
        <w:t xml:space="preserve">Symptom: </w:t>
      </w:r>
      <w:r>
        <w:t>SDET Practice execution failed because the configured storage-state file did not exist.</w:t>
      </w:r>
    </w:p>
    <w:p>
      <w:pPr>
        <w:spacing w:after="60" w:before="0" w:line="259" w:lineRule="auto"/>
      </w:pPr>
      <w:r>
        <w:rPr>
          <w:b/>
        </w:rPr>
        <w:t xml:space="preserve">Root cause: </w:t>
      </w:r>
      <w:r>
        <w:t>The project expected an authenticated storage-state artifact before tests could start.</w:t>
      </w:r>
    </w:p>
    <w:p>
      <w:pPr>
        <w:spacing w:after="60" w:before="0" w:line="259" w:lineRule="auto"/>
      </w:pPr>
      <w:r>
        <w:rPr>
          <w:b/>
        </w:rPr>
        <w:t xml:space="preserve">Solution: </w:t>
      </w:r>
      <w:r>
        <w:t>Generate project authentication state through the framework auth command. Earlier debugging also used PW_STORAGE_STATE="" only as a temporary bypass when the test did not need auth.</w:t>
      </w:r>
    </w:p>
    <w:p>
      <w:pPr>
        <w:spacing w:after="20" w:before="0" w:line="259" w:lineRule="auto"/>
      </w:pPr>
      <w:r>
        <w:rPr>
          <w:b/>
        </w:rPr>
        <w:t>Verification</w:t>
      </w:r>
    </w:p>
    <w:p>
      <w:pPr>
        <w:pStyle w:val="CodeBlock"/>
      </w:pPr>
      <w:r>
        <w:t>APP=sdet-practice ENV=qa APPLICATION_EXPLORATION_ENABLED=true npm run app:auth</w:t>
      </w:r>
    </w:p>
    <w:p>
      <w:pPr>
        <w:pStyle w:val="CodeBlock"/>
      </w:pPr>
      <w:r>
        <w:t>ls -l .auth/sdet-practice.exploration.json</w:t>
      </w:r>
    </w:p>
    <w:p>
      <w:pPr>
        <w:spacing w:after="100" w:before="0" w:line="259" w:lineRule="auto"/>
      </w:pPr>
      <w:r>
        <w:rPr>
          <w:b/>
        </w:rPr>
        <w:t xml:space="preserve">Lesson learned: </w:t>
      </w:r>
      <w:r>
        <w:t>Authentication state is environment/project setup, not test logic. Keep it generated and managed by the framework.</w:t>
      </w:r>
    </w:p>
    <w:p>
      <w:pPr>
        <w:pStyle w:val="Heading2"/>
      </w:pPr>
      <w:r>
        <w:t>TIG-002 - .env Not Loaded by Project Runner</w:t>
      </w:r>
    </w:p>
    <w:p>
      <w:r>
        <w:rPr>
          <w:rFonts w:ascii="Aptos" w:hAnsi="Aptos"/>
          <w:b/>
          <w:color w:val="2F5597"/>
          <w:sz w:val="18"/>
        </w:rPr>
        <w:t>Area: Configuration    Status: RESOLVED</w:t>
      </w:r>
    </w:p>
    <w:p>
      <w:pPr>
        <w:spacing w:after="60" w:before="0" w:line="259" w:lineRule="auto"/>
      </w:pPr>
      <w:r>
        <w:rPr>
          <w:b/>
        </w:rPr>
        <w:t xml:space="preserve">Symptom: </w:t>
      </w:r>
      <w:r>
        <w:t>npm run test:ai-healing reported "APP is required" even though APP and ENV existed in .env.</w:t>
      </w:r>
    </w:p>
    <w:p>
      <w:pPr>
        <w:spacing w:after="60" w:before="0" w:line="259" w:lineRule="auto"/>
      </w:pPr>
      <w:r>
        <w:rPr>
          <w:b/>
        </w:rPr>
        <w:t xml:space="preserve">Root cause: </w:t>
      </w:r>
      <w:r>
        <w:t>scripts/test-project.ts did not load dotenv before resolving application configuration.</w:t>
      </w:r>
    </w:p>
    <w:p>
      <w:pPr>
        <w:spacing w:after="60" w:before="0" w:line="259" w:lineRule="auto"/>
      </w:pPr>
      <w:r>
        <w:rPr>
          <w:b/>
        </w:rPr>
        <w:t xml:space="preserve">Solution: </w:t>
      </w:r>
      <w:r>
        <w:t>Added import 'dotenv/config'; at the top of scripts/test-project.ts.</w:t>
      </w:r>
    </w:p>
    <w:p>
      <w:pPr>
        <w:spacing w:after="20" w:before="0" w:line="259" w:lineRule="auto"/>
      </w:pPr>
      <w:r>
        <w:rPr>
          <w:b/>
        </w:rPr>
        <w:t>Verification</w:t>
      </w:r>
    </w:p>
    <w:p>
      <w:pPr>
        <w:pStyle w:val="CodeBlock"/>
      </w:pPr>
      <w:r>
        <w:t>APP=demo ENV=qa npm run test:project -- --project=chromium --list</w:t>
      </w:r>
    </w:p>
    <w:p>
      <w:pPr>
        <w:spacing w:after="100" w:before="0" w:line="259" w:lineRule="auto"/>
      </w:pPr>
      <w:r>
        <w:rPr>
          <w:b/>
        </w:rPr>
        <w:t xml:space="preserve">Lesson learned: </w:t>
      </w:r>
      <w:r>
        <w:t>Every CLI entry point that relies on local environment files must load configuration consistently and early.</w:t>
      </w:r>
    </w:p>
    <w:p>
      <w:pPr>
        <w:pStyle w:val="Heading2"/>
      </w:pPr>
      <w:r>
        <w:t>TIG-003 - Backup Folder Broke Static Release Validation</w:t>
      </w:r>
    </w:p>
    <w:p>
      <w:r>
        <w:rPr>
          <w:rFonts w:ascii="Aptos" w:hAnsi="Aptos"/>
          <w:b/>
          <w:color w:val="2F5597"/>
          <w:sz w:val="18"/>
        </w:rPr>
        <w:t>Area: Release / repository hygiene    Status: RESOLVED</w:t>
      </w:r>
    </w:p>
    <w:p>
      <w:pPr>
        <w:spacing w:after="60" w:before="0" w:line="259" w:lineRule="auto"/>
      </w:pPr>
      <w:r>
        <w:rPr>
          <w:b/>
        </w:rPr>
        <w:t xml:space="preserve">Symptom: </w:t>
      </w:r>
      <w:r>
        <w:t>release:static failed with obsolete release path and unresolved imports under .upgrade-backup.</w:t>
      </w:r>
    </w:p>
    <w:p>
      <w:pPr>
        <w:spacing w:after="60" w:before="0" w:line="259" w:lineRule="auto"/>
      </w:pPr>
      <w:r>
        <w:rPr>
          <w:b/>
        </w:rPr>
        <w:t xml:space="preserve">Root cause: </w:t>
      </w:r>
      <w:r>
        <w:t>A patch script created its backup inside the repository, so static scanners treated copied source as active code.</w:t>
      </w:r>
    </w:p>
    <w:p>
      <w:pPr>
        <w:spacing w:after="60" w:before="0" w:line="259" w:lineRule="auto"/>
      </w:pPr>
      <w:r>
        <w:rPr>
          <w:b/>
        </w:rPr>
        <w:t xml:space="preserve">Solution: </w:t>
      </w:r>
      <w:r>
        <w:t>Move patch backups outside the repository and make future apply scripts write to ~/testigent-ai-upgrade-backups/.</w:t>
      </w:r>
    </w:p>
    <w:p>
      <w:pPr>
        <w:spacing w:after="20" w:before="0" w:line="259" w:lineRule="auto"/>
      </w:pPr>
      <w:r>
        <w:rPr>
          <w:b/>
        </w:rPr>
        <w:t>Verification</w:t>
      </w:r>
    </w:p>
    <w:p>
      <w:pPr>
        <w:pStyle w:val="CodeBlock"/>
      </w:pPr>
      <w:r>
        <w:t>mkdir -p ~/testigent-ai-upgrade-backups</w:t>
      </w:r>
    </w:p>
    <w:p>
      <w:pPr>
        <w:pStyle w:val="CodeBlock"/>
      </w:pPr>
      <w:r>
        <w:t>npm run release:static</w:t>
      </w:r>
    </w:p>
    <w:p>
      <w:pPr>
        <w:spacing w:after="100" w:before="0" w:line="259" w:lineRule="auto"/>
      </w:pPr>
      <w:r>
        <w:rPr>
          <w:b/>
        </w:rPr>
        <w:t xml:space="preserve">Lesson learned: </w:t>
      </w:r>
      <w:r>
        <w:t>Never place full source backups inside a repository that uses architecture/static scans.</w:t>
      </w:r>
    </w:p>
    <w:p>
      <w:pPr>
        <w:pStyle w:val="Heading2"/>
      </w:pPr>
      <w:r>
        <w:t>TIG-004 - Business Dashboard Interaction Defects</w:t>
      </w:r>
    </w:p>
    <w:p>
      <w:r>
        <w:rPr>
          <w:rFonts w:ascii="Aptos" w:hAnsi="Aptos"/>
          <w:b/>
          <w:color w:val="2F5597"/>
          <w:sz w:val="18"/>
        </w:rPr>
        <w:t>Area: Reporting / dashboard    Status: RESOLVED</w:t>
      </w:r>
    </w:p>
    <w:p>
      <w:pPr>
        <w:spacing w:after="60" w:before="0" w:line="259" w:lineRule="auto"/>
      </w:pPr>
      <w:r>
        <w:rPr>
          <w:b/>
        </w:rPr>
        <w:t xml:space="preserve">Symptom: </w:t>
      </w:r>
      <w:r>
        <w:t>Filters, print/PDF controls and test-step details were not working as expected; the execution-status graph was missing from print/PDF output.</w:t>
      </w:r>
    </w:p>
    <w:p>
      <w:pPr>
        <w:spacing w:after="60" w:before="0" w:line="259" w:lineRule="auto"/>
      </w:pPr>
      <w:r>
        <w:rPr>
          <w:b/>
        </w:rPr>
        <w:t xml:space="preserve">Root cause: </w:t>
      </w:r>
      <w:r>
        <w:t>Dashboard rendering and browser interaction logic needed correction so the same facts remained usable interactively and in printed output.</w:t>
      </w:r>
    </w:p>
    <w:p>
      <w:pPr>
        <w:spacing w:after="60" w:before="0" w:line="259" w:lineRule="auto"/>
      </w:pPr>
      <w:r>
        <w:rPr>
          <w:b/>
        </w:rPr>
        <w:t xml:space="preserve">Solution: </w:t>
      </w:r>
      <w:r>
        <w:t>Updated dashboard renderer/interaction logic and validated filters, buttons, graphs, print output and step details in a real browser.</w:t>
      </w:r>
    </w:p>
    <w:p>
      <w:pPr>
        <w:spacing w:after="20" w:before="0" w:line="259" w:lineRule="auto"/>
      </w:pPr>
      <w:r>
        <w:rPr>
          <w:b/>
        </w:rPr>
        <w:t>Verification</w:t>
      </w:r>
    </w:p>
    <w:p>
      <w:pPr>
        <w:pStyle w:val="CodeBlock"/>
      </w:pPr>
      <w:r>
        <w:t>npm run test:framework:critical</w:t>
      </w:r>
    </w:p>
    <w:p>
      <w:pPr>
        <w:pStyle w:val="CodeBlock"/>
      </w:pPr>
      <w:r>
        <w:t>npm run validate:final</w:t>
      </w:r>
    </w:p>
    <w:p>
      <w:pPr>
        <w:spacing w:after="100" w:before="0" w:line="259" w:lineRule="auto"/>
      </w:pPr>
      <w:r>
        <w:rPr>
          <w:b/>
        </w:rPr>
        <w:t xml:space="preserve">Lesson learned: </w:t>
      </w:r>
      <w:r>
        <w:t>Business reporting should be tested as a real user interface, not only by checking generated HTML strings.</w:t>
      </w:r>
    </w:p>
    <w:p>
      <w:pPr>
        <w:pStyle w:val="Heading2"/>
      </w:pPr>
      <w:r>
        <w:t>TIG-005 - Optional Attachments TypeScript Error</w:t>
      </w:r>
    </w:p>
    <w:p>
      <w:r>
        <w:rPr>
          <w:rFonts w:ascii="Aptos" w:hAnsi="Aptos"/>
          <w:b/>
          <w:color w:val="2F5597"/>
          <w:sz w:val="18"/>
        </w:rPr>
        <w:t>Area: Reporting / TypeScript    Status: RESOLVED</w:t>
      </w:r>
    </w:p>
    <w:p>
      <w:pPr>
        <w:spacing w:after="60" w:before="0" w:line="259" w:lineRule="auto"/>
      </w:pPr>
      <w:r>
        <w:rPr>
          <w:b/>
        </w:rPr>
        <w:t xml:space="preserve">Symptom: </w:t>
      </w:r>
      <w:r>
        <w:t>TypeScript reported: 'result.attachments' is possibly 'undefined'.</w:t>
      </w:r>
    </w:p>
    <w:p>
      <w:pPr>
        <w:spacing w:after="60" w:before="0" w:line="259" w:lineRule="auto"/>
      </w:pPr>
      <w:r>
        <w:rPr>
          <w:b/>
        </w:rPr>
        <w:t xml:space="preserve">Root cause: </w:t>
      </w:r>
      <w:r>
        <w:t>Reporter code mapped attachments without guarding the optional field.</w:t>
      </w:r>
    </w:p>
    <w:p>
      <w:pPr>
        <w:spacing w:after="60" w:before="0" w:line="259" w:lineRule="auto"/>
      </w:pPr>
      <w:r>
        <w:rPr>
          <w:b/>
        </w:rPr>
        <w:t xml:space="preserve">Solution: </w:t>
      </w:r>
      <w:r>
        <w:t>Guarded the optional collection before rendering evidence items.</w:t>
      </w:r>
    </w:p>
    <w:p>
      <w:pPr>
        <w:spacing w:after="20" w:before="0" w:line="259" w:lineRule="auto"/>
      </w:pPr>
      <w:r>
        <w:rPr>
          <w:b/>
        </w:rPr>
        <w:t>Verification</w:t>
      </w:r>
    </w:p>
    <w:p>
      <w:pPr>
        <w:pStyle w:val="CodeBlock"/>
      </w:pPr>
      <w:r>
        <w:t>npm run typecheck</w:t>
      </w:r>
    </w:p>
    <w:p>
      <w:pPr>
        <w:spacing w:after="100" w:before="0" w:line="259" w:lineRule="auto"/>
      </w:pPr>
      <w:r>
        <w:rPr>
          <w:b/>
        </w:rPr>
        <w:t xml:space="preserve">Lesson learned: </w:t>
      </w:r>
      <w:r>
        <w:t>Reporter models often contain optional evidence. Renderers must handle absent optional arrays safely.</w:t>
      </w:r>
    </w:p>
    <w:p>
      <w:pPr>
        <w:pStyle w:val="Heading2"/>
      </w:pPr>
      <w:r>
        <w:t>TIG-006 - AI Errors Hidden as no-result</w:t>
      </w:r>
    </w:p>
    <w:p>
      <w:r>
        <w:rPr>
          <w:rFonts w:ascii="Aptos" w:hAnsi="Aptos"/>
          <w:b/>
          <w:color w:val="2F5597"/>
          <w:sz w:val="18"/>
        </w:rPr>
        <w:t>Area: AI gateway / observability    Status: RESOLVED</w:t>
      </w:r>
    </w:p>
    <w:p>
      <w:pPr>
        <w:spacing w:after="60" w:before="0" w:line="259" w:lineRule="auto"/>
      </w:pPr>
      <w:r>
        <w:rPr>
          <w:b/>
        </w:rPr>
        <w:t xml:space="preserve">Symptom: </w:t>
      </w:r>
      <w:r>
        <w:t>Gemini failures appeared as status=no-result provider=none model=n/a, hiding the real provider failure.</w:t>
      </w:r>
    </w:p>
    <w:p>
      <w:pPr>
        <w:spacing w:after="60" w:before="0" w:line="259" w:lineRule="auto"/>
      </w:pPr>
      <w:r>
        <w:rPr>
          <w:b/>
        </w:rPr>
        <w:t xml:space="preserve">Root cause: </w:t>
      </w:r>
      <w:r>
        <w:t>The Gemini provider swallowed non-OK responses/exceptions and returned undefined; gateway audit therefore lost provider/model/error context.</w:t>
      </w:r>
    </w:p>
    <w:p>
      <w:pPr>
        <w:spacing w:after="60" w:before="0" w:line="259" w:lineRule="auto"/>
      </w:pPr>
      <w:r>
        <w:rPr>
          <w:b/>
        </w:rPr>
        <w:t xml:space="preserve">Solution: </w:t>
      </w:r>
      <w:r>
        <w:t>Introduced a vendor-neutral AiProviderError and preserved safe provider, model, kind and HTTP status in gateway audit/error handling.</w:t>
      </w:r>
    </w:p>
    <w:p>
      <w:pPr>
        <w:spacing w:after="20" w:before="0" w:line="259" w:lineRule="auto"/>
      </w:pPr>
      <w:r>
        <w:rPr>
          <w:b/>
        </w:rPr>
        <w:t>Verification</w:t>
      </w:r>
    </w:p>
    <w:p>
      <w:pPr>
        <w:pStyle w:val="CodeBlock"/>
      </w:pPr>
      <w:r>
        <w:t>npm run ai:check</w:t>
      </w:r>
    </w:p>
    <w:p>
      <w:pPr>
        <w:pStyle w:val="CodeBlock"/>
      </w:pPr>
      <w:r>
        <w:t>npm run test:ai-healing</w:t>
      </w:r>
    </w:p>
    <w:p>
      <w:pPr>
        <w:spacing w:after="100" w:before="0" w:line="259" w:lineRule="auto"/>
      </w:pPr>
      <w:r>
        <w:rPr>
          <w:b/>
        </w:rPr>
        <w:t xml:space="preserve">Lesson learned: </w:t>
      </w:r>
      <w:r>
        <w:t>AI failures must be attributable without logging prompts, keys, raw DOM snapshots, or model responses.</w:t>
      </w:r>
    </w:p>
    <w:p>
      <w:pPr>
        <w:pStyle w:val="Heading2"/>
      </w:pPr>
      <w:r>
        <w:t>TIG-007 - AI Provider Not Resolved in GitHub Actions</w:t>
      </w:r>
    </w:p>
    <w:p>
      <w:r>
        <w:rPr>
          <w:rFonts w:ascii="Aptos" w:hAnsi="Aptos"/>
          <w:b/>
          <w:color w:val="2F5597"/>
          <w:sz w:val="18"/>
        </w:rPr>
        <w:t>Area: CI configuration    Status: RESOLVED</w:t>
      </w:r>
    </w:p>
    <w:p>
      <w:pPr>
        <w:spacing w:after="60" w:before="0" w:line="259" w:lineRule="auto"/>
      </w:pPr>
      <w:r>
        <w:rPr>
          <w:b/>
        </w:rPr>
        <w:t xml:space="preserve">Symptom: </w:t>
      </w:r>
      <w:r>
        <w:t>AI healing CI failed before calling Gemini because no configured provider resolved.</w:t>
      </w:r>
    </w:p>
    <w:p>
      <w:pPr>
        <w:spacing w:after="60" w:before="0" w:line="259" w:lineRule="auto"/>
      </w:pPr>
      <w:r>
        <w:rPr>
          <w:b/>
        </w:rPr>
        <w:t xml:space="preserve">Root cause: </w:t>
      </w:r>
      <w:r>
        <w:t>Required GitHub runtime variables were not reliably present/defaulted in the AI job.</w:t>
      </w:r>
    </w:p>
    <w:p>
      <w:pPr>
        <w:spacing w:after="60" w:before="0" w:line="259" w:lineRule="auto"/>
      </w:pPr>
      <w:r>
        <w:rPr>
          <w:b/>
        </w:rPr>
        <w:t xml:space="preserve">Solution: </w:t>
      </w:r>
      <w:r>
        <w:t>Hardened workflow defaults/preflight for AI_PROVIDER_MODE, AI_PROVIDER, AI_ALLOW_CLOUD_EGRESS and GEMINI_MODEL; secret presence is checked without printing the secret.</w:t>
      </w:r>
    </w:p>
    <w:p>
      <w:pPr>
        <w:spacing w:after="20" w:before="0" w:line="259" w:lineRule="auto"/>
      </w:pPr>
      <w:r>
        <w:rPr>
          <w:b/>
        </w:rPr>
        <w:t>Verification</w:t>
      </w:r>
    </w:p>
    <w:p>
      <w:pPr>
        <w:pStyle w:val="CodeBlock"/>
      </w:pPr>
      <w:r>
        <w:t># GitHub Actions AI job preflight should report mode=single and providers=gemini</w:t>
      </w:r>
    </w:p>
    <w:p>
      <w:pPr>
        <w:spacing w:after="100" w:before="0" w:line="259" w:lineRule="auto"/>
      </w:pPr>
      <w:r>
        <w:rPr>
          <w:b/>
        </w:rPr>
        <w:t xml:space="preserve">Lesson learned: </w:t>
      </w:r>
      <w:r>
        <w:t>Fail fast on missing AI configuration before starting browser tests.</w:t>
      </w:r>
    </w:p>
    <w:p>
      <w:pPr>
        <w:pStyle w:val="Heading2"/>
      </w:pPr>
      <w:r>
        <w:t>TIG-008 - Gemini Generation Request Timeout</w:t>
      </w:r>
    </w:p>
    <w:p>
      <w:r>
        <w:rPr>
          <w:rFonts w:ascii="Aptos" w:hAnsi="Aptos"/>
          <w:b/>
          <w:color w:val="2F5597"/>
          <w:sz w:val="18"/>
        </w:rPr>
        <w:t>Area: Gemini transport    Status: RESOLVED</w:t>
      </w:r>
    </w:p>
    <w:p>
      <w:pPr>
        <w:spacing w:after="60" w:before="0" w:line="259" w:lineRule="auto"/>
      </w:pPr>
      <w:r>
        <w:rPr>
          <w:b/>
        </w:rPr>
        <w:t xml:space="preserve">Symptom: </w:t>
      </w:r>
      <w:r>
        <w:t>Gemini model/key health check succeeded, but real generation exceeded AI_TIMEOUT_MS.</w:t>
      </w:r>
    </w:p>
    <w:p>
      <w:pPr>
        <w:spacing w:after="60" w:before="0" w:line="259" w:lineRule="auto"/>
      </w:pPr>
      <w:r>
        <w:rPr>
          <w:b/>
        </w:rPr>
        <w:t xml:space="preserve">Root cause: </w:t>
      </w:r>
      <w:r>
        <w:t>The original generation transport used an endpoint/path that did not behave reliably for the required operation.</w:t>
      </w:r>
    </w:p>
    <w:p>
      <w:pPr>
        <w:spacing w:after="60" w:before="0" w:line="259" w:lineRule="auto"/>
      </w:pPr>
      <w:r>
        <w:rPr>
          <w:b/>
        </w:rPr>
        <w:t xml:space="preserve">Solution: </w:t>
      </w:r>
      <w:r>
        <w:t>Moved generation to Gemini generateContent REST flow with structured output and bounded timeouts.</w:t>
      </w:r>
    </w:p>
    <w:p>
      <w:pPr>
        <w:spacing w:after="20" w:before="0" w:line="259" w:lineRule="auto"/>
      </w:pPr>
      <w:r>
        <w:rPr>
          <w:b/>
        </w:rPr>
        <w:t>Verification</w:t>
      </w:r>
    </w:p>
    <w:p>
      <w:pPr>
        <w:pStyle w:val="CodeBlock"/>
      </w:pPr>
      <w:r>
        <w:t>npm run ai:check</w:t>
      </w:r>
    </w:p>
    <w:p>
      <w:pPr>
        <w:pStyle w:val="CodeBlock"/>
      </w:pPr>
      <w:r>
        <w:t>npm run test:ai-healing</w:t>
      </w:r>
    </w:p>
    <w:p>
      <w:pPr>
        <w:spacing w:after="100" w:before="0" w:line="259" w:lineRule="auto"/>
      </w:pPr>
      <w:r>
        <w:rPr>
          <w:b/>
        </w:rPr>
        <w:t xml:space="preserve">Lesson learned: </w:t>
      </w:r>
      <w:r>
        <w:t>A metadata/model health check does not prove that real generation works. Validate the actual generation path separately.</w:t>
      </w:r>
    </w:p>
    <w:p>
      <w:pPr>
        <w:pStyle w:val="Heading2"/>
      </w:pPr>
      <w:r>
        <w:t>TIG-009 - Gemini HTTP 503 UNAVAILABLE</w:t>
      </w:r>
    </w:p>
    <w:p>
      <w:r>
        <w:rPr>
          <w:rFonts w:ascii="Aptos" w:hAnsi="Aptos"/>
          <w:b/>
          <w:color w:val="2F5597"/>
          <w:sz w:val="18"/>
        </w:rPr>
        <w:t>Area: AI resilience    Status: RESOLVED WITH RETRY</w:t>
      </w:r>
    </w:p>
    <w:p>
      <w:pPr>
        <w:spacing w:after="60" w:before="0" w:line="259" w:lineRule="auto"/>
      </w:pPr>
      <w:r>
        <w:rPr>
          <w:b/>
        </w:rPr>
        <w:t xml:space="preserve">Symptom: </w:t>
      </w:r>
      <w:r>
        <w:t>GitHub AI healing reached Gemini but failed with HTTP 503 UNAVAILABLE.</w:t>
      </w:r>
    </w:p>
    <w:p>
      <w:pPr>
        <w:spacing w:after="60" w:before="0" w:line="259" w:lineRule="auto"/>
      </w:pPr>
      <w:r>
        <w:rPr>
          <w:b/>
        </w:rPr>
        <w:t xml:space="preserve">Root cause: </w:t>
      </w:r>
      <w:r>
        <w:t>External provider capacity can be temporarily unavailable even when credentials and model configuration are correct.</w:t>
      </w:r>
    </w:p>
    <w:p>
      <w:pPr>
        <w:spacing w:after="60" w:before="0" w:line="259" w:lineRule="auto"/>
      </w:pPr>
      <w:r>
        <w:rPr>
          <w:b/>
        </w:rPr>
        <w:t xml:space="preserve">Solution: </w:t>
      </w:r>
      <w:r>
        <w:t>Added bounded provider-level retries with exponential backoff and jitter for transient 408/429/500/502/503/504 and network errors; permanent 4xx errors are not blindly retried.</w:t>
      </w:r>
    </w:p>
    <w:p>
      <w:pPr>
        <w:spacing w:after="20" w:before="0" w:line="259" w:lineRule="auto"/>
      </w:pPr>
      <w:r>
        <w:rPr>
          <w:b/>
        </w:rPr>
        <w:t>Verification</w:t>
      </w:r>
    </w:p>
    <w:p>
      <w:pPr>
        <w:pStyle w:val="CodeBlock"/>
      </w:pPr>
      <w:r>
        <w:t>AI_RETRY_MAX_ATTEMPTS=3</w:t>
      </w:r>
    </w:p>
    <w:p>
      <w:pPr>
        <w:pStyle w:val="CodeBlock"/>
      </w:pPr>
      <w:r>
        <w:t>AI_RETRY_BASE_DELAY_MS=1000</w:t>
      </w:r>
    </w:p>
    <w:p>
      <w:pPr>
        <w:pStyle w:val="CodeBlock"/>
      </w:pPr>
      <w:r>
        <w:t>AI_RETRY_MAX_DELAY_MS=8000</w:t>
      </w:r>
    </w:p>
    <w:p>
      <w:pPr>
        <w:pStyle w:val="CodeBlock"/>
      </w:pPr>
      <w:r>
        <w:t>AI_TOTAL_TIMEOUT_MS=90000</w:t>
      </w:r>
    </w:p>
    <w:p>
      <w:pPr>
        <w:spacing w:after="100" w:before="0" w:line="259" w:lineRule="auto"/>
      </w:pPr>
      <w:r>
        <w:rPr>
          <w:b/>
        </w:rPr>
        <w:t xml:space="preserve">Lesson learned: </w:t>
      </w:r>
      <w:r>
        <w:t>Retry the provider call, not the whole Playwright test, to avoid duplicate browser work, cost and noise.</w:t>
      </w:r>
    </w:p>
    <w:p>
      <w:pPr>
        <w:pStyle w:val="Heading2"/>
      </w:pPr>
      <w:r>
        <w:t>TIG-010 - Gemini HTTP 429 RESOURCE_EXHAUSTED</w:t>
      </w:r>
    </w:p>
    <w:p>
      <w:r>
        <w:rPr>
          <w:rFonts w:ascii="Aptos" w:hAnsi="Aptos"/>
          <w:b/>
          <w:color w:val="2F5597"/>
          <w:sz w:val="18"/>
        </w:rPr>
        <w:t>Area: Gemini quota / CI    Status: MITIGATED</w:t>
      </w:r>
    </w:p>
    <w:p>
      <w:pPr>
        <w:spacing w:after="60" w:before="0" w:line="259" w:lineRule="auto"/>
      </w:pPr>
      <w:r>
        <w:rPr>
          <w:b/>
        </w:rPr>
        <w:t xml:space="preserve">Symptom: </w:t>
      </w:r>
      <w:r>
        <w:t>CI retried Gemini and still failed with HTTP 429 RESOURCE_EXHAUSTED.</w:t>
      </w:r>
    </w:p>
    <w:p>
      <w:pPr>
        <w:spacing w:after="60" w:before="0" w:line="259" w:lineRule="auto"/>
      </w:pPr>
      <w:r>
        <w:rPr>
          <w:b/>
        </w:rPr>
        <w:t xml:space="preserve">Root cause: </w:t>
      </w:r>
      <w:r>
        <w:t>The provider/project quota or rate limit was exhausted. A real generation health check immediately before the AI test could also consume scarce quota unnecessarily.</w:t>
      </w:r>
    </w:p>
    <w:p>
      <w:pPr>
        <w:spacing w:after="60" w:before="0" w:line="259" w:lineRule="auto"/>
      </w:pPr>
      <w:r>
        <w:rPr>
          <w:b/>
        </w:rPr>
        <w:t xml:space="preserve">Solution: </w:t>
      </w:r>
      <w:r>
        <w:t>Set AI_PROVIDER_GENERATION_CHECK=false so health/preflight does not perform an extra generation call; keep bounded retries for temporary rate limits. Quota itself must be handled at provider/project level.</w:t>
      </w:r>
    </w:p>
    <w:p>
      <w:pPr>
        <w:spacing w:after="20" w:before="0" w:line="259" w:lineRule="auto"/>
      </w:pPr>
      <w:r>
        <w:rPr>
          <w:b/>
        </w:rPr>
        <w:t>Verification</w:t>
      </w:r>
    </w:p>
    <w:p>
      <w:pPr>
        <w:pStyle w:val="CodeBlock"/>
      </w:pPr>
      <w:r>
        <w:t>AI_PROVIDER_GENERATION_CHECK=false</w:t>
      </w:r>
    </w:p>
    <w:p>
      <w:pPr>
        <w:pStyle w:val="CodeBlock"/>
      </w:pPr>
      <w:r>
        <w:t># GitHub Actions still uses AI_PROVIDER=gemini</w:t>
      </w:r>
    </w:p>
    <w:p>
      <w:pPr>
        <w:spacing w:after="100" w:before="0" w:line="259" w:lineRule="auto"/>
      </w:pPr>
      <w:r>
        <w:rPr>
          <w:b/>
        </w:rPr>
        <w:t xml:space="preserve">Lesson learned: </w:t>
      </w:r>
      <w:r>
        <w:t>Timeout increases do not fix immediate 429 responses. Distinguish provider quota from framework defects.</w:t>
      </w:r>
    </w:p>
    <w:p>
      <w:pPr>
        <w:pStyle w:val="Heading2"/>
      </w:pPr>
      <w:r>
        <w:t>TIG-011 - Only 4 of 9 Demo Tests Executed</w:t>
      </w:r>
    </w:p>
    <w:p>
      <w:r>
        <w:rPr>
          <w:rFonts w:ascii="Aptos" w:hAnsi="Aptos"/>
          <w:b/>
          <w:color w:val="2F5597"/>
          <w:sz w:val="18"/>
        </w:rPr>
        <w:t>Area: Test selection / reporting    Status: EXPECTED / EXPLAINED</w:t>
      </w:r>
    </w:p>
    <w:p>
      <w:pPr>
        <w:spacing w:after="60" w:before="0" w:line="259" w:lineRule="auto"/>
      </w:pPr>
      <w:r>
        <w:rPr>
          <w:b/>
        </w:rPr>
        <w:t xml:space="preserve">Symptom: </w:t>
      </w:r>
      <w:r>
        <w:t>The demo project discovered 9 tests but only 4 executed in the combined normal + dedicated AI flow; the rest were skipped/fixme.</w:t>
      </w:r>
    </w:p>
    <w:p>
      <w:pPr>
        <w:spacing w:after="60" w:before="0" w:line="259" w:lineRule="auto"/>
      </w:pPr>
      <w:r>
        <w:rPr>
          <w:b/>
        </w:rPr>
        <w:t xml:space="preserve">Root cause: </w:t>
      </w:r>
      <w:r>
        <w:t>One normal healing demo required HEALING_DEMO=true; two DB-dependent tests required DB_TYPE; two generated payment tests were intentionally review-blocked; AI healing runs in its dedicated AI job.</w:t>
      </w:r>
    </w:p>
    <w:p>
      <w:pPr>
        <w:spacing w:after="60" w:before="0" w:line="259" w:lineRule="auto"/>
      </w:pPr>
      <w:r>
        <w:rPr>
          <w:b/>
        </w:rPr>
        <w:t xml:space="preserve">Solution: </w:t>
      </w:r>
      <w:r>
        <w:t>Keep the safety gates. Improve reporting to show execution coverage and categorized skip reasons rather than treating every skip as a failure.</w:t>
      </w:r>
    </w:p>
    <w:p>
      <w:pPr>
        <w:spacing w:after="20" w:before="0" w:line="259" w:lineRule="auto"/>
      </w:pPr>
      <w:r>
        <w:rPr>
          <w:b/>
        </w:rPr>
        <w:t>Verification</w:t>
      </w:r>
    </w:p>
    <w:p>
      <w:pPr>
        <w:pStyle w:val="CodeBlock"/>
      </w:pPr>
      <w:r>
        <w:t>APP=demo ENV=qa npm run test:project -- --project=chromium --list</w:t>
      </w:r>
    </w:p>
    <w:p>
      <w:pPr>
        <w:pStyle w:val="CodeBlock"/>
      </w:pPr>
      <w:r>
        <w:t>grep -RniE "test\.skip|test\.fixme" projects/demo/tests</w:t>
      </w:r>
    </w:p>
    <w:p>
      <w:pPr>
        <w:spacing w:after="100" w:before="0" w:line="259" w:lineRule="auto"/>
      </w:pPr>
      <w:r>
        <w:rPr>
          <w:b/>
        </w:rPr>
        <w:t xml:space="preserve">Lesson learned: </w:t>
      </w:r>
      <w:r>
        <w:t>A skipped test is not automatically a broken test. Report why it was skipped and separate execution coverage from executed pass rate.</w:t>
      </w:r>
    </w:p>
    <w:p>
      <w:pPr>
        <w:pStyle w:val="Heading2"/>
      </w:pPr>
      <w:r>
        <w:t>TIG-012 - Skip Reporting v5 Compile and Semantics Defects</w:t>
      </w:r>
    </w:p>
    <w:p>
      <w:r>
        <w:rPr>
          <w:rFonts w:ascii="Aptos" w:hAnsi="Aptos"/>
          <w:b/>
          <w:color w:val="2F5597"/>
          <w:sz w:val="18"/>
        </w:rPr>
        <w:t>Area: Reporting patch    Status: RESOLVED v5.1</w:t>
      </w:r>
    </w:p>
    <w:p>
      <w:pPr>
        <w:spacing w:after="60" w:before="0" w:line="259" w:lineRule="auto"/>
      </w:pPr>
      <w:r>
        <w:rPr>
          <w:b/>
        </w:rPr>
        <w:t xml:space="preserve">Symptom: </w:t>
      </w:r>
      <w:r>
        <w:t>After applying reporting v5, typecheck failed because a grouped skip bucket lacked testIds and an existing mail test fixture lacked new ExecutionFacts fields. A latent issue also meant skip classification was not persisted into final BusinessTestResult.</w:t>
      </w:r>
    </w:p>
    <w:p>
      <w:pPr>
        <w:spacing w:after="60" w:before="0" w:line="259" w:lineRule="auto"/>
      </w:pPr>
      <w:r>
        <w:rPr>
          <w:b/>
        </w:rPr>
        <w:t xml:space="preserve">Root cause: </w:t>
      </w:r>
      <w:r>
        <w:t>The patch extended data contracts without updating every constructor/fixture and had an inconsistent bucket initialization path.</w:t>
      </w:r>
    </w:p>
    <w:p>
      <w:pPr>
        <w:spacing w:after="60" w:before="0" w:line="259" w:lineRule="auto"/>
      </w:pPr>
      <w:r>
        <w:rPr>
          <w:b/>
        </w:rPr>
        <w:t xml:space="preserve">Solution: </w:t>
      </w:r>
      <w:r>
        <w:t>v5.1 initialized testIds on every bucket, updated the mail fixture, persisted skipReason/skipCategory, used Playwright result annotations for runtime skip reasons, and changed quality-gate math to passed/executed while showing execution coverage separately.</w:t>
      </w:r>
    </w:p>
    <w:p>
      <w:pPr>
        <w:spacing w:after="20" w:before="0" w:line="259" w:lineRule="auto"/>
      </w:pPr>
      <w:r>
        <w:rPr>
          <w:b/>
        </w:rPr>
        <w:t>Verification</w:t>
      </w:r>
    </w:p>
    <w:p>
      <w:pPr>
        <w:pStyle w:val="CodeBlock"/>
      </w:pPr>
      <w:r>
        <w:t>npm run typecheck</w:t>
      </w:r>
    </w:p>
    <w:p>
      <w:pPr>
        <w:pStyle w:val="CodeBlock"/>
      </w:pPr>
      <w:r>
        <w:t>npm run test:framework:critical</w:t>
      </w:r>
    </w:p>
    <w:p>
      <w:pPr>
        <w:pStyle w:val="CodeBlock"/>
      </w:pPr>
      <w:r>
        <w:t>npm run release:static</w:t>
      </w:r>
    </w:p>
    <w:p>
      <w:pPr>
        <w:pStyle w:val="CodeBlock"/>
      </w:pPr>
      <w:r>
        <w:t>npm run validate:final</w:t>
      </w:r>
    </w:p>
    <w:p>
      <w:pPr>
        <w:spacing w:after="100" w:before="0" w:line="259" w:lineRule="auto"/>
      </w:pPr>
      <w:r>
        <w:rPr>
          <w:b/>
        </w:rPr>
        <w:t xml:space="preserve">Lesson learned: </w:t>
      </w:r>
      <w:r>
        <w:t>When extending a central report model, update all producers, fixtures, mergers and consumers together, then validate both compilation and semantics.</w:t>
      </w:r>
    </w:p>
    <w:p>
      <w:pPr>
        <w:pStyle w:val="Heading2"/>
      </w:pPr>
      <w:r>
        <w:t>TIG-013 - npm ENOENT in Patch Bundle Directory</w:t>
      </w:r>
    </w:p>
    <w:p>
      <w:r>
        <w:rPr>
          <w:rFonts w:ascii="Aptos" w:hAnsi="Aptos"/>
          <w:b/>
          <w:color w:val="2F5597"/>
          <w:sz w:val="18"/>
        </w:rPr>
        <w:t>Area: Developer workflow    Status: RESOLVED</w:t>
      </w:r>
    </w:p>
    <w:p>
      <w:pPr>
        <w:spacing w:after="60" w:before="0" w:line="259" w:lineRule="auto"/>
      </w:pPr>
      <w:r>
        <w:rPr>
          <w:b/>
        </w:rPr>
        <w:t xml:space="preserve">Symptom: </w:t>
      </w:r>
      <w:r>
        <w:t>npm commands failed with ENOENT because package.json was searched under ~/Downloads/testigent-ai-reporting-hotfix-v5.1/.</w:t>
      </w:r>
    </w:p>
    <w:p>
      <w:pPr>
        <w:spacing w:after="60" w:before="0" w:line="259" w:lineRule="auto"/>
      </w:pPr>
      <w:r>
        <w:rPr>
          <w:b/>
        </w:rPr>
        <w:t xml:space="preserve">Root cause: </w:t>
      </w:r>
      <w:r>
        <w:t>The terminal was still inside the extracted patch bundle, which intentionally has no project package.json.</w:t>
      </w:r>
    </w:p>
    <w:p>
      <w:pPr>
        <w:spacing w:after="60" w:before="0" w:line="259" w:lineRule="auto"/>
      </w:pPr>
      <w:r>
        <w:rPr>
          <w:b/>
        </w:rPr>
        <w:t xml:space="preserve">Solution: </w:t>
      </w:r>
      <w:r>
        <w:t>Run project validation from ~/testigent-ai. Use bundle directories only to run APPLY/VERIFY scripts.</w:t>
      </w:r>
    </w:p>
    <w:p>
      <w:pPr>
        <w:spacing w:after="20" w:before="0" w:line="259" w:lineRule="auto"/>
      </w:pPr>
      <w:r>
        <w:rPr>
          <w:b/>
        </w:rPr>
        <w:t>Verification</w:t>
      </w:r>
    </w:p>
    <w:p>
      <w:pPr>
        <w:pStyle w:val="CodeBlock"/>
      </w:pPr>
      <w:r>
        <w:t>cd ~/testigent-ai</w:t>
      </w:r>
    </w:p>
    <w:p>
      <w:pPr>
        <w:pStyle w:val="CodeBlock"/>
      </w:pPr>
      <w:r>
        <w:t>npm run typecheck</w:t>
      </w:r>
    </w:p>
    <w:p>
      <w:pPr>
        <w:pStyle w:val="CodeBlock"/>
      </w:pPr>
      <w:r>
        <w:t>npm run test:framework:critical</w:t>
      </w:r>
    </w:p>
    <w:p>
      <w:pPr>
        <w:pStyle w:val="CodeBlock"/>
      </w:pPr>
      <w:r>
        <w:t>npm run release:static</w:t>
      </w:r>
    </w:p>
    <w:p>
      <w:pPr>
        <w:spacing w:after="100" w:before="0" w:line="259" w:lineRule="auto"/>
      </w:pPr>
      <w:r>
        <w:rPr>
          <w:b/>
        </w:rPr>
        <w:t xml:space="preserve">Lesson learned: </w:t>
      </w:r>
      <w:r>
        <w:t>Always confirm repository root before npm commands, especially after applying downloaded patches.</w:t>
      </w:r>
    </w:p>
    <w:p>
      <w:pPr>
        <w:pStyle w:val="Heading2"/>
      </w:pPr>
      <w:r>
        <w:t>TIG-014 - db.query Return Type Misused as result.rows</w:t>
      </w:r>
    </w:p>
    <w:p>
      <w:r>
        <w:rPr>
          <w:rFonts w:ascii="Aptos" w:hAnsi="Aptos"/>
          <w:b/>
          <w:color w:val="2F5597"/>
          <w:sz w:val="18"/>
        </w:rPr>
        <w:t>Area: Database abstraction    Status: RESOLVED</w:t>
      </w:r>
    </w:p>
    <w:p>
      <w:pPr>
        <w:spacing w:after="60" w:before="0" w:line="259" w:lineRule="auto"/>
      </w:pPr>
      <w:r>
        <w:rPr>
          <w:b/>
        </w:rPr>
        <w:t xml:space="preserve">Symptom: </w:t>
      </w:r>
      <w:r>
        <w:t>TypeScript reported: Property 'rows' does not exist on type 'Record&lt;string, unknown&gt;[]'.</w:t>
      </w:r>
    </w:p>
    <w:p>
      <w:pPr>
        <w:spacing w:after="60" w:before="0" w:line="259" w:lineRule="auto"/>
      </w:pPr>
      <w:r>
        <w:rPr>
          <w:b/>
        </w:rPr>
        <w:t xml:space="preserve">Root cause: </w:t>
      </w:r>
      <w:r>
        <w:t>The framework database abstraction intentionally returns a generic array of records, not the raw pg QueryResult object.</w:t>
      </w:r>
    </w:p>
    <w:p>
      <w:pPr>
        <w:spacing w:after="60" w:before="0" w:line="259" w:lineRule="auto"/>
      </w:pPr>
      <w:r>
        <w:rPr>
          <w:b/>
        </w:rPr>
        <w:t xml:space="preserve">Solution: </w:t>
      </w:r>
      <w:r>
        <w:t>Use result[0] rather than result.rows[0]. Keep PostgreSQL-specific result shapes inside the adapter.</w:t>
      </w:r>
    </w:p>
    <w:p>
      <w:pPr>
        <w:spacing w:after="20" w:before="0" w:line="259" w:lineRule="auto"/>
      </w:pPr>
      <w:r>
        <w:rPr>
          <w:b/>
        </w:rPr>
        <w:t>Verification</w:t>
      </w:r>
    </w:p>
    <w:p>
      <w:pPr>
        <w:pStyle w:val="CodeBlock"/>
      </w:pPr>
      <w:r>
        <w:t>const result = await db.query('SELECT 1 AS ok');</w:t>
        <w:br/>
        <w:t>expect(result.length).toBeGreaterThan(0);</w:t>
        <w:br/>
        <w:t>expect(result[0].ok).toBe(1);</w:t>
      </w:r>
    </w:p>
    <w:p>
      <w:pPr>
        <w:pStyle w:val="CodeBlock"/>
      </w:pPr>
      <w:r>
        <w:t>npm run typecheck</w:t>
      </w:r>
    </w:p>
    <w:p>
      <w:pPr>
        <w:spacing w:after="100" w:before="0" w:line="259" w:lineRule="auto"/>
      </w:pPr>
      <w:r>
        <w:rPr>
          <w:b/>
        </w:rPr>
        <w:t xml:space="preserve">Lesson learned: </w:t>
      </w:r>
      <w:r>
        <w:t>Tests should depend on the framework database contract, not on a vendor driver contract.</w:t>
      </w:r>
    </w:p>
    <w:p>
      <w:pPr>
        <w:pStyle w:val="Heading2"/>
      </w:pPr>
      <w:r>
        <w:t>TIG-015 - DB-only Test Required UI Auth State</w:t>
      </w:r>
    </w:p>
    <w:p>
      <w:r>
        <w:t>Area: Fixture architecture    Status: RESOLVED V6</w:t>
      </w:r>
    </w:p>
    <w:p>
      <w:pPr>
        <w:spacing w:after="60" w:before="0" w:line="259" w:lineRule="auto"/>
      </w:pPr>
      <w:r>
        <w:rPr>
          <w:b/>
        </w:rPr>
        <w:t xml:space="preserve">Symptom: </w:t>
      </w:r>
      <w:r>
        <w:t>A pure @db smoke test was blocked because the SDET Practice project required .auth/sdet-practice.exploration.json before any test started.</w:t>
      </w:r>
    </w:p>
    <w:p>
      <w:pPr>
        <w:spacing w:after="60" w:before="0" w:line="259" w:lineRule="auto"/>
      </w:pPr>
      <w:r>
        <w:rPr>
          <w:b/>
        </w:rPr>
        <w:t xml:space="preserve">Root cause: </w:t>
      </w:r>
      <w:r>
        <w:t>Authentication was enforced at project/fixture bootstrap level instead of only for tests that require authenticated UI state.</w:t>
      </w:r>
    </w:p>
    <w:p>
      <w:pPr>
        <w:spacing w:after="60" w:before="0" w:line="259" w:lineRule="auto"/>
      </w:pPr>
      <w:r>
        <w:t>Solution: Refactored project preflight to be capability-aware. API/DB/AI-only lanes do not require browser storage state; UI/E2E/visual/accessibility/performance lanes still fail fast when project policy requires authenticated browser state.</w:t>
      </w:r>
    </w:p>
    <w:p>
      <w:pPr>
        <w:spacing w:after="20" w:before="0" w:line="259" w:lineRule="auto"/>
      </w:pPr>
      <w:r>
        <w:rPr>
          <w:b/>
        </w:rPr>
        <w:t>Verification</w:t>
      </w:r>
    </w:p>
    <w:p>
      <w:pPr>
        <w:pStyle w:val="CodeBlock"/>
      </w:pPr>
      <w:r>
        <w:t>APP=sdet-practice ENV=qa TEST_LANE=db npm run project:check</w:t>
        <w:br/>
        <w:t># DB preflight proceeds without UI storage state.</w:t>
        <w:br/>
        <w:t>APP=sdet-practice ENV=qa TEST_LANE=ui npm run project:check</w:t>
        <w:br/>
        <w:t># UI preflight fails fast when required storage state is absent.</w:t>
      </w:r>
    </w:p>
    <w:p>
      <w:pPr>
        <w:spacing w:after="100" w:before="0" w:line="259" w:lineRule="auto"/>
      </w:pPr>
      <w:r>
        <w:rPr>
          <w:b/>
        </w:rPr>
        <w:t xml:space="preserve">Lesson learned: </w:t>
      </w:r>
      <w:r>
        <w:t>Cross-layer fixtures should be capability-aware. A DB-only test should not require browser authentication unless the DB setup itself depends on it.</w:t>
      </w:r>
    </w:p>
    <w:p>
      <w:pPr>
        <w:spacing w:after="140" w:before="0" w:line="259" w:lineRule="auto"/>
      </w:pPr>
      <w:r>
        <w:t>Follow-up: Closed in V6. Keep capability-auth behavior covered by framework contract tests and project preflight validation.</w:t>
      </w:r>
    </w:p>
    <w:p>
      <w:pPr>
        <w:pStyle w:val="Heading2"/>
      </w:pPr>
      <w:r>
        <w:t>TIG-016 - Docker PostgreSQL ECONNREFUSED</w:t>
      </w:r>
    </w:p>
    <w:p>
      <w:r>
        <w:rPr>
          <w:rFonts w:ascii="Aptos" w:hAnsi="Aptos"/>
          <w:b/>
          <w:color w:val="2F5597"/>
          <w:sz w:val="18"/>
        </w:rPr>
        <w:t>Area: Docker / database connectivity    Status: RESOLVED</w:t>
      </w:r>
    </w:p>
    <w:p>
      <w:pPr>
        <w:spacing w:after="60" w:before="0" w:line="259" w:lineRule="auto"/>
      </w:pPr>
      <w:r>
        <w:rPr>
          <w:b/>
        </w:rPr>
        <w:t xml:space="preserve">Symptom: </w:t>
      </w:r>
      <w:r>
        <w:t>DB smoke test failed with connect ECONNREFUSED 127.0.0.1:5432.</w:t>
      </w:r>
    </w:p>
    <w:p>
      <w:pPr>
        <w:spacing w:after="60" w:before="0" w:line="259" w:lineRule="auto"/>
      </w:pPr>
      <w:r>
        <w:rPr>
          <w:b/>
        </w:rPr>
        <w:t xml:space="preserve">Root cause: </w:t>
      </w:r>
      <w:r>
        <w:t>HostConfig showed 5432:5432, but runtime NetworkSettings.Ports was empty and docker port returned nothing. The running container had not actually published the configured port.</w:t>
      </w:r>
    </w:p>
    <w:p>
      <w:pPr>
        <w:spacing w:after="60" w:before="0" w:line="259" w:lineRule="auto"/>
      </w:pPr>
      <w:r>
        <w:rPr>
          <w:b/>
        </w:rPr>
        <w:t xml:space="preserve">Solution: </w:t>
      </w:r>
      <w:r>
        <w:t>The PostgreSQL service belonged to compose project sdet-practice-app at /Users/maa/Documents/sdet-practice-app. Recreate only the postgres service with the effective ports config, preserving volumes.</w:t>
      </w:r>
    </w:p>
    <w:p>
      <w:pPr>
        <w:spacing w:after="20" w:before="0" w:line="259" w:lineRule="auto"/>
      </w:pPr>
      <w:r>
        <w:rPr>
          <w:b/>
        </w:rPr>
        <w:t>Verification</w:t>
      </w:r>
    </w:p>
    <w:p>
      <w:pPr>
        <w:pStyle w:val="CodeBlock"/>
      </w:pPr>
      <w:r>
        <w:t>cd /Users/maa/Documents/sdet-practice-app</w:t>
      </w:r>
    </w:p>
    <w:p>
      <w:pPr>
        <w:pStyle w:val="CodeBlock"/>
      </w:pPr>
      <w:r>
        <w:t>docker compose up -d --force-recreate postgres</w:t>
      </w:r>
    </w:p>
    <w:p>
      <w:pPr>
        <w:pStyle w:val="CodeBlock"/>
      </w:pPr>
      <w:r>
        <w:t>docker ps --format 'table {{.Names}}\t{{.Ports}}' | grep sdet-postgres</w:t>
      </w:r>
    </w:p>
    <w:p>
      <w:pPr>
        <w:pStyle w:val="CodeBlock"/>
      </w:pPr>
      <w:r>
        <w:t>nc -zv 127.0.0.1 5432</w:t>
      </w:r>
    </w:p>
    <w:p>
      <w:pPr>
        <w:pStyle w:val="CodeBlock"/>
      </w:pPr>
      <w:r>
        <w:t>APP=sdet-practice ENV=qa npm run test:project -- --project=chromium --grep="@db"</w:t>
      </w:r>
    </w:p>
    <w:p>
      <w:pPr>
        <w:spacing w:after="100" w:before="0" w:line="259" w:lineRule="auto"/>
      </w:pPr>
      <w:r>
        <w:rPr>
          <w:b/>
        </w:rPr>
        <w:t xml:space="preserve">Lesson learned: </w:t>
      </w:r>
      <w:r>
        <w:t>A declared Docker port mapping is not enough. Verify the running container with docker port / NetworkSettings.Ports and test host connectivity.</w:t>
      </w:r>
    </w:p>
    <w:p>
      <w:pPr>
        <w:pStyle w:val="Heading2"/>
      </w:pPr>
      <w:r>
        <w:t>TIG-017 - Safe Cleanup Without Losing Runtime State</w:t>
      </w:r>
    </w:p>
    <w:p>
      <w:r>
        <w:rPr>
          <w:rFonts w:ascii="Aptos" w:hAnsi="Aptos"/>
          <w:b/>
          <w:color w:val="2F5597"/>
          <w:sz w:val="18"/>
        </w:rPr>
        <w:t>Area: Repository hygiene    Status: RESOLVED</w:t>
      </w:r>
    </w:p>
    <w:p>
      <w:pPr>
        <w:spacing w:after="60" w:before="0" w:line="259" w:lineRule="auto"/>
      </w:pPr>
      <w:r>
        <w:rPr>
          <w:b/>
        </w:rPr>
        <w:t xml:space="preserve">Symptom: </w:t>
      </w:r>
      <w:r>
        <w:t>The repository needed cleanup, but state/cache folders such as healing history and application knowledge should not be deleted blindly.</w:t>
      </w:r>
    </w:p>
    <w:p>
      <w:pPr>
        <w:spacing w:after="60" w:before="0" w:line="259" w:lineRule="auto"/>
      </w:pPr>
      <w:r>
        <w:rPr>
          <w:b/>
        </w:rPr>
        <w:t xml:space="preserve">Root cause: </w:t>
      </w:r>
      <w:r>
        <w:t>Generated artifacts and useful runtime state have different lifecycle/ownership.</w:t>
      </w:r>
    </w:p>
    <w:p>
      <w:pPr>
        <w:spacing w:after="60" w:before="0" w:line="259" w:lineRule="auto"/>
      </w:pPr>
      <w:r>
        <w:rPr>
          <w:b/>
        </w:rPr>
        <w:t xml:space="preserve">Solution: </w:t>
      </w:r>
      <w:r>
        <w:t>Added clean:review as a no-delete inventory and clean:runtime for a strict safe list of regenerable paths such as reports, test-results, playwright-report, blob reports, coverage, dist and .runtime.</w:t>
      </w:r>
    </w:p>
    <w:p>
      <w:pPr>
        <w:spacing w:after="20" w:before="0" w:line="259" w:lineRule="auto"/>
      </w:pPr>
      <w:r>
        <w:rPr>
          <w:b/>
        </w:rPr>
        <w:t>Verification</w:t>
      </w:r>
    </w:p>
    <w:p>
      <w:pPr>
        <w:pStyle w:val="CodeBlock"/>
      </w:pPr>
      <w:r>
        <w:t>npm run clean:review</w:t>
      </w:r>
    </w:p>
    <w:p>
      <w:pPr>
        <w:pStyle w:val="CodeBlock"/>
      </w:pPr>
      <w:r>
        <w:t>npm run clean:runtime</w:t>
      </w:r>
    </w:p>
    <w:p>
      <w:pPr>
        <w:spacing w:after="100" w:before="0" w:line="259" w:lineRule="auto"/>
      </w:pPr>
      <w:r>
        <w:rPr>
          <w:b/>
        </w:rPr>
        <w:t xml:space="preserve">Lesson learned: </w:t>
      </w:r>
      <w:r>
        <w:t>Cleanup should be whitelist-based and review-first. Never make a broad rm command part of normal framework maintenance.</w:t>
      </w:r>
    </w:p>
    <w:p>
      <w:pPr>
        <w:pStyle w:val="Heading2"/>
      </w:pPr>
      <w:r>
        <w:t>APP-001 - SDET Practice Delete Defect</w:t>
      </w:r>
    </w:p>
    <w:p>
      <w:r>
        <w:rPr>
          <w:rFonts w:ascii="Aptos" w:hAnsi="Aptos"/>
          <w:b/>
          <w:color w:val="2F5597"/>
          <w:sz w:val="18"/>
        </w:rPr>
        <w:t>Area: Application under test    Status: KNOWN APPLICATION DEFECT</w:t>
      </w:r>
    </w:p>
    <w:p>
      <w:pPr>
        <w:spacing w:after="60" w:before="0" w:line="259" w:lineRule="auto"/>
      </w:pPr>
      <w:r>
        <w:rPr>
          <w:b/>
        </w:rPr>
        <w:t xml:space="preserve">Symptom: </w:t>
      </w:r>
      <w:r>
        <w:t>Create/update flow succeeds, but deleting the selected user does not remove the user as expected.</w:t>
      </w:r>
    </w:p>
    <w:p>
      <w:pPr>
        <w:spacing w:after="60" w:before="0" w:line="259" w:lineRule="auto"/>
      </w:pPr>
      <w:r>
        <w:rPr>
          <w:b/>
        </w:rPr>
        <w:t xml:space="preserve">Root cause: </w:t>
      </w:r>
      <w:r>
        <w:t>Known application behavior/defect, not a TestigentAI framework failure.</w:t>
      </w:r>
    </w:p>
    <w:p>
      <w:pPr>
        <w:spacing w:after="60" w:before="0" w:line="259" w:lineRule="auto"/>
      </w:pPr>
      <w:r>
        <w:rPr>
          <w:b/>
        </w:rPr>
        <w:t xml:space="preserve">Solution: </w:t>
      </w:r>
      <w:r>
        <w:t>Keep the test as an expected/known product defect after create/update assertions pass; report it distinctly from framework/environment failures.</w:t>
      </w:r>
    </w:p>
    <w:p>
      <w:pPr>
        <w:spacing w:after="20" w:before="0" w:line="259" w:lineRule="auto"/>
      </w:pPr>
      <w:r>
        <w:rPr>
          <w:b/>
        </w:rPr>
        <w:t>Verification</w:t>
      </w:r>
    </w:p>
    <w:p>
      <w:pPr>
        <w:pStyle w:val="CodeBlock"/>
      </w:pPr>
      <w:r>
        <w:t># Reference defect: SDET-DEL-001</w:t>
      </w:r>
    </w:p>
    <w:p>
      <w:pPr>
        <w:spacing w:after="100" w:before="0" w:line="259" w:lineRule="auto"/>
      </w:pPr>
      <w:r>
        <w:rPr>
          <w:b/>
        </w:rPr>
        <w:t xml:space="preserve">Lesson learned: </w:t>
      </w:r>
      <w:r>
        <w:t>Separate product defects from automation defects so reporting remains trustworthy.</w:t>
      </w:r>
    </w:p>
    <w:p>
      <w:pPr>
        <w:pStyle w:val="Heading1"/>
      </w:pPr>
      <w:r>
        <w:t>5. Reusable Diagnostic Recipes</w:t>
      </w:r>
    </w:p>
    <w:p>
      <w:pPr>
        <w:pStyle w:val="Heading3"/>
      </w:pPr>
      <w:r>
        <w:t>Confirm repo root before npm</w:t>
      </w:r>
    </w:p>
    <w:p>
      <w:pPr>
        <w:pStyle w:val="CodeBlock"/>
      </w:pPr>
      <w:r>
        <w:t>cd ~/testigent-ai</w:t>
        <w:br/>
        <w:t>pwd</w:t>
        <w:br/>
        <w:t>test -f package.json &amp;&amp; echo "repo root OK"</w:t>
      </w:r>
    </w:p>
    <w:p>
      <w:pPr>
        <w:pStyle w:val="Heading3"/>
      </w:pPr>
      <w:r>
        <w:t>List project tests</w:t>
      </w:r>
    </w:p>
    <w:p>
      <w:pPr>
        <w:pStyle w:val="CodeBlock"/>
      </w:pPr>
      <w:r>
        <w:t>APP=demo ENV=qa npm run test:project -- --project=chromium --list</w:t>
      </w:r>
    </w:p>
    <w:p>
      <w:pPr>
        <w:pStyle w:val="Heading3"/>
      </w:pPr>
      <w:r>
        <w:t>Find intentional skip/fixme gates</w:t>
      </w:r>
    </w:p>
    <w:p>
      <w:pPr>
        <w:pStyle w:val="CodeBlock"/>
      </w:pPr>
      <w:r>
        <w:t>grep -RniE "test\.skip|test\.fixme|test\.fail" projects/*/tests</w:t>
      </w:r>
    </w:p>
    <w:p>
      <w:pPr>
        <w:pStyle w:val="Heading3"/>
      </w:pPr>
      <w:r>
        <w:t>Validate framework after a patch</w:t>
      </w:r>
    </w:p>
    <w:p>
      <w:pPr>
        <w:pStyle w:val="CodeBlock"/>
      </w:pPr>
      <w:r>
        <w:t>npm run typecheck</w:t>
        <w:br/>
        <w:t>npm run test:framework:critical</w:t>
        <w:br/>
        <w:t>npm run release:static</w:t>
        <w:br/>
        <w:t>npm run validate:final</w:t>
      </w:r>
    </w:p>
    <w:p>
      <w:pPr>
        <w:pStyle w:val="Heading3"/>
      </w:pPr>
      <w:r>
        <w:t>Check PostgreSQL Docker mapping</w:t>
      </w:r>
    </w:p>
    <w:p>
      <w:pPr>
        <w:pStyle w:val="CodeBlock"/>
      </w:pPr>
      <w:r>
        <w:t>docker port sdet-postgres</w:t>
        <w:br/>
        <w:t>docker inspect sdet-postgres --format='{{json .NetworkSettings.Ports}}'</w:t>
        <w:br/>
        <w:t>nc -zv 127.0.0.1 5432</w:t>
      </w:r>
    </w:p>
    <w:p>
      <w:pPr>
        <w:pStyle w:val="Heading3"/>
      </w:pPr>
      <w:r>
        <w:t>Check PostgreSQL readiness</w:t>
      </w:r>
    </w:p>
    <w:p>
      <w:pPr>
        <w:pStyle w:val="CodeBlock"/>
      </w:pPr>
      <w:r>
        <w:t>docker exec sdet-postgres sh -c 'pg_isready -U "$POSTGRES_USER" -d "$POSTGRES_DB"'</w:t>
      </w:r>
    </w:p>
    <w:p>
      <w:pPr>
        <w:pStyle w:val="Heading3"/>
      </w:pPr>
      <w:r>
        <w:t>Run SDET DB smoke</w:t>
      </w:r>
    </w:p>
    <w:p>
      <w:pPr>
        <w:pStyle w:val="CodeBlock"/>
      </w:pPr>
      <w:r>
        <w:t>APP=sdet-practice ENV=qa npm run test:project -- --project=chromium --grep="@db"</w:t>
      </w:r>
    </w:p>
    <w:p>
      <w:pPr>
        <w:pStyle w:val="Heading3"/>
      </w:pPr>
      <w:r>
        <w:t>Review safe cleanup</w:t>
      </w:r>
    </w:p>
    <w:p>
      <w:pPr>
        <w:pStyle w:val="CodeBlock"/>
      </w:pPr>
      <w:r>
        <w:t>npm run clean:review</w:t>
      </w:r>
    </w:p>
    <w:p>
      <w:pPr>
        <w:pStyle w:val="Heading3"/>
      </w:pPr>
      <w:r>
        <w:t>Run local Ollama AI</w:t>
      </w:r>
    </w:p>
    <w:p>
      <w:pPr>
        <w:pStyle w:val="CodeBlock"/>
      </w:pPr>
      <w:r>
        <w:t>AI_PROVIDER=ollama npm run ai:check</w:t>
        <w:br/>
        <w:t>npm run test:ai-healing</w:t>
      </w:r>
    </w:p>
    <w:p>
      <w:pPr>
        <w:pStyle w:val="Heading1"/>
      </w:pPr>
      <w:r>
        <w:t>6. Safe Configuration Reference</w:t>
      </w:r>
    </w:p>
    <w:p>
      <w:r>
        <w:t>Local database example (values are placeholders; do not store real passwords in documentation):</w:t>
      </w:r>
    </w:p>
    <w:p>
      <w:pPr>
        <w:pStyle w:val="CodeBlock"/>
      </w:pPr>
      <w:r>
        <w:t>APP=sdet-practice</w:t>
        <w:br/>
        <w:t>ENV=qa</w:t>
        <w:br/>
        <w:t>DB_TYPE=postgres</w:t>
        <w:br/>
        <w:t>DB_HOST=127.0.0.1</w:t>
        <w:br/>
        <w:t>DB_PORT=5432</w:t>
        <w:br/>
        <w:t>DB_NAME=&lt;local_db_name&gt;</w:t>
        <w:br/>
        <w:t>DB_USER=&lt;local_db_user&gt;</w:t>
        <w:br/>
        <w:t>DB_PASSWORD=&lt;secret_in_local_env_only&gt;</w:t>
        <w:br/>
        <w:t>DB_SSL=false</w:t>
      </w:r>
    </w:p>
    <w:p>
      <w:r>
        <w:t>Local AI / CI AI separation:</w:t>
      </w:r>
    </w:p>
    <w:p>
      <w:pPr>
        <w:pStyle w:val="CodeBlock"/>
      </w:pPr>
      <w:r>
        <w:t># Local .env</w:t>
        <w:br/>
        <w:t>AI_ENABLED=true</w:t>
        <w:br/>
        <w:t>AI_PROVIDER_MODE=single</w:t>
        <w:br/>
        <w:t>AI_PROVIDER=ollama</w:t>
        <w:br/>
        <w:t>AI_ALLOW_CLOUD_EGRESS=false</w:t>
        <w:br/>
        <w:br/>
        <w:t># GitHub Actions repository variables</w:t>
        <w:br/>
        <w:t>AI_PROVIDER_MODE=single</w:t>
        <w:br/>
        <w:t>AI_PROVIDER=gemini</w:t>
        <w:br/>
        <w:t>AI_ALLOW_CLOUD_EGRESS=true</w:t>
        <w:br/>
        <w:t>GEMINI_MODEL=gemini-3.8-flash</w:t>
        <w:br/>
        <w:t>AI_PROVIDER_GENERATION_CHECK=false</w:t>
        <w:br/>
        <w:br/>
        <w:t># GitHub Actions secret</w:t>
        <w:br/>
        <w:t>GEMINI_API_KEY=&lt;stored only as secret&gt;</w:t>
      </w:r>
    </w:p>
    <w:p>
      <w:r>
        <w:br w:type="page"/>
      </w:r>
    </w:p>
    <w:p>
      <w:pPr>
        <w:pStyle w:val="Heading1"/>
      </w:pPr>
      <w:r>
        <w:t>7. Template for Future Issues</w:t>
      </w:r>
    </w:p>
    <w:tbl>
      <w:tblPr>
        <w:tblStyle w:val="TableGrid"/>
        <w:tblW w:type="auto" w:w="0"/>
        <w:jc w:val="center"/>
        <w:tblLook w:firstColumn="1" w:firstRow="1" w:lastColumn="0" w:lastRow="0" w:noHBand="0" w:noVBand="1" w:val="04A0"/>
      </w:tblPr>
      <w:tblGrid>
        <w:gridCol w:w="5112"/>
        <w:gridCol w:w="5112"/>
      </w:tblGrid>
      <w:tr>
        <w:trPr>
          <w:cantSplit/>
          <w:cantSplit/>
        </w:trPr>
        <w:tc>
          <w:tcPr>
            <w:tcW w:type="dxa" w:w="5112"/>
            <w:shd w:fill="EEF4FB"/>
            <w:tcMar>
              <w:top w:w="80" w:type="dxa"/>
              <w:start w:w="80" w:type="dxa"/>
              <w:bottom w:w="80" w:type="dxa"/>
              <w:end w:w="80" w:type="dxa"/>
            </w:tcMar>
          </w:tcPr>
          <w:p>
            <w:r>
              <w:rPr>
                <w:rFonts w:ascii="Aptos" w:hAnsi="Aptos"/>
                <w:b/>
                <w:sz w:val="18"/>
              </w:rPr>
              <w:t>Issue ID</w:t>
            </w:r>
          </w:p>
        </w:tc>
        <w:tc>
          <w:tcPr>
            <w:tcW w:type="dxa" w:w="5112"/>
            <w:tcMar>
              <w:top w:w="80" w:type="dxa"/>
              <w:start w:w="80" w:type="dxa"/>
              <w:bottom w:w="80" w:type="dxa"/>
              <w:end w:w="80" w:type="dxa"/>
            </w:tcMar>
          </w:tcPr>
          <w:p>
            <w:r>
              <w:rPr>
                <w:rFonts w:ascii="Aptos" w:hAnsi="Aptos"/>
                <w:sz w:val="18"/>
              </w:rPr>
              <w:t>TIG-XXX</w:t>
            </w:r>
          </w:p>
        </w:tc>
      </w:tr>
      <w:tr>
        <w:trPr>
          <w:cantSplit/>
          <w:cantSplit/>
        </w:trPr>
        <w:tc>
          <w:tcPr>
            <w:tcW w:type="dxa" w:w="5112"/>
            <w:shd w:fill="EEF4FB"/>
            <w:tcMar>
              <w:top w:w="80" w:type="dxa"/>
              <w:start w:w="80" w:type="dxa"/>
              <w:bottom w:w="80" w:type="dxa"/>
              <w:end w:w="80" w:type="dxa"/>
            </w:tcMar>
          </w:tcPr>
          <w:p>
            <w:r>
              <w:rPr>
                <w:rFonts w:ascii="Aptos" w:hAnsi="Aptos"/>
                <w:b/>
                <w:sz w:val="18"/>
              </w:rPr>
              <w:t>Date</w:t>
            </w:r>
          </w:p>
        </w:tc>
        <w:tc>
          <w:tcPr>
            <w:tcW w:type="dxa" w:w="5112"/>
            <w:tcMar>
              <w:top w:w="80" w:type="dxa"/>
              <w:start w:w="80" w:type="dxa"/>
              <w:bottom w:w="80" w:type="dxa"/>
              <w:end w:w="80" w:type="dxa"/>
            </w:tcMar>
          </w:tcPr>
          <w:p>
            <w:r>
              <w:rPr>
                <w:rFonts w:ascii="Aptos" w:hAnsi="Aptos"/>
                <w:sz w:val="18"/>
              </w:rPr>
              <w:t>YYYY-MM-DD</w:t>
            </w:r>
          </w:p>
        </w:tc>
      </w:tr>
      <w:tr>
        <w:trPr>
          <w:cantSplit/>
          <w:cantSplit/>
        </w:trPr>
        <w:tc>
          <w:tcPr>
            <w:tcW w:type="dxa" w:w="5112"/>
            <w:shd w:fill="EEF4FB"/>
            <w:tcMar>
              <w:top w:w="80" w:type="dxa"/>
              <w:start w:w="80" w:type="dxa"/>
              <w:bottom w:w="80" w:type="dxa"/>
              <w:end w:w="80" w:type="dxa"/>
            </w:tcMar>
          </w:tcPr>
          <w:p>
            <w:r>
              <w:rPr>
                <w:rFonts w:ascii="Aptos" w:hAnsi="Aptos"/>
                <w:b/>
                <w:sz w:val="18"/>
              </w:rPr>
              <w:t>Area</w:t>
            </w:r>
          </w:p>
        </w:tc>
        <w:tc>
          <w:tcPr>
            <w:tcW w:type="dxa" w:w="5112"/>
            <w:tcMar>
              <w:top w:w="80" w:type="dxa"/>
              <w:start w:w="80" w:type="dxa"/>
              <w:bottom w:w="80" w:type="dxa"/>
              <w:end w:w="80" w:type="dxa"/>
            </w:tcMar>
          </w:tcPr>
          <w:p>
            <w:r>
              <w:rPr>
                <w:rFonts w:ascii="Aptos" w:hAnsi="Aptos"/>
                <w:sz w:val="18"/>
              </w:rPr>
              <w:t>Framework / UI / API / DB / AI / CI / Reporting / Security</w:t>
            </w:r>
          </w:p>
        </w:tc>
      </w:tr>
      <w:tr>
        <w:trPr>
          <w:cantSplit/>
          <w:cantSplit/>
        </w:trPr>
        <w:tc>
          <w:tcPr>
            <w:tcW w:type="dxa" w:w="5112"/>
            <w:shd w:fill="EEF4FB"/>
            <w:tcMar>
              <w:top w:w="80" w:type="dxa"/>
              <w:start w:w="80" w:type="dxa"/>
              <w:bottom w:w="80" w:type="dxa"/>
              <w:end w:w="80" w:type="dxa"/>
            </w:tcMar>
          </w:tcPr>
          <w:p>
            <w:r>
              <w:rPr>
                <w:rFonts w:ascii="Aptos" w:hAnsi="Aptos"/>
                <w:b/>
                <w:sz w:val="18"/>
              </w:rPr>
              <w:t>Symptom</w:t>
            </w:r>
          </w:p>
        </w:tc>
        <w:tc>
          <w:tcPr>
            <w:tcW w:type="dxa" w:w="5112"/>
            <w:tcMar>
              <w:top w:w="80" w:type="dxa"/>
              <w:start w:w="80" w:type="dxa"/>
              <w:bottom w:w="80" w:type="dxa"/>
              <w:end w:w="80" w:type="dxa"/>
            </w:tcMar>
          </w:tcPr>
          <w:p>
            <w:r>
              <w:rPr>
                <w:rFonts w:ascii="Aptos" w:hAnsi="Aptos"/>
                <w:sz w:val="18"/>
              </w:rPr>
              <w:t>Exact error, failed behavior, or unexpected output</w:t>
            </w:r>
          </w:p>
        </w:tc>
      </w:tr>
      <w:tr>
        <w:trPr>
          <w:cantSplit/>
          <w:cantSplit/>
        </w:trPr>
        <w:tc>
          <w:tcPr>
            <w:tcW w:type="dxa" w:w="5112"/>
            <w:shd w:fill="EEF4FB"/>
            <w:tcMar>
              <w:top w:w="80" w:type="dxa"/>
              <w:start w:w="80" w:type="dxa"/>
              <w:bottom w:w="80" w:type="dxa"/>
              <w:end w:w="80" w:type="dxa"/>
            </w:tcMar>
          </w:tcPr>
          <w:p>
            <w:r>
              <w:rPr>
                <w:rFonts w:ascii="Aptos" w:hAnsi="Aptos"/>
                <w:b/>
                <w:sz w:val="18"/>
              </w:rPr>
              <w:t>Root cause</w:t>
            </w:r>
          </w:p>
        </w:tc>
        <w:tc>
          <w:tcPr>
            <w:tcW w:type="dxa" w:w="5112"/>
            <w:tcMar>
              <w:top w:w="80" w:type="dxa"/>
              <w:start w:w="80" w:type="dxa"/>
              <w:bottom w:w="80" w:type="dxa"/>
              <w:end w:w="80" w:type="dxa"/>
            </w:tcMar>
          </w:tcPr>
          <w:p>
            <w:r>
              <w:rPr>
                <w:rFonts w:ascii="Aptos" w:hAnsi="Aptos"/>
                <w:sz w:val="18"/>
              </w:rPr>
              <w:t>Why it happened</w:t>
            </w:r>
          </w:p>
        </w:tc>
      </w:tr>
      <w:tr>
        <w:trPr>
          <w:cantSplit/>
          <w:cantSplit/>
        </w:trPr>
        <w:tc>
          <w:tcPr>
            <w:tcW w:type="dxa" w:w="5112"/>
            <w:shd w:fill="EEF4FB"/>
            <w:tcMar>
              <w:top w:w="80" w:type="dxa"/>
              <w:start w:w="80" w:type="dxa"/>
              <w:bottom w:w="80" w:type="dxa"/>
              <w:end w:w="80" w:type="dxa"/>
            </w:tcMar>
          </w:tcPr>
          <w:p>
            <w:r>
              <w:rPr>
                <w:rFonts w:ascii="Aptos" w:hAnsi="Aptos"/>
                <w:b/>
                <w:sz w:val="18"/>
              </w:rPr>
              <w:t>Solution</w:t>
            </w:r>
          </w:p>
        </w:tc>
        <w:tc>
          <w:tcPr>
            <w:tcW w:type="dxa" w:w="5112"/>
            <w:tcMar>
              <w:top w:w="80" w:type="dxa"/>
              <w:start w:w="80" w:type="dxa"/>
              <w:bottom w:w="80" w:type="dxa"/>
              <w:end w:w="80" w:type="dxa"/>
            </w:tcMar>
          </w:tcPr>
          <w:p>
            <w:r>
              <w:rPr>
                <w:rFonts w:ascii="Aptos" w:hAnsi="Aptos"/>
                <w:sz w:val="18"/>
              </w:rPr>
              <w:t>Code/config/process change</w:t>
            </w:r>
          </w:p>
        </w:tc>
      </w:tr>
      <w:tr>
        <w:trPr>
          <w:cantSplit/>
          <w:cantSplit/>
        </w:trPr>
        <w:tc>
          <w:tcPr>
            <w:tcW w:type="dxa" w:w="5112"/>
            <w:shd w:fill="EEF4FB"/>
            <w:tcMar>
              <w:top w:w="80" w:type="dxa"/>
              <w:start w:w="80" w:type="dxa"/>
              <w:bottom w:w="80" w:type="dxa"/>
              <w:end w:w="80" w:type="dxa"/>
            </w:tcMar>
          </w:tcPr>
          <w:p>
            <w:r>
              <w:rPr>
                <w:rFonts w:ascii="Aptos" w:hAnsi="Aptos"/>
                <w:b/>
                <w:sz w:val="18"/>
              </w:rPr>
              <w:t>Verification</w:t>
            </w:r>
          </w:p>
        </w:tc>
        <w:tc>
          <w:tcPr>
            <w:tcW w:type="dxa" w:w="5112"/>
            <w:tcMar>
              <w:top w:w="80" w:type="dxa"/>
              <w:start w:w="80" w:type="dxa"/>
              <w:bottom w:w="80" w:type="dxa"/>
              <w:end w:w="80" w:type="dxa"/>
            </w:tcMar>
          </w:tcPr>
          <w:p>
            <w:r>
              <w:rPr>
                <w:rFonts w:ascii="Aptos" w:hAnsi="Aptos"/>
                <w:sz w:val="18"/>
              </w:rPr>
              <w:t>Exact command + expected result</w:t>
            </w:r>
          </w:p>
        </w:tc>
      </w:tr>
      <w:tr>
        <w:trPr>
          <w:cantSplit/>
          <w:cantSplit/>
        </w:trPr>
        <w:tc>
          <w:tcPr>
            <w:tcW w:type="dxa" w:w="5112"/>
            <w:shd w:fill="EEF4FB"/>
            <w:tcMar>
              <w:top w:w="80" w:type="dxa"/>
              <w:start w:w="80" w:type="dxa"/>
              <w:bottom w:w="80" w:type="dxa"/>
              <w:end w:w="80" w:type="dxa"/>
            </w:tcMar>
          </w:tcPr>
          <w:p>
            <w:r>
              <w:rPr>
                <w:rFonts w:ascii="Aptos" w:hAnsi="Aptos"/>
                <w:b/>
                <w:sz w:val="18"/>
              </w:rPr>
              <w:t>Status / follow-up</w:t>
            </w:r>
          </w:p>
        </w:tc>
        <w:tc>
          <w:tcPr>
            <w:tcW w:type="dxa" w:w="5112"/>
            <w:tcMar>
              <w:top w:w="80" w:type="dxa"/>
              <w:start w:w="80" w:type="dxa"/>
              <w:bottom w:w="80" w:type="dxa"/>
              <w:end w:w="80" w:type="dxa"/>
            </w:tcMar>
          </w:tcPr>
          <w:p>
            <w:r>
              <w:rPr>
                <w:rFonts w:ascii="Aptos" w:hAnsi="Aptos"/>
                <w:sz w:val="18"/>
              </w:rPr>
              <w:t>RESOLVED / WORKAROUND / FOLLOW-UP / KNOWN DEFECT</w:t>
            </w:r>
          </w:p>
        </w:tc>
      </w:tr>
    </w:tbl>
    <w:p>
      <w:pPr>
        <w:pStyle w:val="Heading1"/>
      </w:pPr>
      <w:r>
        <w:t>8. Resolution Checklist</w:t>
      </w:r>
    </w:p>
    <w:p>
      <w:pPr>
        <w:pStyle w:val="ListNumber"/>
      </w:pPr>
      <w:r>
        <w:t>Reproduce or capture the exact failure.</w:t>
      </w:r>
    </w:p>
    <w:p>
      <w:pPr>
        <w:pStyle w:val="ListNumber"/>
      </w:pPr>
      <w:r>
        <w:t>Identify whether it is framework, project configuration, environment, provider, application defect, or test-data issue.</w:t>
      </w:r>
    </w:p>
    <w:p>
      <w:pPr>
        <w:pStyle w:val="ListNumber"/>
      </w:pPr>
      <w:r>
        <w:t>Fix the smallest correct layer; avoid hardcoding values in tests.</w:t>
      </w:r>
    </w:p>
    <w:p>
      <w:pPr>
        <w:pStyle w:val="ListNumber"/>
      </w:pPr>
      <w:r>
        <w:t>Run typecheck and the relevant focused test.</w:t>
      </w:r>
    </w:p>
    <w:p>
      <w:pPr>
        <w:pStyle w:val="ListNumber"/>
      </w:pPr>
      <w:r>
        <w:t>Run critical/static/final validation when framework code changes.</w:t>
      </w:r>
    </w:p>
    <w:p>
      <w:pPr>
        <w:pStyle w:val="ListNumber"/>
      </w:pPr>
      <w:r>
        <w:t>Confirm reports classify the result correctly.</w:t>
      </w:r>
    </w:p>
    <w:p>
      <w:pPr>
        <w:pStyle w:val="ListNumber"/>
      </w:pPr>
      <w:r>
        <w:t>Check git diff before commit and ensure no secret or generated junk is included.</w:t>
      </w:r>
    </w:p>
    <w:p>
      <w:pPr>
        <w:pStyle w:val="ListNumber"/>
      </w:pPr>
      <w:r>
        <w:t>Update this log with the final root cause and verification command.</w:t>
      </w:r>
    </w:p>
    <w:p>
      <w:pPr>
        <w:jc w:val="center"/>
      </w:pPr>
      <w:r>
        <w:rPr>
          <w:rFonts w:ascii="Aptos" w:hAnsi="Aptos"/>
          <w:b/>
          <w:color w:val="666666"/>
          <w:sz w:val="18"/>
        </w:rPr>
        <w:t>End of current record - append new entries rather than creating separate troubleshooting documents.</w:t>
      </w:r>
    </w:p>
    <w:p>
      <w:r>
        <w:br w:type="page"/>
      </w:r>
    </w:p>
    <w:p>
      <w:pPr>
        <w:pStyle w:val="Heading1"/>
      </w:pPr>
      <w:r>
        <w:t>8. V6 Scale, Product and Market Challenges</w:t>
      </w:r>
    </w:p>
    <w:p>
      <w:r>
        <w:t>Updated: 11 September 2026. These records capture the product-level issues discovered during the V6 architecture and 2026 market review. Each entry separates symptom, root cause, solution, verification and the engineering lesson so future teams do not repeat the same design mistakes.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cantSplit/>
        </w:trPr>
        <w:tc>
          <w:tcPr>
            <w:tcW w:type="dxa" w:w="2556"/>
          </w:tcPr>
          <w:p>
            <w:r>
              <w:rPr>
                <w:sz w:val="16"/>
              </w:rPr>
              <w:t>ID</w:t>
            </w:r>
          </w:p>
        </w:tc>
        <w:tc>
          <w:tcPr>
            <w:tcW w:type="dxa" w:w="2556"/>
          </w:tcPr>
          <w:p>
            <w:r>
              <w:rPr>
                <w:sz w:val="16"/>
              </w:rPr>
              <w:t>Area</w:t>
            </w:r>
          </w:p>
        </w:tc>
        <w:tc>
          <w:tcPr>
            <w:tcW w:type="dxa" w:w="2556"/>
          </w:tcPr>
          <w:p>
            <w:r>
              <w:rPr>
                <w:sz w:val="16"/>
              </w:rPr>
              <w:t>Challenge</w:t>
            </w:r>
          </w:p>
        </w:tc>
        <w:tc>
          <w:tcPr>
            <w:tcW w:type="dxa" w:w="2556"/>
          </w:tcPr>
          <w:p>
            <w:r>
              <w:rPr>
                <w:sz w:val="16"/>
              </w:rPr>
              <w:t>Status</w:t>
            </w:r>
          </w:p>
        </w:tc>
      </w:tr>
      <w:tr>
        <w:trPr>
          <w:cantSplit/>
          <w:cantSplit/>
        </w:trPr>
        <w:tc>
          <w:tcPr>
            <w:tcW w:type="dxa" w:w="2556"/>
            <w:vAlign w:val="top"/>
          </w:tcPr>
          <w:p>
            <w:r>
              <w:rPr>
                <w:sz w:val="16"/>
              </w:rPr>
              <w:t>TIG-018</w:t>
            </w:r>
          </w:p>
        </w:tc>
        <w:tc>
          <w:tcPr>
            <w:tcW w:type="dxa" w:w="2556"/>
            <w:vAlign w:val="top"/>
          </w:tcPr>
          <w:p>
            <w:r>
              <w:rPr>
                <w:sz w:val="16"/>
              </w:rPr>
              <w:t>Execution policy</w:t>
            </w:r>
          </w:p>
        </w:tc>
        <w:tc>
          <w:tcPr>
            <w:tcW w:type="dxa" w:w="2556"/>
            <w:vAlign w:val="top"/>
          </w:tcPr>
          <w:p>
            <w:r>
              <w:rPr>
                <w:sz w:val="16"/>
              </w:rPr>
              <w:t>PW_WORKERS=50% was converted through Number(...) and became NaN.</w:t>
            </w:r>
          </w:p>
        </w:tc>
        <w:tc>
          <w:tcPr>
            <w:tcW w:type="dxa" w:w="2556"/>
            <w:vAlign w:val="top"/>
          </w:tcPr>
          <w:p>
            <w:r>
              <w:rPr>
                <w:sz w:val="16"/>
              </w:rPr>
              <w:t>RESOLVED V6</w:t>
            </w:r>
          </w:p>
        </w:tc>
      </w:tr>
      <w:tr>
        <w:trPr>
          <w:cantSplit/>
          <w:cantSplit/>
        </w:trPr>
        <w:tc>
          <w:tcPr>
            <w:tcW w:type="dxa" w:w="2556"/>
            <w:vAlign w:val="top"/>
          </w:tcPr>
          <w:p>
            <w:r>
              <w:rPr>
                <w:sz w:val="16"/>
              </w:rPr>
              <w:t>TIG-019</w:t>
            </w:r>
          </w:p>
        </w:tc>
        <w:tc>
          <w:tcPr>
            <w:tcW w:type="dxa" w:w="2556"/>
            <w:vAlign w:val="top"/>
          </w:tcPr>
          <w:p>
            <w:r>
              <w:rPr>
                <w:sz w:val="16"/>
              </w:rPr>
              <w:t>Auth / capability isolation</w:t>
            </w:r>
          </w:p>
        </w:tc>
        <w:tc>
          <w:tcPr>
            <w:tcW w:type="dxa" w:w="2556"/>
            <w:vAlign w:val="top"/>
          </w:tcPr>
          <w:p>
            <w:r>
              <w:rPr>
                <w:sz w:val="16"/>
              </w:rPr>
              <w:t>DB/API-only execution could be blocked by missing browser storage state.</w:t>
            </w:r>
          </w:p>
        </w:tc>
        <w:tc>
          <w:tcPr>
            <w:tcW w:type="dxa" w:w="2556"/>
            <w:vAlign w:val="top"/>
          </w:tcPr>
          <w:p>
            <w:r>
              <w:rPr>
                <w:sz w:val="16"/>
              </w:rPr>
              <w:t>RESOLVED V6</w:t>
            </w:r>
          </w:p>
        </w:tc>
      </w:tr>
      <w:tr>
        <w:trPr>
          <w:cantSplit/>
          <w:cantSplit/>
        </w:trPr>
        <w:tc>
          <w:tcPr>
            <w:tcW w:type="dxa" w:w="2556"/>
            <w:vAlign w:val="top"/>
          </w:tcPr>
          <w:p>
            <w:r>
              <w:rPr>
                <w:sz w:val="16"/>
              </w:rPr>
              <w:t>TIG-020</w:t>
            </w:r>
          </w:p>
        </w:tc>
        <w:tc>
          <w:tcPr>
            <w:tcW w:type="dxa" w:w="2556"/>
            <w:vAlign w:val="top"/>
          </w:tcPr>
          <w:p>
            <w:r>
              <w:rPr>
                <w:sz w:val="16"/>
              </w:rPr>
              <w:t>Parallel test data</w:t>
            </w:r>
          </w:p>
        </w:tc>
        <w:tc>
          <w:tcPr>
            <w:tcW w:type="dxa" w:w="2556"/>
            <w:vAlign w:val="top"/>
          </w:tcPr>
          <w:p>
            <w:r>
              <w:rPr>
                <w:sz w:val="16"/>
              </w:rPr>
              <w:t>Workers could collide on the same mutable user/order/data record.</w:t>
            </w:r>
          </w:p>
        </w:tc>
        <w:tc>
          <w:tcPr>
            <w:tcW w:type="dxa" w:w="2556"/>
            <w:vAlign w:val="top"/>
          </w:tcPr>
          <w:p>
            <w:r>
              <w:rPr>
                <w:sz w:val="16"/>
              </w:rPr>
              <w:t>RESOLVED V6</w:t>
            </w:r>
          </w:p>
        </w:tc>
      </w:tr>
      <w:tr>
        <w:trPr>
          <w:cantSplit/>
          <w:cantSplit/>
        </w:trPr>
        <w:tc>
          <w:tcPr>
            <w:tcW w:type="dxa" w:w="2556"/>
            <w:vAlign w:val="top"/>
          </w:tcPr>
          <w:p>
            <w:r>
              <w:rPr>
                <w:sz w:val="16"/>
              </w:rPr>
              <w:t>TIG-021</w:t>
            </w:r>
          </w:p>
        </w:tc>
        <w:tc>
          <w:tcPr>
            <w:tcW w:type="dxa" w:w="2556"/>
            <w:vAlign w:val="top"/>
          </w:tcPr>
          <w:p>
            <w:r>
              <w:rPr>
                <w:sz w:val="16"/>
              </w:rPr>
              <w:t>Data-driven authoring</w:t>
            </w:r>
          </w:p>
        </w:tc>
        <w:tc>
          <w:tcPr>
            <w:tcW w:type="dxa" w:w="2556"/>
            <w:vAlign w:val="top"/>
          </w:tcPr>
          <w:p>
            <w:r>
              <w:rPr>
                <w:sz w:val="16"/>
              </w:rPr>
              <w:t>Large datasets risked loops inside one Playwright test and duplicate case IDs.</w:t>
            </w:r>
          </w:p>
        </w:tc>
        <w:tc>
          <w:tcPr>
            <w:tcW w:type="dxa" w:w="2556"/>
            <w:vAlign w:val="top"/>
          </w:tcPr>
          <w:p>
            <w:r>
              <w:rPr>
                <w:sz w:val="16"/>
              </w:rPr>
              <w:t>RESOLVED V6</w:t>
            </w:r>
          </w:p>
        </w:tc>
      </w:tr>
      <w:tr>
        <w:trPr>
          <w:cantSplit/>
          <w:cantSplit/>
        </w:trPr>
        <w:tc>
          <w:tcPr>
            <w:tcW w:type="dxa" w:w="2556"/>
            <w:vAlign w:val="top"/>
          </w:tcPr>
          <w:p>
            <w:r>
              <w:rPr>
                <w:sz w:val="16"/>
              </w:rPr>
              <w:t>TIG-022</w:t>
            </w:r>
          </w:p>
        </w:tc>
        <w:tc>
          <w:tcPr>
            <w:tcW w:type="dxa" w:w="2556"/>
            <w:vAlign w:val="top"/>
          </w:tcPr>
          <w:p>
            <w:r>
              <w:rPr>
                <w:sz w:val="16"/>
              </w:rPr>
              <w:t>Execution balancing</w:t>
            </w:r>
          </w:p>
        </w:tc>
        <w:tc>
          <w:tcPr>
            <w:tcW w:type="dxa" w:w="2556"/>
            <w:vAlign w:val="top"/>
          </w:tcPr>
          <w:p>
            <w:r>
              <w:rPr>
                <w:sz w:val="16"/>
              </w:rPr>
              <w:t>Custom scheduling risked replacing Playwright with a fragile scheduler and duration history could become inefficient.</w:t>
            </w:r>
          </w:p>
        </w:tc>
        <w:tc>
          <w:tcPr>
            <w:tcW w:type="dxa" w:w="2556"/>
            <w:vAlign w:val="top"/>
          </w:tcPr>
          <w:p>
            <w:r>
              <w:rPr>
                <w:sz w:val="16"/>
              </w:rPr>
              <w:t>RESOLVED V6</w:t>
            </w:r>
          </w:p>
        </w:tc>
      </w:tr>
      <w:tr>
        <w:trPr>
          <w:cantSplit/>
          <w:cantSplit/>
        </w:trPr>
        <w:tc>
          <w:tcPr>
            <w:tcW w:type="dxa" w:w="2556"/>
            <w:vAlign w:val="top"/>
          </w:tcPr>
          <w:p>
            <w:r>
              <w:rPr>
                <w:sz w:val="16"/>
              </w:rPr>
              <w:t>TIG-023</w:t>
            </w:r>
          </w:p>
        </w:tc>
        <w:tc>
          <w:tcPr>
            <w:tcW w:type="dxa" w:w="2556"/>
            <w:vAlign w:val="top"/>
          </w:tcPr>
          <w:p>
            <w:r>
              <w:rPr>
                <w:sz w:val="16"/>
              </w:rPr>
              <w:t>AI/generated governance</w:t>
            </w:r>
          </w:p>
        </w:tc>
        <w:tc>
          <w:tcPr>
            <w:tcW w:type="dxa" w:w="2556"/>
            <w:vAlign w:val="top"/>
          </w:tcPr>
          <w:p>
            <w:r>
              <w:rPr>
                <w:sz w:val="16"/>
              </w:rPr>
              <w:t>A custom profile could accidentally inherit permission to run AI, generated or manual-only tests.</w:t>
            </w:r>
          </w:p>
        </w:tc>
        <w:tc>
          <w:tcPr>
            <w:tcW w:type="dxa" w:w="2556"/>
            <w:vAlign w:val="top"/>
          </w:tcPr>
          <w:p>
            <w:r>
              <w:rPr>
                <w:sz w:val="16"/>
              </w:rPr>
              <w:t>RESOLVED V6</w:t>
            </w:r>
          </w:p>
        </w:tc>
      </w:tr>
      <w:tr>
        <w:trPr>
          <w:cantSplit/>
          <w:cantSplit/>
        </w:trPr>
        <w:tc>
          <w:tcPr>
            <w:tcW w:type="dxa" w:w="2556"/>
            <w:vAlign w:val="top"/>
          </w:tcPr>
          <w:p>
            <w:r>
              <w:rPr>
                <w:sz w:val="16"/>
              </w:rPr>
              <w:t>TIG-024</w:t>
            </w:r>
          </w:p>
        </w:tc>
        <w:tc>
          <w:tcPr>
            <w:tcW w:type="dxa" w:w="2556"/>
            <w:vAlign w:val="top"/>
          </w:tcPr>
          <w:p>
            <w:r>
              <w:rPr>
                <w:sz w:val="16"/>
              </w:rPr>
              <w:t>Configuration precedence</w:t>
            </w:r>
          </w:p>
        </w:tc>
        <w:tc>
          <w:tcPr>
            <w:tcW w:type="dxa" w:w="2556"/>
            <w:vAlign w:val="top"/>
          </w:tcPr>
          <w:p>
            <w:r>
              <w:rPr>
                <w:sz w:val="16"/>
              </w:rPr>
              <w:t>Multiple teams need org, project, environment and runtime flexibility without unclear override behavior.</w:t>
            </w:r>
          </w:p>
        </w:tc>
        <w:tc>
          <w:tcPr>
            <w:tcW w:type="dxa" w:w="2556"/>
            <w:vAlign w:val="top"/>
          </w:tcPr>
          <w:p>
            <w:r>
              <w:rPr>
                <w:sz w:val="16"/>
              </w:rPr>
              <w:t>RESOLVED V6</w:t>
            </w:r>
          </w:p>
        </w:tc>
      </w:tr>
      <w:tr>
        <w:trPr>
          <w:cantSplit/>
          <w:cantSplit/>
        </w:trPr>
        <w:tc>
          <w:tcPr>
            <w:tcW w:type="dxa" w:w="2556"/>
            <w:vAlign w:val="top"/>
          </w:tcPr>
          <w:p>
            <w:r>
              <w:rPr>
                <w:sz w:val="16"/>
              </w:rPr>
              <w:t>TIG-025</w:t>
            </w:r>
          </w:p>
        </w:tc>
        <w:tc>
          <w:tcPr>
            <w:tcW w:type="dxa" w:w="2556"/>
            <w:vAlign w:val="top"/>
          </w:tcPr>
          <w:p>
            <w:r>
              <w:rPr>
                <w:sz w:val="16"/>
              </w:rPr>
              <w:t>Provider lock-in / tool sprawl</w:t>
            </w:r>
          </w:p>
        </w:tc>
        <w:tc>
          <w:tcPr>
            <w:tcW w:type="dxa" w:w="2556"/>
            <w:vAlign w:val="top"/>
          </w:tcPr>
          <w:p>
            <w:r>
              <w:rPr>
                <w:sz w:val="16"/>
              </w:rPr>
              <w:t>Market platforms combine device clouds, AI agents, visual, accessibility and management, encouraging proprietary coupling.</w:t>
            </w:r>
          </w:p>
        </w:tc>
        <w:tc>
          <w:tcPr>
            <w:tcW w:type="dxa" w:w="2556"/>
            <w:vAlign w:val="top"/>
          </w:tcPr>
          <w:p>
            <w:r>
              <w:rPr>
                <w:sz w:val="16"/>
              </w:rPr>
              <w:t>ARCHITECTURE DECISION</w:t>
            </w:r>
          </w:p>
        </w:tc>
      </w:tr>
      <w:tr>
        <w:trPr>
          <w:cantSplit/>
          <w:cantSplit/>
        </w:trPr>
        <w:tc>
          <w:tcPr>
            <w:tcW w:type="dxa" w:w="2556"/>
            <w:vAlign w:val="top"/>
          </w:tcPr>
          <w:p>
            <w:r>
              <w:rPr>
                <w:sz w:val="16"/>
              </w:rPr>
              <w:t>TIG-026</w:t>
            </w:r>
          </w:p>
        </w:tc>
        <w:tc>
          <w:tcPr>
            <w:tcW w:type="dxa" w:w="2556"/>
            <w:vAlign w:val="top"/>
          </w:tcPr>
          <w:p>
            <w:r>
              <w:rPr>
                <w:sz w:val="16"/>
              </w:rPr>
              <w:t>Accessibility</w:t>
            </w:r>
          </w:p>
        </w:tc>
        <w:tc>
          <w:tcPr>
            <w:tcW w:type="dxa" w:w="2556"/>
            <w:vAlign w:val="top"/>
          </w:tcPr>
          <w:p>
            <w:r>
              <w:rPr>
                <w:sz w:val="16"/>
              </w:rPr>
              <w:t>Simple DOM checks could be mistaken for full WCAG compliance.</w:t>
            </w:r>
          </w:p>
        </w:tc>
        <w:tc>
          <w:tcPr>
            <w:tcW w:type="dxa" w:w="2556"/>
            <w:vAlign w:val="top"/>
          </w:tcPr>
          <w:p>
            <w:r>
              <w:rPr>
                <w:sz w:val="16"/>
              </w:rPr>
              <w:t>RESOLVED V6 / BOUNDED</w:t>
            </w:r>
          </w:p>
        </w:tc>
      </w:tr>
      <w:tr>
        <w:trPr>
          <w:cantSplit/>
          <w:cantSplit/>
        </w:trPr>
        <w:tc>
          <w:tcPr>
            <w:tcW w:type="dxa" w:w="2556"/>
            <w:vAlign w:val="top"/>
          </w:tcPr>
          <w:p>
            <w:r>
              <w:rPr>
                <w:sz w:val="16"/>
              </w:rPr>
              <w:t>TIG-027</w:t>
            </w:r>
          </w:p>
        </w:tc>
        <w:tc>
          <w:tcPr>
            <w:tcW w:type="dxa" w:w="2556"/>
            <w:vAlign w:val="top"/>
          </w:tcPr>
          <w:p>
            <w:r>
              <w:rPr>
                <w:sz w:val="16"/>
              </w:rPr>
              <w:t>Declarative authoring security</w:t>
            </w:r>
          </w:p>
        </w:tc>
        <w:tc>
          <w:tcPr>
            <w:tcW w:type="dxa" w:w="2556"/>
            <w:vAlign w:val="top"/>
          </w:tcPr>
          <w:p>
            <w:r>
              <w:rPr>
                <w:sz w:val="16"/>
              </w:rPr>
              <w:t>Natural-language/YAML authoring can become arbitrary code or shell execution if the DSL is too permissive.</w:t>
            </w:r>
          </w:p>
        </w:tc>
        <w:tc>
          <w:tcPr>
            <w:tcW w:type="dxa" w:w="2556"/>
            <w:vAlign w:val="top"/>
          </w:tcPr>
          <w:p>
            <w:r>
              <w:rPr>
                <w:sz w:val="16"/>
              </w:rPr>
              <w:t>RESOLVED V6</w:t>
            </w:r>
          </w:p>
        </w:tc>
      </w:tr>
      <w:tr>
        <w:trPr>
          <w:cantSplit/>
          <w:cantSplit/>
        </w:trPr>
        <w:tc>
          <w:tcPr>
            <w:tcW w:type="dxa" w:w="2556"/>
            <w:vAlign w:val="top"/>
          </w:tcPr>
          <w:p>
            <w:r>
              <w:rPr>
                <w:sz w:val="16"/>
              </w:rPr>
              <w:t>TIG-028</w:t>
            </w:r>
          </w:p>
        </w:tc>
        <w:tc>
          <w:tcPr>
            <w:tcW w:type="dxa" w:w="2556"/>
            <w:vAlign w:val="top"/>
          </w:tcPr>
          <w:p>
            <w:r>
              <w:rPr>
                <w:sz w:val="16"/>
              </w:rPr>
              <w:t>Product claims</w:t>
            </w:r>
          </w:p>
        </w:tc>
        <w:tc>
          <w:tcPr>
            <w:tcW w:type="dxa" w:w="2556"/>
            <w:vAlign w:val="top"/>
          </w:tcPr>
          <w:p>
            <w:r>
              <w:rPr>
                <w:sz w:val="16"/>
              </w:rPr>
              <w:t>"No tool can compete" is not an engineering fact without comparative evidence.</w:t>
            </w:r>
          </w:p>
        </w:tc>
        <w:tc>
          <w:tcPr>
            <w:tcW w:type="dxa" w:w="2556"/>
            <w:vAlign w:val="top"/>
          </w:tcPr>
          <w:p>
            <w:r>
              <w:rPr>
                <w:sz w:val="16"/>
              </w:rPr>
              <w:t>RESOLVED AS PRODUCT POLICY</w:t>
            </w:r>
          </w:p>
        </w:tc>
      </w:tr>
      <w:tr>
        <w:trPr>
          <w:cantSplit/>
          <w:cantSplit/>
        </w:trPr>
        <w:tc>
          <w:tcPr>
            <w:tcW w:type="dxa" w:w="2556"/>
            <w:vAlign w:val="top"/>
          </w:tcPr>
          <w:p>
            <w:r>
              <w:rPr>
                <w:sz w:val="16"/>
              </w:rPr>
              <w:t>TIG-029</w:t>
            </w:r>
          </w:p>
        </w:tc>
        <w:tc>
          <w:tcPr>
            <w:tcW w:type="dxa" w:w="2556"/>
            <w:vAlign w:val="top"/>
          </w:tcPr>
          <w:p>
            <w:r>
              <w:rPr>
                <w:sz w:val="16"/>
              </w:rPr>
              <w:t>AI/agent evaluation</w:t>
            </w:r>
          </w:p>
        </w:tc>
        <w:tc>
          <w:tcPr>
            <w:tcW w:type="dxa" w:w="2556"/>
            <w:vAlign w:val="top"/>
          </w:tcPr>
          <w:p>
            <w:r>
              <w:rPr>
                <w:sz w:val="16"/>
              </w:rPr>
              <w:t>UI automation alone does not validate RAG/agent reasoning, tools, arguments or task completion.</w:t>
            </w:r>
          </w:p>
        </w:tc>
        <w:tc>
          <w:tcPr>
            <w:tcW w:type="dxa" w:w="2556"/>
            <w:vAlign w:val="top"/>
          </w:tcPr>
          <w:p>
            <w:r>
              <w:rPr>
                <w:sz w:val="16"/>
              </w:rPr>
              <w:t>RESOLVED V6 FOUNDATION</w:t>
            </w:r>
          </w:p>
        </w:tc>
      </w:tr>
      <w:tr>
        <w:trPr>
          <w:cantSplit/>
          <w:cantSplit/>
        </w:trPr>
        <w:tc>
          <w:tcPr>
            <w:tcW w:type="dxa" w:w="2556"/>
            <w:vAlign w:val="top"/>
          </w:tcPr>
          <w:p>
            <w:r>
              <w:rPr>
                <w:sz w:val="16"/>
              </w:rPr>
              <w:t>TIG-030</w:t>
            </w:r>
          </w:p>
        </w:tc>
        <w:tc>
          <w:tcPr>
            <w:tcW w:type="dxa" w:w="2556"/>
            <w:vAlign w:val="top"/>
          </w:tcPr>
          <w:p>
            <w:r>
              <w:rPr>
                <w:sz w:val="16"/>
              </w:rPr>
              <w:t>Dependency reproducibility</w:t>
            </w:r>
          </w:p>
        </w:tc>
        <w:tc>
          <w:tcPr>
            <w:tcW w:type="dxa" w:w="2556"/>
            <w:vAlign w:val="top"/>
          </w:tcPr>
          <w:p>
            <w:r>
              <w:rPr>
                <w:sz w:val="16"/>
              </w:rPr>
              <w:t>Floating latest dependency ranges could change framework behavior between installs.</w:t>
            </w:r>
          </w:p>
        </w:tc>
        <w:tc>
          <w:tcPr>
            <w:tcW w:type="dxa" w:w="2556"/>
            <w:vAlign w:val="top"/>
          </w:tcPr>
          <w:p>
            <w:r>
              <w:rPr>
                <w:sz w:val="16"/>
              </w:rPr>
              <w:t>RESOLVED V6</w:t>
            </w:r>
          </w:p>
        </w:tc>
      </w:tr>
      <w:tr>
        <w:trPr>
          <w:cantSplit/>
        </w:trPr>
        <w:tc>
          <w:tcPr>
            <w:tcW w:type="dxa" w:w="2556"/>
          </w:tcPr>
          <w:p>
            <w:r>
              <w:rPr>
                <w:sz w:val="16"/>
              </w:rPr>
              <w:t>TIG-031</w:t>
            </w:r>
          </w:p>
        </w:tc>
        <w:tc>
          <w:tcPr>
            <w:tcW w:type="dxa" w:w="2556"/>
          </w:tcPr>
          <w:p>
            <w:r>
              <w:rPr>
                <w:sz w:val="16"/>
              </w:rPr>
              <w:t>Execution governance</w:t>
            </w:r>
          </w:p>
        </w:tc>
        <w:tc>
          <w:tcPr>
            <w:tcW w:type="dxa" w:w="2556"/>
          </w:tcPr>
          <w:p>
            <w:r>
              <w:rPr>
                <w:sz w:val="16"/>
              </w:rPr>
              <w:t>CLI --grep / --grep-invert could override profile/lane policy and re-enable excluded suites.</w:t>
            </w:r>
          </w:p>
        </w:tc>
        <w:tc>
          <w:tcPr>
            <w:tcW w:type="dxa" w:w="2556"/>
          </w:tcPr>
          <w:p>
            <w:r>
              <w:rPr>
                <w:sz w:val="16"/>
              </w:rPr>
              <w:t>RESOLVED V6 FINAL</w:t>
            </w:r>
          </w:p>
        </w:tc>
      </w:tr>
      <w:tr>
        <w:trPr>
          <w:cantSplit/>
        </w:trPr>
        <w:tc>
          <w:tcPr>
            <w:tcW w:type="dxa" w:w="2556"/>
          </w:tcPr>
          <w:p>
            <w:r>
              <w:rPr>
                <w:sz w:val="16"/>
              </w:rPr>
              <w:t>TIG-032</w:t>
            </w:r>
          </w:p>
        </w:tc>
        <w:tc>
          <w:tcPr>
            <w:tcW w:type="dxa" w:w="2556"/>
          </w:tcPr>
          <w:p>
            <w:r>
              <w:rPr>
                <w:sz w:val="16"/>
              </w:rPr>
              <w:t>Parallel data identity</w:t>
            </w:r>
          </w:p>
        </w:tc>
        <w:tc>
          <w:tcPr>
            <w:tcW w:type="dxa" w:w="2556"/>
          </w:tcPr>
          <w:p>
            <w:r>
              <w:rPr>
                <w:sz w:val="16"/>
              </w:rPr>
              <w:t>Case ID annotation timing and missing environment scope could weaken ownership uniqueness.</w:t>
            </w:r>
          </w:p>
        </w:tc>
        <w:tc>
          <w:tcPr>
            <w:tcW w:type="dxa" w:w="2556"/>
          </w:tcPr>
          <w:p>
            <w:r>
              <w:rPr>
                <w:sz w:val="16"/>
              </w:rPr>
              <w:t>RESOLVED V6 FINAL</w:t>
            </w:r>
          </w:p>
        </w:tc>
      </w:tr>
      <w:tr>
        <w:trPr>
          <w:cantSplit/>
        </w:trPr>
        <w:tc>
          <w:tcPr>
            <w:tcW w:type="dxa" w:w="2556"/>
          </w:tcPr>
          <w:p>
            <w:r>
              <w:rPr>
                <w:sz w:val="16"/>
              </w:rPr>
              <w:t>TIG-033</w:t>
            </w:r>
          </w:p>
        </w:tc>
        <w:tc>
          <w:tcPr>
            <w:tcW w:type="dxa" w:w="2556"/>
          </w:tcPr>
          <w:p>
            <w:r>
              <w:rPr>
                <w:sz w:val="16"/>
              </w:rPr>
              <w:t>Duration history</w:t>
            </w:r>
          </w:p>
        </w:tc>
        <w:tc>
          <w:tcPr>
            <w:tcW w:type="dxa" w:w="2556"/>
          </w:tcPr>
          <w:p>
            <w:r>
              <w:rPr>
                <w:sz w:val="16"/>
              </w:rPr>
              <w:t>Corrupt/negative duration estimates could poison history-based shard planning.</w:t>
            </w:r>
          </w:p>
        </w:tc>
        <w:tc>
          <w:tcPr>
            <w:tcW w:type="dxa" w:w="2556"/>
          </w:tcPr>
          <w:p>
            <w:r>
              <w:rPr>
                <w:sz w:val="16"/>
              </w:rPr>
              <w:t>RESOLVED V6 FINAL</w:t>
            </w:r>
          </w:p>
        </w:tc>
      </w:tr>
      <w:tr>
        <w:trPr>
          <w:cantSplit/>
        </w:trPr>
        <w:tc>
          <w:tcPr>
            <w:tcW w:type="dxa" w:w="2556"/>
          </w:tcPr>
          <w:p>
            <w:r>
              <w:rPr>
                <w:sz w:val="16"/>
              </w:rPr>
              <w:t>TIG-034</w:t>
            </w:r>
          </w:p>
        </w:tc>
        <w:tc>
          <w:tcPr>
            <w:tcW w:type="dxa" w:w="2556"/>
          </w:tcPr>
          <w:p>
            <w:r>
              <w:rPr>
                <w:sz w:val="16"/>
              </w:rPr>
              <w:t>Release assurance</w:t>
            </w:r>
          </w:p>
        </w:tc>
        <w:tc>
          <w:tcPr>
            <w:tcW w:type="dxa" w:w="2556"/>
          </w:tcPr>
          <w:p>
            <w:r>
              <w:rPr>
                <w:sz w:val="16"/>
              </w:rPr>
              <w:t>A market-ready framework needed dependency-independent release checks, SBOM and repeatable verification.</w:t>
            </w:r>
          </w:p>
        </w:tc>
        <w:tc>
          <w:tcPr>
            <w:tcW w:type="dxa" w:w="2556"/>
          </w:tcPr>
          <w:p>
            <w:r>
              <w:rPr>
                <w:sz w:val="16"/>
              </w:rPr>
              <w:t>RESOLVED V6 FINAL</w:t>
            </w:r>
          </w:p>
        </w:tc>
      </w:tr>
      <w:tr>
        <w:trPr>
          <w:cantSplit/>
        </w:trPr>
        <w:tc>
          <w:tcPr>
            <w:tcW w:type="dxa" w:w="2556"/>
          </w:tcPr>
          <w:p>
            <w:r>
              <w:t>TIG-035</w:t>
            </w:r>
          </w:p>
        </w:tc>
        <w:tc>
          <w:tcPr>
            <w:tcW w:type="dxa" w:w="2556"/>
          </w:tcPr>
          <w:p>
            <w:r>
              <w:t>Release typing</w:t>
            </w:r>
          </w:p>
        </w:tc>
        <w:tc>
          <w:tcPr>
            <w:tcW w:type="dxa" w:w="2556"/>
          </w:tcPr>
          <w:p>
            <w:r>
              <w:t>Runner indexed an optional ExecutionPolicyInput parameter type and failed clean TypeScript validation.</w:t>
            </w:r>
          </w:p>
        </w:tc>
        <w:tc>
          <w:tcPr>
            <w:tcW w:type="dxa" w:w="2556"/>
          </w:tcPr>
          <w:p>
            <w:r>
              <w:t>RESOLVED v1.1.1</w:t>
            </w:r>
          </w:p>
        </w:tc>
      </w:tr>
      <w:tr>
        <w:trPr>
          <w:cantSplit/>
        </w:trPr>
        <w:tc>
          <w:tcPr>
            <w:tcW w:type="dxa" w:w="2556"/>
          </w:tcPr>
          <w:p>
            <w:r>
              <w:t>TIG-036</w:t>
            </w:r>
          </w:p>
        </w:tc>
        <w:tc>
          <w:tcPr>
            <w:tcW w:type="dxa" w:w="2556"/>
          </w:tcPr>
          <w:p>
            <w:r>
              <w:t>CLI / scale audit</w:t>
            </w:r>
          </w:p>
        </w:tc>
        <w:tc>
          <w:tcPr>
            <w:tcW w:type="dxa" w:w="2556"/>
          </w:tcPr>
          <w:p>
            <w:r>
              <w:t>Intuitive comments:audit command was missing and pure @data spec produced misleading lane warning.</w:t>
            </w:r>
          </w:p>
        </w:tc>
        <w:tc>
          <w:tcPr>
            <w:tcW w:type="dxa" w:w="2556"/>
          </w:tcPr>
          <w:p>
            <w:r>
              <w:t>RESOLVED v1.1.2</w:t>
            </w:r>
          </w:p>
        </w:tc>
      </w:tr>
    </w:tbl>
    <w:p>
      <w:pPr>
        <w:pStyle w:val="Heading2"/>
      </w:pPr>
      <w:r>
        <w:t>TIG-018 - PW_WORKERS=50% was converted through Number(...) and became NaN.</w:t>
      </w:r>
    </w:p>
    <w:p>
      <w:r>
        <w:rPr>
          <w:b/>
        </w:rPr>
        <w:t xml:space="preserve">Area / status: </w:t>
      </w:r>
      <w:r>
        <w:t>Execution policy | RESOLVED V6</w:t>
      </w:r>
    </w:p>
    <w:p>
      <w:r>
        <w:rPr>
          <w:b/>
        </w:rPr>
        <w:t xml:space="preserve">Root cause: </w:t>
      </w:r>
      <w:r>
        <w:t>The previous config assumed workers were integers even though Playwright accepts percentage worker settings.</w:t>
      </w:r>
    </w:p>
    <w:p>
      <w:r>
        <w:rPr>
          <w:b/>
        </w:rPr>
        <w:t xml:space="preserve">Solution: </w:t>
      </w:r>
      <w:r>
        <w:t>Created a typed WorkerSetting parser and centralized execution policy so integer and percentage workers are validated consistently.</w:t>
      </w:r>
    </w:p>
    <w:p>
      <w:r>
        <w:rPr>
          <w:b/>
        </w:rPr>
        <w:t xml:space="preserve">Verification: </w:t>
      </w:r>
      <w:r>
        <w:t>Validate parseWorkers("50%") and resolve profiles through the V6 execution contract tests.</w:t>
      </w:r>
    </w:p>
    <w:p>
      <w:r>
        <w:rPr>
          <w:b/>
        </w:rPr>
        <w:t xml:space="preserve">Lesson learned: </w:t>
      </w:r>
      <w:r>
        <w:t>Framework configuration must preserve native engine capabilities instead of narrowing them accidentally.</w:t>
      </w:r>
    </w:p>
    <w:p>
      <w:pPr>
        <w:pStyle w:val="Heading2"/>
      </w:pPr>
      <w:r>
        <w:t>TIG-019 - DB/API-only execution could be blocked by missing browser storage state.</w:t>
      </w:r>
    </w:p>
    <w:p>
      <w:r>
        <w:rPr>
          <w:b/>
        </w:rPr>
        <w:t xml:space="preserve">Area / status: </w:t>
      </w:r>
      <w:r>
        <w:t>Auth / capability isolation | RESOLVED V6</w:t>
      </w:r>
    </w:p>
    <w:p>
      <w:r>
        <w:rPr>
          <w:b/>
        </w:rPr>
        <w:t xml:space="preserve">Root cause: </w:t>
      </w:r>
      <w:r>
        <w:t>Project preflight treated authentication as a project-wide requirement instead of a capability requirement.</w:t>
      </w:r>
    </w:p>
    <w:p>
      <w:r>
        <w:rPr>
          <w:b/>
        </w:rPr>
        <w:t xml:space="preserve">Solution: </w:t>
      </w:r>
      <w:r>
        <w:t>Authentication preflight is now lane-aware. UI/E2E/browser lanes enforce required storage state; API/DB-only lanes do not.</w:t>
      </w:r>
    </w:p>
    <w:p>
      <w:r>
        <w:rPr>
          <w:b/>
        </w:rPr>
        <w:t xml:space="preserve">Verification: </w:t>
      </w:r>
      <w:r>
        <w:t>Run project preflight for db/api without storage state, then verify ui fails fast when the required state is missing.</w:t>
      </w:r>
    </w:p>
    <w:p>
      <w:r>
        <w:rPr>
          <w:b/>
        </w:rPr>
        <w:t xml:space="preserve">Lesson learned: </w:t>
      </w:r>
      <w:r>
        <w:t>Resources should be required by the capability that consumes them, not by unrelated tests.</w:t>
      </w:r>
    </w:p>
    <w:p>
      <w:pPr>
        <w:pStyle w:val="Heading2"/>
      </w:pPr>
      <w:r>
        <w:t>TIG-020 - Workers could collide on the same mutable user/order/data record.</w:t>
      </w:r>
    </w:p>
    <w:p>
      <w:r>
        <w:rPr>
          <w:b/>
        </w:rPr>
        <w:t xml:space="preserve">Area / status: </w:t>
      </w:r>
      <w:r>
        <w:t>Parallel test data | RESOLVED V6</w:t>
      </w:r>
    </w:p>
    <w:p>
      <w:r>
        <w:rPr>
          <w:b/>
        </w:rPr>
        <w:t xml:space="preserve">Root cause: </w:t>
      </w:r>
      <w:r>
        <w:t>Parallelism without explicit ownership turns shared business identities into hidden global state.</w:t>
      </w:r>
    </w:p>
    <w:p>
      <w:r>
        <w:rPr>
          <w:b/>
        </w:rPr>
        <w:t xml:space="preserve">Solution: </w:t>
      </w:r>
      <w:r>
        <w:t>Added dataScope identities for stable, retry-attempt and idempotent ownership. Tests can derive bounded names from run/test/worker identity.</w:t>
      </w:r>
    </w:p>
    <w:p>
      <w:r>
        <w:rPr>
          <w:b/>
        </w:rPr>
        <w:t xml:space="preserve">Verification: </w:t>
      </w:r>
      <w:r>
        <w:t>V6 contract tests assert stable/attempt/idempotent behavior and scale audit reviews data-driven suites.</w:t>
      </w:r>
    </w:p>
    <w:p>
      <w:r>
        <w:rPr>
          <w:b/>
        </w:rPr>
        <w:t xml:space="preserve">Lesson learned: </w:t>
      </w:r>
      <w:r>
        <w:t>Parallel execution is safe only when mutable state has clear ownership.</w:t>
      </w:r>
    </w:p>
    <w:p>
      <w:pPr>
        <w:pStyle w:val="Heading2"/>
      </w:pPr>
      <w:r>
        <w:t>TIG-021 - Large datasets risked loops inside one Playwright test and duplicate case IDs.</w:t>
      </w:r>
    </w:p>
    <w:p>
      <w:r>
        <w:rPr>
          <w:b/>
        </w:rPr>
        <w:t xml:space="preserve">Area / status: </w:t>
      </w:r>
      <w:r>
        <w:t>Data-driven authoring | RESOLVED V6</w:t>
      </w:r>
    </w:p>
    <w:p>
      <w:r>
        <w:rPr>
          <w:b/>
        </w:rPr>
        <w:t xml:space="preserve">Root cause: </w:t>
      </w:r>
      <w:r>
        <w:t>Runtime loops hide individual case identity from sharding, retries and reporting. Duplicate IDs make evidence ambiguous.</w:t>
      </w:r>
    </w:p>
    <w:p>
      <w:r>
        <w:rPr>
          <w:b/>
        </w:rPr>
        <w:t xml:space="preserve">Solution: </w:t>
      </w:r>
      <w:r>
        <w:t>Added JSON/CSV/YAML/Excel loadCases/loadCasesSync, non-empty/duplicate caseId validation, and a one-row-per-test reference.</w:t>
      </w:r>
    </w:p>
    <w:p>
      <w:r>
        <w:rPr>
          <w:b/>
        </w:rPr>
        <w:t xml:space="preserve">Verification: </w:t>
      </w:r>
      <w:r>
        <w:t>Use the data-driven demo and duplicate-ID unit contract; each case becomes a separate Playwright test.</w:t>
      </w:r>
    </w:p>
    <w:p>
      <w:r>
        <w:rPr>
          <w:b/>
        </w:rPr>
        <w:t xml:space="preserve">Lesson learned: </w:t>
      </w:r>
      <w:r>
        <w:t>Parameterization architecture determines whether a 2,000-case suite can scale and remain diagnosable.</w:t>
      </w:r>
    </w:p>
    <w:p>
      <w:pPr>
        <w:pStyle w:val="Heading2"/>
      </w:pPr>
      <w:r>
        <w:t>TIG-022 - Custom scheduling risked replacing Playwright with a fragile scheduler and duration history could become inefficient.</w:t>
      </w:r>
    </w:p>
    <w:p>
      <w:r>
        <w:rPr>
          <w:b/>
        </w:rPr>
        <w:t xml:space="preserve">Area / status: </w:t>
      </w:r>
      <w:r>
        <w:t>Execution balancing | RESOLVED V6</w:t>
      </w:r>
    </w:p>
    <w:p>
      <w:r>
        <w:rPr>
          <w:b/>
        </w:rPr>
        <w:t xml:space="preserve">Root cause: </w:t>
      </w:r>
      <w:r>
        <w:t>Historical balancing is useful only when it stays optional and lookup/update cost is bounded.</w:t>
      </w:r>
    </w:p>
    <w:p>
      <w:r>
        <w:rPr>
          <w:b/>
        </w:rPr>
        <w:t xml:space="preserve">Solution: </w:t>
      </w:r>
      <w:r>
        <w:t>Native --shard remains default. Added indexed duration history and opt-in LPT-style test-list planning with explicit best-effort warning.</w:t>
      </w:r>
    </w:p>
    <w:p>
      <w:r>
        <w:rPr>
          <w:b/>
        </w:rPr>
        <w:t xml:space="preserve">Verification: </w:t>
      </w:r>
      <w:r>
        <w:t>Run execution:plan-duration separately and compare plan balance with native shard baselines.</w:t>
      </w:r>
    </w:p>
    <w:p>
      <w:r>
        <w:rPr>
          <w:b/>
        </w:rPr>
        <w:t xml:space="preserve">Lesson learned: </w:t>
      </w:r>
      <w:r>
        <w:t>Enhance the native runner; do not fork its scheduling semantics without strong evidence.</w:t>
      </w:r>
    </w:p>
    <w:p>
      <w:pPr>
        <w:pStyle w:val="Heading2"/>
      </w:pPr>
      <w:r>
        <w:t>TIG-023 - A custom profile could accidentally inherit permission to run AI, generated or manual-only tests.</w:t>
      </w:r>
    </w:p>
    <w:p>
      <w:r>
        <w:rPr>
          <w:b/>
        </w:rPr>
        <w:t xml:space="preserve">Area / status: </w:t>
      </w:r>
      <w:r>
        <w:t>AI/generated governance | RESOLVED V6</w:t>
      </w:r>
    </w:p>
    <w:p>
      <w:r>
        <w:rPr>
          <w:b/>
        </w:rPr>
        <w:t xml:space="preserve">Root cause: </w:t>
      </w:r>
      <w:r>
        <w:t>Permissive flags can leak through layered configuration unless custom execution starts from a safe policy boundary.</w:t>
      </w:r>
    </w:p>
    <w:p>
      <w:r>
        <w:rPr>
          <w:b/>
        </w:rPr>
        <w:t xml:space="preserve">Solution: </w:t>
      </w:r>
      <w:r>
        <w:t>Custom profile now safe-denies AI/generated/manual categories unless explicitly authorized at runtime/CLI.</w:t>
      </w:r>
    </w:p>
    <w:p>
      <w:r>
        <w:rPr>
          <w:b/>
        </w:rPr>
        <w:t xml:space="preserve">Verification: </w:t>
      </w:r>
      <w:r>
        <w:t>V6 policy contract tests verify deny-by-default and explicit opt-in behavior.</w:t>
      </w:r>
    </w:p>
    <w:p>
      <w:r>
        <w:rPr>
          <w:b/>
        </w:rPr>
        <w:t xml:space="preserve">Lesson learned: </w:t>
      </w:r>
      <w:r>
        <w:t>Flexible configuration needs safe defaults, especially for expensive or non-deterministic execution.</w:t>
      </w:r>
    </w:p>
    <w:p>
      <w:pPr>
        <w:pStyle w:val="Heading2"/>
      </w:pPr>
      <w:r>
        <w:t>TIG-024 - Multiple teams need org, project, environment and runtime flexibility without unclear override behavior.</w:t>
      </w:r>
    </w:p>
    <w:p>
      <w:r>
        <w:rPr>
          <w:b/>
        </w:rPr>
        <w:t xml:space="preserve">Area / status: </w:t>
      </w:r>
      <w:r>
        <w:t>Configuration precedence | RESOLVED V6</w:t>
      </w:r>
    </w:p>
    <w:p>
      <w:r>
        <w:rPr>
          <w:b/>
        </w:rPr>
        <w:t xml:space="preserve">Root cause: </w:t>
      </w:r>
      <w:r>
        <w:t>Scattered environment reads create implicit precedence and make executions hard to reproduce.</w:t>
      </w:r>
    </w:p>
    <w:p>
      <w:r>
        <w:rPr>
          <w:b/>
        </w:rPr>
        <w:t xml:space="preserve">Solution: </w:t>
      </w:r>
      <w:r>
        <w:t>Centralized organization -&gt; project -&gt; environment -&gt; environment-variable -&gt; CLI resolution and records policy sources.</w:t>
      </w:r>
    </w:p>
    <w:p>
      <w:r>
        <w:rPr>
          <w:b/>
        </w:rPr>
        <w:t xml:space="preserve">Verification: </w:t>
      </w:r>
      <w:r>
        <w:t>Resolve the same profile with controlled overrides and assert the resulting worker/retry/allow policy.</w:t>
      </w:r>
    </w:p>
    <w:p>
      <w:r>
        <w:rPr>
          <w:b/>
        </w:rPr>
        <w:t xml:space="preserve">Lesson learned: </w:t>
      </w:r>
      <w:r>
        <w:t>Configuration flexibility is useful only when precedence is deterministic and observable.</w:t>
      </w:r>
    </w:p>
    <w:p>
      <w:pPr>
        <w:pStyle w:val="Heading2"/>
      </w:pPr>
      <w:r>
        <w:t>TIG-025 - Market platforms combine device clouds, AI agents, visual, accessibility and management, encouraging proprietary coupling.</w:t>
      </w:r>
    </w:p>
    <w:p>
      <w:r>
        <w:rPr>
          <w:b/>
        </w:rPr>
        <w:t xml:space="preserve">Area / status: </w:t>
      </w:r>
      <w:r>
        <w:t>Provider lock-in / tool sprawl | ARCHITECTURE DECISION</w:t>
      </w:r>
    </w:p>
    <w:p>
      <w:r>
        <w:rPr>
          <w:b/>
        </w:rPr>
        <w:t xml:space="preserve">Root cause: </w:t>
      </w:r>
      <w:r>
        <w:t>Trying to reimplement every commercial cloud would create an expensive, shallow platform.</w:t>
      </w:r>
    </w:p>
    <w:p>
      <w:r>
        <w:rPr>
          <w:b/>
        </w:rPr>
        <w:t xml:space="preserve">Solution: </w:t>
      </w:r>
      <w:r>
        <w:t>Position TestigentAI as a provider-neutral quality control plane: Playwright-native core plus remote/device/visual/a11y/evaluator adapters.</w:t>
      </w:r>
    </w:p>
    <w:p>
      <w:r>
        <w:rPr>
          <w:b/>
        </w:rPr>
        <w:t xml:space="preserve">Verification: </w:t>
      </w:r>
      <w:r>
        <w:t>Use the competitive benchmark plan and prove portability on local plus at least two providers before claiming an advantage.</w:t>
      </w:r>
    </w:p>
    <w:p>
      <w:r>
        <w:rPr>
          <w:b/>
        </w:rPr>
        <w:t xml:space="preserve">Lesson learned: </w:t>
      </w:r>
      <w:r>
        <w:t>Integrate commodity infrastructure; differentiate on governance, portability, data safety and cross-layer evidence.</w:t>
      </w:r>
    </w:p>
    <w:p>
      <w:pPr>
        <w:pStyle w:val="Heading2"/>
      </w:pPr>
      <w:r>
        <w:t>TIG-026 - Simple DOM checks could be mistaken for full WCAG compliance.</w:t>
      </w:r>
    </w:p>
    <w:p>
      <w:r>
        <w:rPr>
          <w:b/>
        </w:rPr>
        <w:t xml:space="preserve">Area / status: </w:t>
      </w:r>
      <w:r>
        <w:t>Accessibility | RESOLVED V6 / BOUNDED</w:t>
      </w:r>
    </w:p>
    <w:p>
      <w:r>
        <w:rPr>
          <w:b/>
        </w:rPr>
        <w:t xml:space="preserve">Root cause: </w:t>
      </w:r>
      <w:r>
        <w:t>Fast checks are valuable but cannot cover semantic/contextual issues, assistive technology or human usability.</w:t>
      </w:r>
    </w:p>
    <w:p>
      <w:r>
        <w:rPr>
          <w:b/>
        </w:rPr>
        <w:t xml:space="preserve">Solution: </w:t>
      </w:r>
      <w:r>
        <w:t>Built-in accessibility code is explicitly a PR smoke lane; full conformance must use specialist engine + manual/assistive validation.</w:t>
      </w:r>
    </w:p>
    <w:p>
      <w:r>
        <w:rPr>
          <w:b/>
        </w:rPr>
        <w:t xml:space="preserve">Verification: </w:t>
      </w:r>
      <w:r>
        <w:t>Documentation and API names label the feature smoke-level; release notes prohibit conformance claims from it alone.</w:t>
      </w:r>
    </w:p>
    <w:p>
      <w:r>
        <w:rPr>
          <w:b/>
        </w:rPr>
        <w:t xml:space="preserve">Lesson learned: </w:t>
      </w:r>
      <w:r>
        <w:t>A trustworthy QA product must state the boundary of automated evidence.</w:t>
      </w:r>
    </w:p>
    <w:p>
      <w:pPr>
        <w:pStyle w:val="Heading2"/>
      </w:pPr>
      <w:r>
        <w:t>TIG-027 - Natural-language/YAML authoring can become arbitrary code or shell execution if the DSL is too permissive.</w:t>
      </w:r>
    </w:p>
    <w:p>
      <w:r>
        <w:rPr>
          <w:b/>
        </w:rPr>
        <w:t xml:space="preserve">Area / status: </w:t>
      </w:r>
      <w:r>
        <w:t>Declarative authoring security | RESOLVED V6</w:t>
      </w:r>
    </w:p>
    <w:p>
      <w:r>
        <w:rPr>
          <w:b/>
        </w:rPr>
        <w:t xml:space="preserve">Root cause: </w:t>
      </w:r>
      <w:r>
        <w:t>Low-code convenience becomes a security boundary once scenario content can invoke unrestricted actions.</w:t>
      </w:r>
    </w:p>
    <w:p>
      <w:r>
        <w:rPr>
          <w:b/>
        </w:rPr>
        <w:t xml:space="preserve">Solution: </w:t>
      </w:r>
      <w:r>
        <w:t>Added a strict allowlisted JSON/YAML scenario contract with semantic browser actions only; unknown actions are rejected.</w:t>
      </w:r>
    </w:p>
    <w:p>
      <w:r>
        <w:rPr>
          <w:b/>
        </w:rPr>
        <w:t xml:space="preserve">Verification: </w:t>
      </w:r>
      <w:r>
        <w:t>V6 contract test rejects arbitrary shell action and valid sample scenario runs through the governed runner.</w:t>
      </w:r>
    </w:p>
    <w:p>
      <w:r>
        <w:rPr>
          <w:b/>
        </w:rPr>
        <w:t xml:space="preserve">Lesson learned: </w:t>
      </w:r>
      <w:r>
        <w:t>Declarative authoring should reduce code, not bypass execution policy.</w:t>
      </w:r>
    </w:p>
    <w:p>
      <w:pPr>
        <w:pStyle w:val="Heading2"/>
      </w:pPr>
      <w:r>
        <w:t>TIG-028 - "No tool can compete" is not an engineering fact without comparative evidence.</w:t>
      </w:r>
    </w:p>
    <w:p>
      <w:r>
        <w:rPr>
          <w:b/>
        </w:rPr>
        <w:t xml:space="preserve">Area / status: </w:t>
      </w:r>
      <w:r>
        <w:t>Product claims | RESOLVED AS PRODUCT POLICY</w:t>
      </w:r>
    </w:p>
    <w:p>
      <w:r>
        <w:rPr>
          <w:b/>
        </w:rPr>
        <w:t xml:space="preserve">Root cause: </w:t>
      </w:r>
      <w:r>
        <w:t>Feature count and vendor marketing cannot establish market leadership.</w:t>
      </w:r>
    </w:p>
    <w:p>
      <w:r>
        <w:rPr>
          <w:b/>
        </w:rPr>
        <w:t xml:space="preserve">Solution: </w:t>
      </w:r>
      <w:r>
        <w:t>Added a competitive benchmark plan covering authoring, 100/500/2,000-case scale, collisions, RCA, AI evaluation, portability, security and release reproducibility.</w:t>
      </w:r>
    </w:p>
    <w:p>
      <w:r>
        <w:rPr>
          <w:b/>
        </w:rPr>
        <w:t xml:space="preserve">Verification: </w:t>
      </w:r>
      <w:r>
        <w:t>A comparative claim is allowed only after repeatable benchmark evidence across representative applications.</w:t>
      </w:r>
    </w:p>
    <w:p>
      <w:r>
        <w:rPr>
          <w:b/>
        </w:rPr>
        <w:t xml:space="preserve">Lesson learned: </w:t>
      </w:r>
      <w:r>
        <w:t>Credibility is a product feature; benchmark before marketing superiority.</w:t>
      </w:r>
    </w:p>
    <w:p>
      <w:pPr>
        <w:pStyle w:val="Heading2"/>
      </w:pPr>
      <w:r>
        <w:t>TIG-029 - UI automation alone does not validate RAG/agent reasoning, tools, arguments or task completion.</w:t>
      </w:r>
    </w:p>
    <w:p>
      <w:r>
        <w:rPr>
          <w:b/>
        </w:rPr>
        <w:t xml:space="preserve">Area / status: </w:t>
      </w:r>
      <w:r>
        <w:t>AI/agent evaluation | RESOLVED V6 FOUNDATION</w:t>
      </w:r>
    </w:p>
    <w:p>
      <w:r>
        <w:rPr>
          <w:b/>
        </w:rPr>
        <w:t xml:space="preserve">Root cause: </w:t>
      </w:r>
      <w:r>
        <w:t>AI applications are non-deterministic and fail at reasoning/action/trajectory layers that browser assertions cannot fully model.</w:t>
      </w:r>
    </w:p>
    <w:p>
      <w:r>
        <w:rPr>
          <w:b/>
        </w:rPr>
        <w:t xml:space="preserve">Solution: </w:t>
      </w:r>
      <w:r>
        <w:t>Added a provider-neutral evaluation contract, deterministic hard-gate metrics and bounded concurrency; DeepEval/LangSmith/internal evaluators can plug in as adapters.</w:t>
      </w:r>
    </w:p>
    <w:p>
      <w:r>
        <w:rPr>
          <w:b/>
        </w:rPr>
        <w:t xml:space="preserve">Verification: </w:t>
      </w:r>
      <w:r>
        <w:t>Run deterministic exact-output/required-facts contract tests; add external adapters only when organization policy chooses them.</w:t>
      </w:r>
    </w:p>
    <w:p>
      <w:r>
        <w:rPr>
          <w:b/>
        </w:rPr>
        <w:t xml:space="preserve">Lesson learned: </w:t>
      </w:r>
      <w:r>
        <w:t>AI testing belongs in the quality platform, but the core should not be locked to one evaluator vendor.</w:t>
      </w:r>
    </w:p>
    <w:p>
      <w:pPr>
        <w:pStyle w:val="Heading2"/>
      </w:pPr>
      <w:r>
        <w:t>TIG-030 - Floating latest dependency ranges could change framework behavior between installs.</w:t>
      </w:r>
    </w:p>
    <w:p>
      <w:r>
        <w:rPr>
          <w:b/>
        </w:rPr>
        <w:t xml:space="preserve">Area / status: </w:t>
      </w:r>
      <w:r>
        <w:t>Dependency reproducibility | RESOLVED V6</w:t>
      </w:r>
    </w:p>
    <w:p>
      <w:r>
        <w:rPr>
          <w:b/>
        </w:rPr>
        <w:t xml:space="preserve">Root cause: </w:t>
      </w:r>
      <w:r>
        <w:t>The lockfile pins an install, but package.json still signaled non-deterministic future resolution and maintenance intent.</w:t>
      </w:r>
    </w:p>
    <w:p>
      <w:r>
        <w:rPr>
          <w:b/>
        </w:rPr>
        <w:t xml:space="preserve">Solution: </w:t>
      </w:r>
      <w:r>
        <w:t>Pinned direct dependency ranges to the committed lockfile versions and added a static release check that rejects latest/^/~ ranges.</w:t>
      </w:r>
    </w:p>
    <w:p>
      <w:r>
        <w:t>Verification: release:static verifies dependency policy; package-lock/package version is aligned to the current release version.</w:t>
      </w:r>
    </w:p>
    <w:p>
      <w:r>
        <w:rPr>
          <w:b/>
        </w:rPr>
        <w:t xml:space="preserve">Lesson learned: </w:t>
      </w:r>
      <w:r>
        <w:t>Reproducibility is a release requirement, not a package-manager detail.</w:t>
      </w:r>
    </w:p>
    <w:p>
      <w:pPr>
        <w:pStyle w:val="Heading2"/>
      </w:pPr>
      <w:r>
        <w:t>TIG-031 - CLI Filter Precedence Could Bypass Profile/Lane Governance</w:t>
      </w:r>
    </w:p>
    <w:p>
      <w:r>
        <w:t>Area / status: Execution governance | RESOLVED V6 FINAL</w:t>
      </w:r>
    </w:p>
    <w:p>
      <w:r>
        <w:t>Root cause: Playwright CLI grep settings can override configuration-level grep/grepInvert. A user-supplied filter could therefore weaken a smoke/lane requirement or replace policy exclusions.</w:t>
      </w:r>
    </w:p>
    <w:p>
      <w:r>
        <w:t>Solution: The governed project runner now parses user --grep and --grep-invert flags, ANDs user inclusion filters with mandatory profile/lane groups, and ORs user exclusions with mandatory policy exclusions. Missing/invalid filter values fail fast.</w:t>
      </w:r>
    </w:p>
    <w:p>
      <w:r>
        <w:t>Verification: V6 policy contracts verify profile + lane AND semantics; release static/syntax checks cover the runner and policy files.</w:t>
      </w:r>
    </w:p>
    <w:p>
      <w:r>
        <w:t>Lesson learned: User flexibility must extend policy safely, not replace governance.</w:t>
      </w:r>
    </w:p>
    <w:p>
      <w:pPr>
        <w:pStyle w:val="Heading2"/>
      </w:pPr>
      <w:r>
        <w:t>TIG-032 - Data Ownership Identity Needed Declaration-Time Case Context and Environment Scope</w:t>
      </w:r>
    </w:p>
    <w:p>
      <w:r>
        <w:t>Area / status: Parallel data / traceability | RESOLVED V6 FINAL</w:t>
      </w:r>
    </w:p>
    <w:p>
      <w:r>
        <w:t>Root cause: A caseId annotation added inside the test body is too late for fixture construction, and an ownership identity without environment/test identity can collide across environments or separate tests that reuse a business case ID.</w:t>
      </w:r>
    </w:p>
    <w:p>
      <w:r>
        <w:t>Solution: Data-driven examples declare caseId in Playwright test options before fixture setup. DataScope identities always include unique testId and environment, while preserving stable/attempt/idempotent lifecycle semantics.</w:t>
      </w:r>
    </w:p>
    <w:p>
      <w:r>
        <w:t>Verification: Contract tests prove retry behavior, environment separation and different-test separation; scale audit requires caseId annotation when loadCasesSync is used.</w:t>
      </w:r>
    </w:p>
    <w:p>
      <w:r>
        <w:t>Lesson learned: Parallel-safe data identity must be established before fixtures start and must include every isolation boundary that can share infrastructure.</w:t>
      </w:r>
    </w:p>
    <w:p>
      <w:pPr>
        <w:pStyle w:val="Heading2"/>
      </w:pPr>
      <w:r>
        <w:t>TIG-033 - Duration History Could Accept Invalid Estimates</w:t>
      </w:r>
    </w:p>
    <w:p>
      <w:r>
        <w:t>Area / status: Parallel scheduling | RESOLVED V6 FINAL</w:t>
      </w:r>
    </w:p>
    <w:p>
      <w:r>
        <w:t>Root cause: History-based scheduling becomes unstable if a persisted or caller-provided estimate is NaN, infinite or negative.</w:t>
      </w:r>
    </w:p>
    <w:p>
      <w:r>
        <w:t>Solution: DurationHistoryStore and the duration balancer now validate fallback/history estimates and reject corrupt planning items before shard calculation.</w:t>
      </w:r>
    </w:p>
    <w:p>
      <w:r>
        <w:t>Verification: V6 execution/data contract includes invalid-duration rejection plus balanced long-test-first scheduling checks.</w:t>
      </w:r>
    </w:p>
    <w:p>
      <w:r>
        <w:t>Lesson learned: Optimization metadata is still production input and needs validation boundaries.</w:t>
      </w:r>
    </w:p>
    <w:p>
      <w:pPr>
        <w:pStyle w:val="Heading2"/>
      </w:pPr>
      <w:r>
        <w:t>TIG-034 - Release Evidence Needed to Work Even When the Package Registry Is Unavailable</w:t>
      </w:r>
    </w:p>
    <w:p>
      <w:r>
        <w:t>Area / status: Release / supply chain | RESOLVED V6 FINAL</w:t>
      </w:r>
    </w:p>
    <w:p>
      <w:r>
        <w:t>Root cause: A dependency-backed verification pipeline alone cannot distinguish source/package defects from a temporary package-registry/network outage.</w:t>
      </w:r>
    </w:p>
    <w:p>
      <w:r>
        <w:t>Solution: Added dependency-independent release validation for required artifacts, JSON, pinned dependency policy, local/runtime file hygiene and credential-pattern scanning; added clean full verifier and CycloneDX SBOM generation from the committed lockfile.</w:t>
      </w:r>
    </w:p>
    <w:p>
      <w:r>
        <w:t>Verification: Offline verifier passes on the release candidate; full verifier runs npm ci followed by final validation and AI evaluation on a normal networked Node environment.</w:t>
      </w:r>
    </w:p>
    <w:p>
      <w:r>
        <w:t>Lesson learned: A release should carry reproducible evidence and should fail transparently at the exact boundary that is unavailable.</w:t>
      </w:r>
    </w:p>
    <w:p>
      <w:pPr>
        <w:pStyle w:val="Heading2"/>
      </w:pPr>
      <w:r>
        <w:t>TIG-035 - Clean Verification Exposed Optional-Parameter Type Indexing Defect</w:t>
      </w:r>
    </w:p>
    <w:p>
      <w:r>
        <w:t>Area / status: TypeScript / release verification | RESOLVED v1.1.1</w:t>
      </w:r>
    </w:p>
    <w:p>
      <w:r>
        <w:t>Root cause: scripts/test-project.ts indexed Parameters&lt;typeof resolveExecutionPolicy&gt;[0]['profile']. Because resolveExecutionPolicy has a defaulted optional input, TypeScript correctly models parameter zero as ExecutionPolicyInput | undefined, so direct property indexing is invalid under clean strict compilation.</w:t>
      </w:r>
    </w:p>
    <w:p>
      <w:r>
        <w:t>Solution: ProjectPreflight.profile and resolveRunnerPolicy now use the explicit reusable ExecutionProfileName contract directly. The unsafe Parameters&lt;...&gt; cast was removed instead of suppressing the compiler.</w:t>
      </w:r>
    </w:p>
    <w:p>
      <w:r>
        <w:t>Verification: VERIFY_RELEASE.sh reached the mandatory typecheck gate after a clean npm ci and exposed TS2339. The hotfix keeps typecheck as a blocking release gate and requires a fresh rerun before promotion.</w:t>
      </w:r>
    </w:p>
    <w:p>
      <w:r>
        <w:t>Lesson learned: Dependency-independent source checks are valuable but cannot replace a clean dependency-backed TypeScript compile. Release qualification must include both layers.</w:t>
      </w:r>
    </w:p>
    <w:p>
      <w:pPr>
        <w:pStyle w:val="Heading2"/>
      </w:pPr>
      <w:r>
        <w:t>TIG-036 - Comment Audit CLI Alias and Pure-Data Lane Warning</w:t>
      </w:r>
    </w:p>
    <w:p>
      <w:r>
        <w:t>Area / status: CLI usability / scale audit | RESOLVED v1.1.2</w:t>
      </w:r>
    </w:p>
    <w:p>
      <w:r>
        <w:t>Root cause: The canonical reusable-comment check was exposed only as docs:comment-audit, so the intuitive comments:audit command failed with npm Missing script. Separately, the scale audit required an external execution-lane tag on every project spec even when a spec was intentionally a pure data-contract test already classified with @data.</w:t>
      </w:r>
    </w:p>
    <w:p>
      <w:r>
        <w:t>Solution: Added comments:audit as a compatibility alias to docs:comment-audit and made the static release gate enforce that alias. Scale audit now accepts @data as a valid pure-data classification while continuing to require explicit lanes for tests that exercise external execution capabilities.</w:t>
      </w:r>
    </w:p>
    <w:p>
      <w:r>
        <w:t>Verification: release:static confirms the alias contract. Running npm run comments:audit resolves to docs:comment-audit after dependency installation, and scale:audit reports no lane warning for projects/demo/tests/data/data.factory.spec.ts because it is intentionally tagged @data.</w:t>
      </w:r>
    </w:p>
    <w:p>
      <w:r>
        <w:t>Lesson learned: Product CLI ergonomics and audit semantics are part of framework quality. A warning should identify real architecture debt, not force misleading metadata merely to make a checker quiet.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Living document - issues, root causes, fixes and verification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TestigentAI - Engineering Knowledge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59" w:right="115"/>
      <w:shd w:fill="F5F7FA"/>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TestigentAI Issue, Challenge and Solution Log</dc:title>
  <dc:subject>Living engineering record</dc:subject>
  <dc:creator>python-docx</dc:creator>
  <cp:keywords>TestigentAI, QA, Playwright, V6, challenges, solutions</cp:keywords>
  <dc:description>generated by python-docx</dc:description>
  <cp:lastModifiedBy/>
  <cp:revision>1</cp:revision>
  <dcterms:created xsi:type="dcterms:W3CDTF">2013-12-23T23:15:00Z</dcterms:created>
  <dcterms:modified xsi:type="dcterms:W3CDTF">2013-12-23T23:15:00Z</dcterms:modified>
  <cp:category/>
</cp:coreProperties>
</file>