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b/>
          <w:bCs/>
          <w:color w:val="1F3864"/>
          <w:sz w:val="44"/>
          <w:szCs w:val="44"/>
        </w:rPr>
        <w:t xml:space="preserve">Network Down Stocking Agent Trial — Front-End Effort Assessment</w:t>
      </w:r>
    </w:p>
    <w:p>
      <w:pPr>
        <w:spacing w:after="100"/>
      </w:pPr>
      <w:r>
        <w:rPr>
          <w:color w:val="444444"/>
          <w:sz w:val="22"/>
          <w:szCs w:val="22"/>
        </w:rPr>
        <w:t xml:space="preserve">Recommended build strategy: reuse &amp; extend the existing prototype UI file-by-file, plus an explicit code-optimization pass — FE only, backend/data/scenario-engine assumed ready</w:t>
      </w:r>
    </w:p>
    <w:p>
      <w:pPr>
        <w:spacing w:after="400"/>
      </w:pPr>
      <w:r>
        <w:rPr>
          <w:i/>
          <w:iCs/>
          <w:color w:val="666666"/>
          <w:sz w:val="20"/>
          <w:szCs w:val="20"/>
        </w:rPr>
        <w:t xml:space="preserve">Prepared: 9 September 2026</w:t>
      </w:r>
    </w:p>
    <w:p>
      <w:pPr>
        <w:spacing w:after="200"/>
      </w:pPr>
      <w:r>
        <w:rPr>
          <w:b/>
          <w:bCs/>
          <w:color w:val="1F3864"/>
          <w:sz w:val="24"/>
          <w:szCs w:val="24"/>
        </w:rPr>
        <w:t xml:space="preserve">Purpose</w:t>
      </w:r>
    </w:p>
    <w:p>
      <w:pPr>
        <w:spacing w:after="300"/>
      </w:pPr>
      <w:r>
        <w:rPr>
          <w:sz w:val="21"/>
          <w:szCs w:val="21"/>
        </w:rPr>
        <w:t xml:space="preserve">This is the recommended-approach view of the FE effort assessment: instead of costing a from-scratch rebuild with a blanket UI-reuse discount, each feature below is assessed against the ACTUAL prototype file that would be extended, with a reuse percentage grounded in that file's real fit (a table that just needs two columns removed reuses far more than a feature that doesn't exist yet). It also adds an explicit Code Optimization &amp; Refactor line item for the concrete maintainability issues the code review found — an oversized 1,540-line orchestration file, duplicate model files, ~2,450 lines of dead/unreachable code, and a dense table that will need a performance pass once it's wired to a second use case. Backend, source-system integration, and the scenario-calculation engine are still assumed ready, per the prior scoping — see the companion FE-only and full-scope documents for those numbers.</w:t>
      </w:r>
    </w:p>
    <w:p>
      <w:pPr>
        <w:spacing w:after="150"/>
      </w:pPr>
      <w:r>
        <w:rPr>
          <w:b/>
          <w:bCs/>
          <w:color w:val="1F3864"/>
          <w:sz w:val="24"/>
          <w:szCs w:val="24"/>
        </w:rPr>
        <w:t xml:space="preserve">Methodology</w:t>
      </w:r>
    </w:p>
    <w:p>
      <w:pPr>
        <w:pStyle w:val="ListParagraph"/>
        <w:numPr>
          <w:ilvl w:val="0"/>
          <w:numId w:val="1"/>
        </w:numPr>
        <w:spacing w:after="80"/>
      </w:pPr>
      <w:r>
        <w:rPr>
          <w:sz w:val="20"/>
          <w:szCs w:val="20"/>
        </w:rPr>
        <w:t xml:space="preserve">Each Step 1-3 row carries a 'Prototype UI reused' percentage, assessed per file: e.g. MoqBreakContent.tsx just needs two columns removed and two added (75% reuse), while the Supplier Inventory &amp; Feedstock tile doesn't exist yet (25% reuse — only shared primitives carry over). This replaces the earlier blanket 60% assumption with a per-feature judgment call, grounded in the same file-by-file code review used throughout this assessment.</w:t>
      </w:r>
    </w:p>
    <w:p>
      <w:pPr>
        <w:pStyle w:val="ListParagraph"/>
        <w:numPr>
          <w:ilvl w:val="0"/>
          <w:numId w:val="1"/>
        </w:numPr>
        <w:spacing w:after="80"/>
      </w:pPr>
      <w:r>
        <w:rPr>
          <w:sz w:val="20"/>
          <w:szCs w:val="20"/>
        </w:rPr>
        <w:t xml:space="preserve">The reuse percentage applies to UI effort only — client-side logic and FE-integration effort are not discounted by reuse, since even a well-fitting UI still needs its state/logic rewired to real data and real requested behaviour.</w:t>
      </w:r>
    </w:p>
    <w:p>
      <w:pPr>
        <w:pStyle w:val="ListParagraph"/>
        <w:numPr>
          <w:ilvl w:val="0"/>
          <w:numId w:val="1"/>
        </w:numPr>
        <w:spacing w:after="80"/>
      </w:pPr>
      <w:r>
        <w:rPr>
          <w:sz w:val="20"/>
          <w:szCs w:val="20"/>
        </w:rPr>
        <w:t xml:space="preserve">GenAI-assisted development is assumed to cut remaining (post-reuse) UI effort by ~50%, logic effort by ~35%, and FE-integration effort by ~20%.</w:t>
      </w:r>
    </w:p>
    <w:p>
      <w:pPr>
        <w:pStyle w:val="ListParagraph"/>
        <w:numPr>
          <w:ilvl w:val="0"/>
          <w:numId w:val="1"/>
        </w:numPr>
        <w:spacing w:after="80"/>
      </w:pPr>
      <w:r>
        <w:rPr>
          <w:sz w:val="20"/>
          <w:szCs w:val="20"/>
        </w:rPr>
        <w:t xml:space="preserve">The Code Optimization &amp; Refactor line item is net-new work, not discounted by reuse (there's nothing to reuse when splitting an oversized file or deleting dead code) — but it still gets the GenAI logic discount, since GenAI meaningfully accelerates mechanical refactors like component extraction and dead-code removal.</w:t>
      </w:r>
    </w:p>
    <w:p>
      <w:pPr>
        <w:pStyle w:val="ListParagraph"/>
        <w:numPr>
          <w:ilvl w:val="0"/>
          <w:numId w:val="1"/>
        </w:numPr>
        <w:spacing w:after="80"/>
      </w:pPr>
      <w:r>
        <w:rPr>
          <w:sz w:val="20"/>
          <w:szCs w:val="20"/>
        </w:rPr>
        <w:t xml:space="preserve">For reference: rebuilding Steps 1-3 from scratch with NO prototype reuse (the earlier full-rebuild framing) would run materially more — see the note under the Executive Summary table.</w:t>
      </w:r>
    </w:p>
    <w:p>
      <w:pPr>
        <w:spacing w:after="150" w:before="200"/>
      </w:pPr>
      <w:r>
        <w:rPr>
          <w:b/>
          <w:bCs/>
          <w:color w:val="1F3864"/>
          <w:sz w:val="24"/>
          <w:szCs w:val="24"/>
        </w:rPr>
        <w:t xml:space="preserve">How to read the numbers</w:t>
      </w:r>
    </w:p>
    <w:p>
      <w:pPr>
        <w:pStyle w:val="ListParagraph"/>
        <w:numPr>
          <w:ilvl w:val="0"/>
          <w:numId w:val="1"/>
        </w:numPr>
        <w:spacing w:after="80"/>
      </w:pPr>
      <w:r>
        <w:rPr>
          <w:sz w:val="20"/>
          <w:szCs w:val="20"/>
        </w:rPr>
        <w:t xml:space="preserve">Each feature row now shows two totals — No GenAI and With GenAI — both already assuming the recommended reuse-and-optimize approach. The GenAI column (green-shaded) is the realistic target if the team uses GenAI tooling.</w:t>
      </w:r>
    </w:p>
    <w:p>
      <w:pPr>
        <w:pStyle w:val="ListParagraph"/>
        <w:numPr>
          <w:ilvl w:val="0"/>
          <w:numId w:val="1"/>
        </w:numPr>
        <w:spacing w:after="80"/>
      </w:pPr>
      <w:r>
        <w:rPr>
          <w:sz w:val="20"/>
          <w:szCs w:val="20"/>
        </w:rPr>
        <w:t xml:space="preserve">The 'Prototype UI reused' column states the judgment call for that row in one line — read it alongside 'Current Prototype State' to see why a given feature reuses more or less.</w:t>
      </w:r>
    </w:p>
    <w:p>
      <w:pPr>
        <w:pStyle w:val="ListParagraph"/>
        <w:numPr>
          <w:ilvl w:val="0"/>
          <w:numId w:val="1"/>
        </w:numPr>
        <w:spacing w:after="80"/>
      </w:pPr>
      <w:r>
        <w:rPr>
          <w:sz w:val="20"/>
          <w:szCs w:val="20"/>
        </w:rPr>
        <w:t xml:space="preserve">'FE Integration' days assume the endpoint exists, is documented, and returns data in a ready shape — see Open Questions for rows where that assumption is unconfirmed.</w:t>
      </w:r>
    </w:p>
    <w:p>
      <w:pPr>
        <w:pStyle w:val="ListParagraph"/>
        <w:numPr>
          <w:ilvl w:val="0"/>
          <w:numId w:val="1"/>
        </w:numPr>
        <w:spacing w:after="80"/>
      </w:pPr>
      <w:r>
        <w:rPr>
          <w:sz w:val="20"/>
          <w:szCs w:val="20"/>
        </w:rPr>
        <w:t xml:space="preserve">Rows with an amber-shaded 'Open Questions' cell contain something this estimate could not fully resolve without more detail — see the consolidated Open Questions sheet/section.</w:t>
      </w:r>
    </w:p>
    <w:p>
      <w:pPr>
        <w:pageBreakBefore/>
        <w:spacing w:after="200"/>
      </w:pPr>
      <w:r>
        <w:rPr>
          <w:b/>
          <w:bCs/>
          <w:color w:val="1F3864"/>
          <w:sz w:val="32"/>
          <w:szCs w:val="32"/>
        </w:rPr>
        <w:t xml:space="preserve">Executive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40%"/>
            <w:shd w:fill="1F3864" w:color="1F3864" w:val="solid"/>
            <w:vAlign w:val="center"/>
          </w:tcPr>
          <w:p>
            <w:pPr>
              <w:jc w:val="center"/>
            </w:pPr>
            <w:r>
              <w:rPr>
                <w:b/>
                <w:bCs/>
                <w:color w:val="FFFFFF"/>
                <w:sz w:val="16"/>
                <w:szCs w:val="16"/>
              </w:rPr>
              <w:t xml:space="preserve">Scenario</w:t>
            </w:r>
          </w:p>
        </w:tc>
        <w:tc>
          <w:tcPr>
            <w:tcW w:type="pct" w:w="10%"/>
            <w:shd w:fill="1F3864" w:color="1F3864" w:val="solid"/>
            <w:vAlign w:val="center"/>
          </w:tcPr>
          <w:p>
            <w:pPr>
              <w:jc w:val="center"/>
            </w:pPr>
            <w:r>
              <w:rPr>
                <w:b/>
                <w:bCs/>
                <w:color w:val="FFFFFF"/>
                <w:sz w:val="16"/>
                <w:szCs w:val="16"/>
              </w:rPr>
              <w:t xml:space="preserve">UI (d)</w:t>
            </w:r>
          </w:p>
        </w:tc>
        <w:tc>
          <w:tcPr>
            <w:tcW w:type="pct" w:w="12%"/>
            <w:shd w:fill="1F3864" w:color="1F3864" w:val="solid"/>
            <w:vAlign w:val="center"/>
          </w:tcPr>
          <w:p>
            <w:pPr>
              <w:jc w:val="center"/>
            </w:pPr>
            <w:r>
              <w:rPr>
                <w:b/>
                <w:bCs/>
                <w:color w:val="FFFFFF"/>
                <w:sz w:val="16"/>
                <w:szCs w:val="16"/>
              </w:rPr>
              <w:t xml:space="preserve">Logic (d)</w:t>
            </w:r>
          </w:p>
        </w:tc>
        <w:tc>
          <w:tcPr>
            <w:tcW w:type="pct" w:w="14%"/>
            <w:shd w:fill="1F3864" w:color="1F3864" w:val="solid"/>
            <w:vAlign w:val="center"/>
          </w:tcPr>
          <w:p>
            <w:pPr>
              <w:jc w:val="center"/>
            </w:pPr>
            <w:r>
              <w:rPr>
                <w:b/>
                <w:bCs/>
                <w:color w:val="FFFFFF"/>
                <w:sz w:val="16"/>
                <w:szCs w:val="16"/>
              </w:rPr>
              <w:t xml:space="preserve">FE Integration (d)</w:t>
            </w:r>
          </w:p>
        </w:tc>
        <w:tc>
          <w:tcPr>
            <w:tcW w:type="pct" w:w="14%"/>
            <w:shd w:fill="1F3864" w:color="1F3864" w:val="solid"/>
            <w:vAlign w:val="center"/>
          </w:tcPr>
          <w:p>
            <w:pPr>
              <w:jc w:val="center"/>
            </w:pPr>
            <w:r>
              <w:rPr>
                <w:b/>
                <w:bCs/>
                <w:color w:val="FFFFFF"/>
                <w:sz w:val="16"/>
                <w:szCs w:val="16"/>
              </w:rPr>
              <w:t xml:space="preserve">Total (person-days)</w:t>
            </w:r>
          </w:p>
        </w:tc>
        <w:tc>
          <w:tcPr>
            <w:tcW w:type="pct" w:w="20%"/>
            <w:shd w:fill="1F3864" w:color="1F3864" w:val="solid"/>
            <w:vAlign w:val="center"/>
          </w:tcPr>
          <w:p>
            <w:pPr>
              <w:jc w:val="center"/>
            </w:pPr>
            <w:r>
              <w:rPr>
                <w:b/>
                <w:bCs/>
                <w:color w:val="FFFFFF"/>
                <w:sz w:val="16"/>
                <w:szCs w:val="16"/>
              </w:rPr>
              <w:t xml:space="preserve">Suggested Timeline</w:t>
            </w:r>
          </w:p>
        </w:tc>
      </w:tr>
      <w:tr>
        <w:tc>
          <w:tcPr>
            <w:tcW w:type="pct" w:w="40%"/>
            <w:vAlign w:val="center"/>
          </w:tcPr>
          <w:p>
            <w:pPr>
              <w:jc w:val="left"/>
            </w:pPr>
            <w:r>
              <w:rPr>
                <w:b/>
                <w:bCs/>
                <w:sz w:val="16"/>
                <w:szCs w:val="16"/>
              </w:rPr>
              <w:t xml:space="preserve">No GenAI · Reuse prototype + Optimize</w:t>
            </w:r>
          </w:p>
        </w:tc>
        <w:tc>
          <w:tcPr>
            <w:tcW w:type="pct" w:w="10%"/>
            <w:vAlign w:val="center"/>
          </w:tcPr>
          <w:p>
            <w:pPr>
              <w:jc w:val="center"/>
            </w:pPr>
            <w:r>
              <w:rPr>
                <w:b w:val="false"/>
                <w:bCs w:val="false"/>
                <w:sz w:val="16"/>
                <w:szCs w:val="16"/>
              </w:rPr>
              <w:t xml:space="preserve">16.5</w:t>
            </w:r>
          </w:p>
        </w:tc>
        <w:tc>
          <w:tcPr>
            <w:tcW w:type="pct" w:w="12%"/>
            <w:vAlign w:val="center"/>
          </w:tcPr>
          <w:p>
            <w:pPr>
              <w:jc w:val="center"/>
            </w:pPr>
            <w:r>
              <w:rPr>
                <w:b w:val="false"/>
                <w:bCs w:val="false"/>
                <w:sz w:val="16"/>
                <w:szCs w:val="16"/>
              </w:rPr>
              <w:t xml:space="preserve">25.5</w:t>
            </w:r>
          </w:p>
        </w:tc>
        <w:tc>
          <w:tcPr>
            <w:tcW w:type="pct" w:w="14%"/>
            <w:vAlign w:val="center"/>
          </w:tcPr>
          <w:p>
            <w:pPr>
              <w:jc w:val="center"/>
            </w:pPr>
            <w:r>
              <w:rPr>
                <w:b w:val="false"/>
                <w:bCs w:val="false"/>
                <w:sz w:val="16"/>
                <w:szCs w:val="16"/>
              </w:rPr>
              <w:t xml:space="preserve">13.5</w:t>
            </w:r>
          </w:p>
        </w:tc>
        <w:tc>
          <w:tcPr>
            <w:tcW w:type="pct" w:w="14%"/>
            <w:vAlign w:val="center"/>
          </w:tcPr>
          <w:p>
            <w:pPr>
              <w:jc w:val="center"/>
            </w:pPr>
            <w:r>
              <w:rPr>
                <w:b/>
                <w:bCs/>
                <w:sz w:val="16"/>
                <w:szCs w:val="16"/>
              </w:rPr>
              <w:t xml:space="preserve">55.5</w:t>
            </w:r>
          </w:p>
        </w:tc>
        <w:tc>
          <w:tcPr>
            <w:tcW w:type="pct" w:w="20%"/>
            <w:vAlign w:val="center"/>
          </w:tcPr>
          <w:p>
            <w:pPr>
              <w:jc w:val="center"/>
            </w:pPr>
            <w:r>
              <w:rPr>
                <w:b w:val="false"/>
                <w:bCs w:val="false"/>
                <w:sz w:val="16"/>
                <w:szCs w:val="16"/>
              </w:rPr>
              <w:t xml:space="preserve">~6-7 weeks (~1.5 months)</w:t>
            </w:r>
          </w:p>
        </w:tc>
      </w:tr>
      <w:tr>
        <w:tc>
          <w:tcPr>
            <w:tcW w:type="pct" w:w="40%"/>
            <w:shd w:fill="E2EFDA" w:color="E2EFDA" w:val="solid"/>
            <w:vAlign w:val="center"/>
          </w:tcPr>
          <w:p>
            <w:pPr>
              <w:jc w:val="left"/>
            </w:pPr>
            <w:r>
              <w:rPr>
                <w:b/>
                <w:bCs/>
                <w:sz w:val="16"/>
                <w:szCs w:val="16"/>
              </w:rPr>
              <w:t xml:space="preserve">With GenAI · Reuse prototype + Optimize (recommended)</w:t>
            </w:r>
          </w:p>
        </w:tc>
        <w:tc>
          <w:tcPr>
            <w:tcW w:type="pct" w:w="10%"/>
            <w:shd w:fill="E2EFDA" w:color="E2EFDA" w:val="solid"/>
            <w:vAlign w:val="center"/>
          </w:tcPr>
          <w:p>
            <w:pPr>
              <w:jc w:val="center"/>
            </w:pPr>
            <w:r>
              <w:rPr>
                <w:b w:val="false"/>
                <w:bCs w:val="false"/>
                <w:sz w:val="16"/>
                <w:szCs w:val="16"/>
              </w:rPr>
              <w:t xml:space="preserve">8.2</w:t>
            </w:r>
          </w:p>
        </w:tc>
        <w:tc>
          <w:tcPr>
            <w:tcW w:type="pct" w:w="12%"/>
            <w:shd w:fill="E2EFDA" w:color="E2EFDA" w:val="solid"/>
            <w:vAlign w:val="center"/>
          </w:tcPr>
          <w:p>
            <w:pPr>
              <w:jc w:val="center"/>
            </w:pPr>
            <w:r>
              <w:rPr>
                <w:b w:val="false"/>
                <w:bCs w:val="false"/>
                <w:sz w:val="16"/>
                <w:szCs w:val="16"/>
              </w:rPr>
              <w:t xml:space="preserve">16.6</w:t>
            </w:r>
          </w:p>
        </w:tc>
        <w:tc>
          <w:tcPr>
            <w:tcW w:type="pct" w:w="14%"/>
            <w:shd w:fill="E2EFDA" w:color="E2EFDA" w:val="solid"/>
            <w:vAlign w:val="center"/>
          </w:tcPr>
          <w:p>
            <w:pPr>
              <w:jc w:val="center"/>
            </w:pPr>
            <w:r>
              <w:rPr>
                <w:b w:val="false"/>
                <w:bCs w:val="false"/>
                <w:sz w:val="16"/>
                <w:szCs w:val="16"/>
              </w:rPr>
              <w:t xml:space="preserve">10.8</w:t>
            </w:r>
          </w:p>
        </w:tc>
        <w:tc>
          <w:tcPr>
            <w:tcW w:type="pct" w:w="14%"/>
            <w:shd w:fill="E2EFDA" w:color="E2EFDA" w:val="solid"/>
            <w:vAlign w:val="center"/>
          </w:tcPr>
          <w:p>
            <w:pPr>
              <w:jc w:val="center"/>
            </w:pPr>
            <w:r>
              <w:rPr>
                <w:b/>
                <w:bCs/>
                <w:sz w:val="16"/>
                <w:szCs w:val="16"/>
              </w:rPr>
              <w:t xml:space="preserve">35.6</w:t>
            </w:r>
          </w:p>
        </w:tc>
        <w:tc>
          <w:tcPr>
            <w:tcW w:type="pct" w:w="20%"/>
            <w:shd w:fill="E2EFDA" w:color="E2EFDA" w:val="solid"/>
            <w:vAlign w:val="center"/>
          </w:tcPr>
          <w:p>
            <w:pPr>
              <w:jc w:val="center"/>
            </w:pPr>
            <w:r>
              <w:rPr>
                <w:b w:val="false"/>
                <w:bCs w:val="false"/>
                <w:sz w:val="16"/>
                <w:szCs w:val="16"/>
              </w:rPr>
              <w:t xml:space="preserve">~4 weeks (~1 month)</w:t>
            </w:r>
          </w:p>
        </w:tc>
      </w:tr>
    </w:tbl>
    <w:p>
      <w:pPr>
        <w:spacing w:after="100" w:before="200"/>
      </w:pPr>
      <w:r>
        <w:rPr>
          <w:i/>
          <w:iCs/>
          <w:color w:val="666666"/>
          <w:sz w:val="16"/>
          <w:szCs w:val="16"/>
        </w:rPr>
        <w:t xml:space="preserve">Reference — full from-scratch rebuild of Steps 1-3 with NO prototype reuse: ~59 person-days before GenAI.</w:t>
      </w:r>
    </w:p>
    <w:p>
      <w:pPr>
        <w:spacing w:after="300"/>
      </w:pPr>
      <w:r>
        <w:rPr>
          <w:i/>
          <w:iCs/>
          <w:color w:val="666666"/>
          <w:sz w:val="16"/>
          <w:szCs w:val="16"/>
        </w:rPr>
        <w:t xml:space="preserve">*Calendar timeline assumes a small FE-only team (2 engineers + shared QA) working in parallel across steps, plus a short stabilization buffer.</w:t>
      </w:r>
    </w:p>
    <w:p>
      <w:pPr>
        <w:pageBreakBefore/>
        <w:spacing w:after="150"/>
      </w:pPr>
      <w:r>
        <w:rPr>
          <w:b/>
          <w:bCs/>
          <w:color w:val="1F3864"/>
          <w:sz w:val="30"/>
          <w:szCs w:val="30"/>
        </w:rPr>
        <w:t xml:space="preserve">Step 1 — Project &amp; CBU Setup</w:t>
      </w:r>
    </w:p>
    <w:p>
      <w:pPr>
        <w:spacing w:after="200"/>
      </w:pPr>
      <w:r>
        <w:rPr>
          <w:sz w:val="20"/>
          <w:szCs w:val="20"/>
        </w:rPr>
        <w:t xml:space="preserve">Step 1 is the entry point — project naming, draft selection, and Old/New CBU selection. The dropdown components here are already close to production-shaped, so reuse runs high.</w:t>
      </w:r>
    </w:p>
    <w:p>
      <w:pPr>
        <w:spacing w:after="80" w:before="240"/>
      </w:pPr>
      <w:r>
        <w:rPr>
          <w:b/>
          <w:bCs/>
          <w:color w:val="2E5395"/>
          <w:sz w:val="23"/>
          <w:szCs w:val="23"/>
        </w:rPr>
        <w:t xml:space="preserve">S1.1  Project name input + Save/Clear buttons</w:t>
      </w:r>
    </w:p>
    <w:p>
      <w:pPr>
        <w:spacing w:after="60"/>
      </w:pPr>
      <w:r>
        <w:rPr>
          <w:b/>
          <w:bCs/>
          <w:sz w:val="19"/>
          <w:szCs w:val="19"/>
        </w:rPr>
        <w:t xml:space="preserve">Current prototype state: </w:t>
      </w:r>
      <w:r>
        <w:rPr>
          <w:sz w:val="19"/>
          <w:szCs w:val="19"/>
        </w:rPr>
        <w:t xml:space="preserve">ProjectNameField.tsx reuses the searchable-dropdown pattern and already supports creating a new name dynamically, so free-text entry may substantially already work. 'Create new project' / 'Clear' buttons live in SelectCbuStep.tsx.</w:t>
      </w:r>
    </w:p>
    <w:p>
      <w:pPr>
        <w:spacing w:after="60"/>
      </w:pPr>
      <w:r>
        <w:rPr>
          <w:b/>
          <w:bCs/>
          <w:sz w:val="19"/>
          <w:szCs w:val="19"/>
        </w:rPr>
        <w:t xml:space="preserve">Requested change: </w:t>
      </w:r>
      <w:r>
        <w:rPr>
          <w:sz w:val="19"/>
          <w:szCs w:val="19"/>
        </w:rPr>
        <w:t xml:space="preserve">Ensure the user can type a project name freely. Rename 'Create new project' to 'Save'. Remove the 'Clear' button.</w:t>
      </w:r>
    </w:p>
    <w:p>
      <w:pPr>
        <w:spacing w:after="100"/>
      </w:pPr>
      <w:r>
        <w:rPr>
          <w:b/>
          <w:bCs/>
          <w:color w:val="2E7D32"/>
          <w:sz w:val="19"/>
          <w:szCs w:val="19"/>
        </w:rPr>
        <w:t xml:space="preserve">Prototype UI reused: 85% — </w:t>
      </w:r>
      <w:r>
        <w:rPr>
          <w:i/>
          <w:iCs/>
          <w:color w:val="2E7D32"/>
          <w:sz w:val="19"/>
          <w:szCs w:val="19"/>
        </w:rPr>
        <w:t xml:space="preserve">Cosmetic + button relabel on an already-working field — almost entirely reuse.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6%"/>
            <w:shd w:fill="1F3864" w:color="1F3864" w:val="solid"/>
            <w:vAlign w:val="center"/>
          </w:tcPr>
          <w:p>
            <w:pPr>
              <w:jc w:val="center"/>
            </w:pPr>
            <w:r>
              <w:rPr>
                <w:b/>
                <w:bCs/>
                <w:color w:val="FFFFFF"/>
                <w:sz w:val="16"/>
                <w:szCs w:val="16"/>
              </w:rPr>
              <w:t xml:space="preserve"/>
            </w:r>
          </w:p>
        </w:tc>
        <w:tc>
          <w:tcPr>
            <w:tcW w:type="pct" w:w="15%"/>
            <w:shd w:fill="1F3864" w:color="1F3864" w:val="solid"/>
            <w:vAlign w:val="center"/>
          </w:tcPr>
          <w:p>
            <w:pPr>
              <w:jc w:val="center"/>
            </w:pPr>
            <w:r>
              <w:rPr>
                <w:b/>
                <w:bCs/>
                <w:color w:val="FFFFFF"/>
                <w:sz w:val="16"/>
                <w:szCs w:val="16"/>
              </w:rPr>
              <w:t xml:space="preserve">UI</w:t>
            </w:r>
          </w:p>
        </w:tc>
        <w:tc>
          <w:tcPr>
            <w:tcW w:type="pct" w:w="15%"/>
            <w:shd w:fill="1F3864" w:color="1F3864" w:val="solid"/>
            <w:vAlign w:val="center"/>
          </w:tcPr>
          <w:p>
            <w:pPr>
              <w:jc w:val="center"/>
            </w:pPr>
            <w:r>
              <w:rPr>
                <w:b/>
                <w:bCs/>
                <w:color w:val="FFFFFF"/>
                <w:sz w:val="16"/>
                <w:szCs w:val="16"/>
              </w:rPr>
              <w:t xml:space="preserve">Logic</w:t>
            </w:r>
          </w:p>
        </w:tc>
        <w:tc>
          <w:tcPr>
            <w:tcW w:type="pct" w:w="15%"/>
            <w:shd w:fill="1F3864" w:color="1F3864" w:val="solid"/>
            <w:vAlign w:val="center"/>
          </w:tcPr>
          <w:p>
            <w:pPr>
              <w:jc w:val="center"/>
            </w:pPr>
            <w:r>
              <w:rPr>
                <w:b/>
                <w:bCs/>
                <w:color w:val="FFFFFF"/>
                <w:sz w:val="16"/>
                <w:szCs w:val="16"/>
              </w:rPr>
              <w:t xml:space="preserve">FE Integration</w:t>
            </w:r>
          </w:p>
        </w:tc>
        <w:tc>
          <w:tcPr>
            <w:tcW w:type="pct" w:w="29%"/>
            <w:shd w:fill="1F3864" w:color="1F3864" w:val="solid"/>
            <w:vAlign w:val="center"/>
          </w:tcPr>
          <w:p>
            <w:pPr>
              <w:jc w:val="center"/>
            </w:pPr>
            <w:r>
              <w:rPr>
                <w:b/>
                <w:bCs/>
                <w:color w:val="FFFFFF"/>
                <w:sz w:val="16"/>
                <w:szCs w:val="16"/>
              </w:rPr>
              <w:t xml:space="preserve">Total (person-days)</w:t>
            </w:r>
          </w:p>
        </w:tc>
      </w:tr>
      <w:tr>
        <w:tc>
          <w:tcPr>
            <w:tcW w:type="pct" w:w="26%"/>
            <w:shd w:fill="F2F2F2" w:color="F2F2F2" w:val="solid"/>
            <w:vAlign w:val="center"/>
          </w:tcPr>
          <w:p>
            <w:pPr>
              <w:jc w:val="left"/>
            </w:pPr>
            <w:r>
              <w:rPr>
                <w:b/>
                <w:bCs/>
                <w:sz w:val="16"/>
                <w:szCs w:val="16"/>
              </w:rPr>
              <w:t xml:space="preserve">No GenAI</w:t>
            </w:r>
          </w:p>
        </w:tc>
        <w:tc>
          <w:tcPr>
            <w:tcW w:type="pct" w:w="15%"/>
            <w:shd w:fill="F2F2F2" w:color="F2F2F2" w:val="solid"/>
            <w:vAlign w:val="center"/>
          </w:tcPr>
          <w:p>
            <w:pPr>
              <w:jc w:val="center"/>
            </w:pPr>
            <w:r>
              <w:rPr>
                <w:b w:val="false"/>
                <w:bCs w:val="false"/>
                <w:sz w:val="16"/>
                <w:szCs w:val="16"/>
              </w:rPr>
              <w:t xml:space="preserve">0.2</w:t>
            </w:r>
          </w:p>
        </w:tc>
        <w:tc>
          <w:tcPr>
            <w:tcW w:type="pct" w:w="15%"/>
            <w:shd w:fill="F2F2F2" w:color="F2F2F2" w:val="solid"/>
            <w:vAlign w:val="center"/>
          </w:tcPr>
          <w:p>
            <w:pPr>
              <w:jc w:val="center"/>
            </w:pPr>
            <w:r>
              <w:rPr>
                <w:b w:val="false"/>
                <w:bCs w:val="false"/>
                <w:sz w:val="16"/>
                <w:szCs w:val="16"/>
              </w:rPr>
              <w:t xml:space="preserve">0.5</w:t>
            </w:r>
          </w:p>
        </w:tc>
        <w:tc>
          <w:tcPr>
            <w:tcW w:type="pct" w:w="15%"/>
            <w:shd w:fill="F2F2F2" w:color="F2F2F2" w:val="solid"/>
            <w:vAlign w:val="center"/>
          </w:tcPr>
          <w:p>
            <w:pPr>
              <w:jc w:val="center"/>
            </w:pPr>
            <w:r>
              <w:rPr>
                <w:b w:val="false"/>
                <w:bCs w:val="false"/>
                <w:sz w:val="16"/>
                <w:szCs w:val="16"/>
              </w:rPr>
              <w:t xml:space="preserve">0.5</w:t>
            </w:r>
          </w:p>
        </w:tc>
        <w:tc>
          <w:tcPr>
            <w:tcW w:type="pct" w:w="29%"/>
            <w:shd w:fill="F2F2F2" w:color="F2F2F2" w:val="solid"/>
            <w:vAlign w:val="center"/>
          </w:tcPr>
          <w:p>
            <w:pPr>
              <w:jc w:val="center"/>
            </w:pPr>
            <w:r>
              <w:rPr>
                <w:b/>
                <w:bCs/>
                <w:sz w:val="16"/>
                <w:szCs w:val="16"/>
              </w:rPr>
              <w:t xml:space="preserve">1.2</w:t>
            </w:r>
          </w:p>
        </w:tc>
      </w:tr>
      <w:tr>
        <w:tc>
          <w:tcPr>
            <w:tcW w:type="pct" w:w="26%"/>
            <w:shd w:fill="E2EFDA" w:color="E2EFDA" w:val="solid"/>
            <w:vAlign w:val="center"/>
          </w:tcPr>
          <w:p>
            <w:pPr>
              <w:jc w:val="left"/>
            </w:pPr>
            <w:r>
              <w:rPr>
                <w:b/>
                <w:bCs/>
                <w:sz w:val="16"/>
                <w:szCs w:val="16"/>
              </w:rPr>
              <w:t xml:space="preserve">With GenAI</w:t>
            </w:r>
          </w:p>
        </w:tc>
        <w:tc>
          <w:tcPr>
            <w:tcW w:type="pct" w:w="15%"/>
            <w:shd w:fill="E2EFDA" w:color="E2EFDA" w:val="solid"/>
            <w:vAlign w:val="center"/>
          </w:tcPr>
          <w:p>
            <w:pPr>
              <w:jc w:val="center"/>
            </w:pPr>
            <w:r>
              <w:rPr>
                <w:b w:val="false"/>
                <w:bCs w:val="false"/>
                <w:sz w:val="16"/>
                <w:szCs w:val="16"/>
              </w:rPr>
              <w:t xml:space="preserve">0.1</w:t>
            </w:r>
          </w:p>
        </w:tc>
        <w:tc>
          <w:tcPr>
            <w:tcW w:type="pct" w:w="15%"/>
            <w:shd w:fill="E2EFDA" w:color="E2EFDA" w:val="solid"/>
            <w:vAlign w:val="center"/>
          </w:tcPr>
          <w:p>
            <w:pPr>
              <w:jc w:val="center"/>
            </w:pPr>
            <w:r>
              <w:rPr>
                <w:b w:val="false"/>
                <w:bCs w:val="false"/>
                <w:sz w:val="16"/>
                <w:szCs w:val="16"/>
              </w:rPr>
              <w:t xml:space="preserve">0.3</w:t>
            </w:r>
          </w:p>
        </w:tc>
        <w:tc>
          <w:tcPr>
            <w:tcW w:type="pct" w:w="15%"/>
            <w:shd w:fill="E2EFDA" w:color="E2EFDA" w:val="solid"/>
            <w:vAlign w:val="center"/>
          </w:tcPr>
          <w:p>
            <w:pPr>
              <w:jc w:val="center"/>
            </w:pPr>
            <w:r>
              <w:rPr>
                <w:b w:val="false"/>
                <w:bCs w:val="false"/>
                <w:sz w:val="16"/>
                <w:szCs w:val="16"/>
              </w:rPr>
              <w:t xml:space="preserve">0.4</w:t>
            </w:r>
          </w:p>
        </w:tc>
        <w:tc>
          <w:tcPr>
            <w:tcW w:type="pct" w:w="29%"/>
            <w:shd w:fill="E2EFDA" w:color="E2EFDA" w:val="solid"/>
            <w:vAlign w:val="center"/>
          </w:tcPr>
          <w:p>
            <w:pPr>
              <w:jc w:val="center"/>
            </w:pPr>
            <w:r>
              <w:rPr>
                <w:b/>
                <w:bCs/>
                <w:sz w:val="16"/>
                <w:szCs w:val="16"/>
              </w:rPr>
              <w:t xml:space="preserve">0.8</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Confirm in-app whether the existing creatable-dropdown pattern already satisfies 'user can type project name', or a plain text input is wanted instead.</w:t>
      </w:r>
    </w:p>
    <w:p>
      <w:pPr>
        <w:spacing w:after="80" w:before="240"/>
      </w:pPr>
      <w:r>
        <w:rPr>
          <w:b/>
          <w:bCs/>
          <w:color w:val="2E5395"/>
          <w:sz w:val="23"/>
          <w:szCs w:val="23"/>
        </w:rPr>
        <w:t xml:space="preserve">S1.2  CBU selection (Old/New) — swap to ready master-data API</w:t>
      </w:r>
    </w:p>
    <w:p>
      <w:pPr>
        <w:spacing w:after="60"/>
      </w:pPr>
      <w:r>
        <w:rPr>
          <w:b/>
          <w:bCs/>
          <w:sz w:val="19"/>
          <w:szCs w:val="19"/>
        </w:rPr>
        <w:t xml:space="preserve">Current prototype state: </w:t>
      </w:r>
      <w:r>
        <w:rPr>
          <w:sz w:val="19"/>
          <w:szCs w:val="19"/>
        </w:rPr>
        <w:t xml:space="preserve">CbuDropdownField.tsx is a well-built, reusable, portal-rendered multi-select already calling useCbuListQuery via React Query — currently pointed at a mock in-memory array.</w:t>
      </w:r>
    </w:p>
    <w:p>
      <w:pPr>
        <w:spacing w:after="60"/>
      </w:pPr>
      <w:r>
        <w:rPr>
          <w:b/>
          <w:bCs/>
          <w:sz w:val="19"/>
          <w:szCs w:val="19"/>
        </w:rPr>
        <w:t xml:space="preserve">Requested change: </w:t>
      </w:r>
      <w:r>
        <w:rPr>
          <w:sz w:val="19"/>
          <w:szCs w:val="19"/>
        </w:rPr>
        <w:t xml:space="preserve">Point the existing hook at the real, ready CBU master-data endpoint; adjust response mapping and loading/error/empty states as needed. No UI rebuild required.</w:t>
      </w:r>
    </w:p>
    <w:p>
      <w:pPr>
        <w:spacing w:after="100"/>
      </w:pPr>
      <w:r>
        <w:rPr>
          <w:b/>
          <w:bCs/>
          <w:color w:val="2E7D32"/>
          <w:sz w:val="19"/>
          <w:szCs w:val="19"/>
        </w:rPr>
        <w:t xml:space="preserve">Prototype UI reused: 90% — </w:t>
      </w:r>
      <w:r>
        <w:rPr>
          <w:i/>
          <w:iCs/>
          <w:color w:val="2E7D32"/>
          <w:sz w:val="19"/>
          <w:szCs w:val="19"/>
        </w:rPr>
        <w:t xml:space="preserve">Already production-shaped and already query-driven — only the data source swaps.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6%"/>
            <w:shd w:fill="1F3864" w:color="1F3864" w:val="solid"/>
            <w:vAlign w:val="center"/>
          </w:tcPr>
          <w:p>
            <w:pPr>
              <w:jc w:val="center"/>
            </w:pPr>
            <w:r>
              <w:rPr>
                <w:b/>
                <w:bCs/>
                <w:color w:val="FFFFFF"/>
                <w:sz w:val="16"/>
                <w:szCs w:val="16"/>
              </w:rPr>
              <w:t xml:space="preserve"/>
            </w:r>
          </w:p>
        </w:tc>
        <w:tc>
          <w:tcPr>
            <w:tcW w:type="pct" w:w="15%"/>
            <w:shd w:fill="1F3864" w:color="1F3864" w:val="solid"/>
            <w:vAlign w:val="center"/>
          </w:tcPr>
          <w:p>
            <w:pPr>
              <w:jc w:val="center"/>
            </w:pPr>
            <w:r>
              <w:rPr>
                <w:b/>
                <w:bCs/>
                <w:color w:val="FFFFFF"/>
                <w:sz w:val="16"/>
                <w:szCs w:val="16"/>
              </w:rPr>
              <w:t xml:space="preserve">UI</w:t>
            </w:r>
          </w:p>
        </w:tc>
        <w:tc>
          <w:tcPr>
            <w:tcW w:type="pct" w:w="15%"/>
            <w:shd w:fill="1F3864" w:color="1F3864" w:val="solid"/>
            <w:vAlign w:val="center"/>
          </w:tcPr>
          <w:p>
            <w:pPr>
              <w:jc w:val="center"/>
            </w:pPr>
            <w:r>
              <w:rPr>
                <w:b/>
                <w:bCs/>
                <w:color w:val="FFFFFF"/>
                <w:sz w:val="16"/>
                <w:szCs w:val="16"/>
              </w:rPr>
              <w:t xml:space="preserve">Logic</w:t>
            </w:r>
          </w:p>
        </w:tc>
        <w:tc>
          <w:tcPr>
            <w:tcW w:type="pct" w:w="15%"/>
            <w:shd w:fill="1F3864" w:color="1F3864" w:val="solid"/>
            <w:vAlign w:val="center"/>
          </w:tcPr>
          <w:p>
            <w:pPr>
              <w:jc w:val="center"/>
            </w:pPr>
            <w:r>
              <w:rPr>
                <w:b/>
                <w:bCs/>
                <w:color w:val="FFFFFF"/>
                <w:sz w:val="16"/>
                <w:szCs w:val="16"/>
              </w:rPr>
              <w:t xml:space="preserve">FE Integration</w:t>
            </w:r>
          </w:p>
        </w:tc>
        <w:tc>
          <w:tcPr>
            <w:tcW w:type="pct" w:w="29%"/>
            <w:shd w:fill="1F3864" w:color="1F3864" w:val="solid"/>
            <w:vAlign w:val="center"/>
          </w:tcPr>
          <w:p>
            <w:pPr>
              <w:jc w:val="center"/>
            </w:pPr>
            <w:r>
              <w:rPr>
                <w:b/>
                <w:bCs/>
                <w:color w:val="FFFFFF"/>
                <w:sz w:val="16"/>
                <w:szCs w:val="16"/>
              </w:rPr>
              <w:t xml:space="preserve">Total (person-days)</w:t>
            </w:r>
          </w:p>
        </w:tc>
      </w:tr>
      <w:tr>
        <w:tc>
          <w:tcPr>
            <w:tcW w:type="pct" w:w="26%"/>
            <w:shd w:fill="F2F2F2" w:color="F2F2F2" w:val="solid"/>
            <w:vAlign w:val="center"/>
          </w:tcPr>
          <w:p>
            <w:pPr>
              <w:jc w:val="left"/>
            </w:pPr>
            <w:r>
              <w:rPr>
                <w:b/>
                <w:bCs/>
                <w:sz w:val="16"/>
                <w:szCs w:val="16"/>
              </w:rPr>
              <w:t xml:space="preserve">No GenAI</w:t>
            </w:r>
          </w:p>
        </w:tc>
        <w:tc>
          <w:tcPr>
            <w:tcW w:type="pct" w:w="15%"/>
            <w:shd w:fill="F2F2F2" w:color="F2F2F2" w:val="solid"/>
            <w:vAlign w:val="center"/>
          </w:tcPr>
          <w:p>
            <w:pPr>
              <w:jc w:val="center"/>
            </w:pPr>
            <w:r>
              <w:rPr>
                <w:b w:val="false"/>
                <w:bCs w:val="false"/>
                <w:sz w:val="16"/>
                <w:szCs w:val="16"/>
              </w:rPr>
              <w:t xml:space="preserve">0.1</w:t>
            </w:r>
          </w:p>
        </w:tc>
        <w:tc>
          <w:tcPr>
            <w:tcW w:type="pct" w:w="15%"/>
            <w:shd w:fill="F2F2F2" w:color="F2F2F2" w:val="solid"/>
            <w:vAlign w:val="center"/>
          </w:tcPr>
          <w:p>
            <w:pPr>
              <w:jc w:val="center"/>
            </w:pPr>
            <w:r>
              <w:rPr>
                <w:b w:val="false"/>
                <w:bCs w:val="false"/>
                <w:sz w:val="16"/>
                <w:szCs w:val="16"/>
              </w:rPr>
              <w:t xml:space="preserve">0.5</w:t>
            </w:r>
          </w:p>
        </w:tc>
        <w:tc>
          <w:tcPr>
            <w:tcW w:type="pct" w:w="15%"/>
            <w:shd w:fill="F2F2F2" w:color="F2F2F2" w:val="solid"/>
            <w:vAlign w:val="center"/>
          </w:tcPr>
          <w:p>
            <w:pPr>
              <w:jc w:val="center"/>
            </w:pPr>
            <w:r>
              <w:rPr>
                <w:b w:val="false"/>
                <w:bCs w:val="false"/>
                <w:sz w:val="16"/>
                <w:szCs w:val="16"/>
              </w:rPr>
              <w:t xml:space="preserve">1</w:t>
            </w:r>
          </w:p>
        </w:tc>
        <w:tc>
          <w:tcPr>
            <w:tcW w:type="pct" w:w="29%"/>
            <w:shd w:fill="F2F2F2" w:color="F2F2F2" w:val="solid"/>
            <w:vAlign w:val="center"/>
          </w:tcPr>
          <w:p>
            <w:pPr>
              <w:jc w:val="center"/>
            </w:pPr>
            <w:r>
              <w:rPr>
                <w:b/>
                <w:bCs/>
                <w:sz w:val="16"/>
                <w:szCs w:val="16"/>
              </w:rPr>
              <w:t xml:space="preserve">1.6</w:t>
            </w:r>
          </w:p>
        </w:tc>
      </w:tr>
      <w:tr>
        <w:tc>
          <w:tcPr>
            <w:tcW w:type="pct" w:w="26%"/>
            <w:shd w:fill="E2EFDA" w:color="E2EFDA" w:val="solid"/>
            <w:vAlign w:val="center"/>
          </w:tcPr>
          <w:p>
            <w:pPr>
              <w:jc w:val="left"/>
            </w:pPr>
            <w:r>
              <w:rPr>
                <w:b/>
                <w:bCs/>
                <w:sz w:val="16"/>
                <w:szCs w:val="16"/>
              </w:rPr>
              <w:t xml:space="preserve">With GenAI</w:t>
            </w:r>
          </w:p>
        </w:tc>
        <w:tc>
          <w:tcPr>
            <w:tcW w:type="pct" w:w="15%"/>
            <w:shd w:fill="E2EFDA" w:color="E2EFDA" w:val="solid"/>
            <w:vAlign w:val="center"/>
          </w:tcPr>
          <w:p>
            <w:pPr>
              <w:jc w:val="center"/>
            </w:pPr>
            <w:r>
              <w:rPr>
                <w:b w:val="false"/>
                <w:bCs w:val="false"/>
                <w:sz w:val="16"/>
                <w:szCs w:val="16"/>
              </w:rPr>
              <w:t xml:space="preserve">0.1</w:t>
            </w:r>
          </w:p>
        </w:tc>
        <w:tc>
          <w:tcPr>
            <w:tcW w:type="pct" w:w="15%"/>
            <w:shd w:fill="E2EFDA" w:color="E2EFDA" w:val="solid"/>
            <w:vAlign w:val="center"/>
          </w:tcPr>
          <w:p>
            <w:pPr>
              <w:jc w:val="center"/>
            </w:pPr>
            <w:r>
              <w:rPr>
                <w:b w:val="false"/>
                <w:bCs w:val="false"/>
                <w:sz w:val="16"/>
                <w:szCs w:val="16"/>
              </w:rPr>
              <w:t xml:space="preserve">0.3</w:t>
            </w:r>
          </w:p>
        </w:tc>
        <w:tc>
          <w:tcPr>
            <w:tcW w:type="pct" w:w="15%"/>
            <w:shd w:fill="E2EFDA" w:color="E2EFDA" w:val="solid"/>
            <w:vAlign w:val="center"/>
          </w:tcPr>
          <w:p>
            <w:pPr>
              <w:jc w:val="center"/>
            </w:pPr>
            <w:r>
              <w:rPr>
                <w:b w:val="false"/>
                <w:bCs w:val="false"/>
                <w:sz w:val="16"/>
                <w:szCs w:val="16"/>
              </w:rPr>
              <w:t xml:space="preserve">0.8</w:t>
            </w:r>
          </w:p>
        </w:tc>
        <w:tc>
          <w:tcPr>
            <w:tcW w:type="pct" w:w="29%"/>
            <w:shd w:fill="E2EFDA" w:color="E2EFDA" w:val="solid"/>
            <w:vAlign w:val="center"/>
          </w:tcPr>
          <w:p>
            <w:pPr>
              <w:jc w:val="center"/>
            </w:pPr>
            <w:r>
              <w:rPr>
                <w:b/>
                <w:bCs/>
                <w:sz w:val="16"/>
                <w:szCs w:val="16"/>
              </w:rPr>
              <w:t xml:space="preserve">1.2</w:t>
            </w:r>
          </w:p>
        </w:tc>
      </w:tr>
    </w:tbl>
    <w:p>
      <w:pPr>
        <w:spacing w:after="80" w:before="240"/>
      </w:pPr>
      <w:r>
        <w:rPr>
          <w:b/>
          <w:bCs/>
          <w:color w:val="2E5395"/>
          <w:sz w:val="23"/>
          <w:szCs w:val="23"/>
        </w:rPr>
        <w:t xml:space="preserve">S1.3  Draft / project persistence — FE wiring</w:t>
      </w:r>
    </w:p>
    <w:p>
      <w:pPr>
        <w:spacing w:after="60"/>
      </w:pPr>
      <w:r>
        <w:rPr>
          <w:b/>
          <w:bCs/>
          <w:sz w:val="19"/>
          <w:szCs w:val="19"/>
        </w:rPr>
        <w:t xml:space="preserve">Current prototype state: </w:t>
      </w:r>
      <w:r>
        <w:rPr>
          <w:sz w:val="19"/>
          <w:szCs w:val="19"/>
        </w:rPr>
        <w:t xml:space="preserve">DraftIdField.tsx renders the same dropdown pattern against a hardcoded DUMMY_DRAFTS array. The header 'Save Draft' button only sets a Redux flag today; nothing is sent to a backend.</w:t>
      </w:r>
    </w:p>
    <w:p>
      <w:pPr>
        <w:spacing w:after="60"/>
      </w:pPr>
      <w:r>
        <w:rPr>
          <w:b/>
          <w:bCs/>
          <w:sz w:val="19"/>
          <w:szCs w:val="19"/>
        </w:rPr>
        <w:t xml:space="preserve">Requested change: </w:t>
      </w:r>
      <w:r>
        <w:rPr>
          <w:sz w:val="19"/>
          <w:szCs w:val="19"/>
        </w:rPr>
        <w:t xml:space="preserve">Wire the Draft ID dropdown and Save button to the ready drafts API (create, save, list, resume); add save-in-progress/error UI states.</w:t>
      </w:r>
    </w:p>
    <w:p>
      <w:pPr>
        <w:spacing w:after="100"/>
      </w:pPr>
      <w:r>
        <w:rPr>
          <w:b/>
          <w:bCs/>
          <w:color w:val="2E7D32"/>
          <w:sz w:val="19"/>
          <w:szCs w:val="19"/>
        </w:rPr>
        <w:t xml:space="preserve">Prototype UI reused: 60% — </w:t>
      </w:r>
      <w:r>
        <w:rPr>
          <w:i/>
          <w:iCs/>
          <w:color w:val="2E7D32"/>
          <w:sz w:val="19"/>
          <w:szCs w:val="19"/>
        </w:rPr>
        <w:t xml:space="preserve">Dropdown shell reuses; save/resume states and error handling are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6%"/>
            <w:shd w:fill="1F3864" w:color="1F3864" w:val="solid"/>
            <w:vAlign w:val="center"/>
          </w:tcPr>
          <w:p>
            <w:pPr>
              <w:jc w:val="center"/>
            </w:pPr>
            <w:r>
              <w:rPr>
                <w:b/>
                <w:bCs/>
                <w:color w:val="FFFFFF"/>
                <w:sz w:val="16"/>
                <w:szCs w:val="16"/>
              </w:rPr>
              <w:t xml:space="preserve"/>
            </w:r>
          </w:p>
        </w:tc>
        <w:tc>
          <w:tcPr>
            <w:tcW w:type="pct" w:w="15%"/>
            <w:shd w:fill="1F3864" w:color="1F3864" w:val="solid"/>
            <w:vAlign w:val="center"/>
          </w:tcPr>
          <w:p>
            <w:pPr>
              <w:jc w:val="center"/>
            </w:pPr>
            <w:r>
              <w:rPr>
                <w:b/>
                <w:bCs/>
                <w:color w:val="FFFFFF"/>
                <w:sz w:val="16"/>
                <w:szCs w:val="16"/>
              </w:rPr>
              <w:t xml:space="preserve">UI</w:t>
            </w:r>
          </w:p>
        </w:tc>
        <w:tc>
          <w:tcPr>
            <w:tcW w:type="pct" w:w="15%"/>
            <w:shd w:fill="1F3864" w:color="1F3864" w:val="solid"/>
            <w:vAlign w:val="center"/>
          </w:tcPr>
          <w:p>
            <w:pPr>
              <w:jc w:val="center"/>
            </w:pPr>
            <w:r>
              <w:rPr>
                <w:b/>
                <w:bCs/>
                <w:color w:val="FFFFFF"/>
                <w:sz w:val="16"/>
                <w:szCs w:val="16"/>
              </w:rPr>
              <w:t xml:space="preserve">Logic</w:t>
            </w:r>
          </w:p>
        </w:tc>
        <w:tc>
          <w:tcPr>
            <w:tcW w:type="pct" w:w="15%"/>
            <w:shd w:fill="1F3864" w:color="1F3864" w:val="solid"/>
            <w:vAlign w:val="center"/>
          </w:tcPr>
          <w:p>
            <w:pPr>
              <w:jc w:val="center"/>
            </w:pPr>
            <w:r>
              <w:rPr>
                <w:b/>
                <w:bCs/>
                <w:color w:val="FFFFFF"/>
                <w:sz w:val="16"/>
                <w:szCs w:val="16"/>
              </w:rPr>
              <w:t xml:space="preserve">FE Integration</w:t>
            </w:r>
          </w:p>
        </w:tc>
        <w:tc>
          <w:tcPr>
            <w:tcW w:type="pct" w:w="29%"/>
            <w:shd w:fill="1F3864" w:color="1F3864" w:val="solid"/>
            <w:vAlign w:val="center"/>
          </w:tcPr>
          <w:p>
            <w:pPr>
              <w:jc w:val="center"/>
            </w:pPr>
            <w:r>
              <w:rPr>
                <w:b/>
                <w:bCs/>
                <w:color w:val="FFFFFF"/>
                <w:sz w:val="16"/>
                <w:szCs w:val="16"/>
              </w:rPr>
              <w:t xml:space="preserve">Total (person-days)</w:t>
            </w:r>
          </w:p>
        </w:tc>
      </w:tr>
      <w:tr>
        <w:tc>
          <w:tcPr>
            <w:tcW w:type="pct" w:w="26%"/>
            <w:shd w:fill="F2F2F2" w:color="F2F2F2" w:val="solid"/>
            <w:vAlign w:val="center"/>
          </w:tcPr>
          <w:p>
            <w:pPr>
              <w:jc w:val="left"/>
            </w:pPr>
            <w:r>
              <w:rPr>
                <w:b/>
                <w:bCs/>
                <w:sz w:val="16"/>
                <w:szCs w:val="16"/>
              </w:rPr>
              <w:t xml:space="preserve">No GenAI</w:t>
            </w:r>
          </w:p>
        </w:tc>
        <w:tc>
          <w:tcPr>
            <w:tcW w:type="pct" w:w="15%"/>
            <w:shd w:fill="F2F2F2" w:color="F2F2F2" w:val="solid"/>
            <w:vAlign w:val="center"/>
          </w:tcPr>
          <w:p>
            <w:pPr>
              <w:jc w:val="center"/>
            </w:pPr>
            <w:r>
              <w:rPr>
                <w:b w:val="false"/>
                <w:bCs w:val="false"/>
                <w:sz w:val="16"/>
                <w:szCs w:val="16"/>
              </w:rPr>
              <w:t xml:space="preserve">0.8</w:t>
            </w:r>
          </w:p>
        </w:tc>
        <w:tc>
          <w:tcPr>
            <w:tcW w:type="pct" w:w="15%"/>
            <w:shd w:fill="F2F2F2" w:color="F2F2F2" w:val="solid"/>
            <w:vAlign w:val="center"/>
          </w:tcPr>
          <w:p>
            <w:pPr>
              <w:jc w:val="center"/>
            </w:pPr>
            <w:r>
              <w:rPr>
                <w:b w:val="false"/>
                <w:bCs w:val="false"/>
                <w:sz w:val="16"/>
                <w:szCs w:val="16"/>
              </w:rPr>
              <w:t xml:space="preserve">1.5</w:t>
            </w:r>
          </w:p>
        </w:tc>
        <w:tc>
          <w:tcPr>
            <w:tcW w:type="pct" w:w="15%"/>
            <w:shd w:fill="F2F2F2" w:color="F2F2F2" w:val="solid"/>
            <w:vAlign w:val="center"/>
          </w:tcPr>
          <w:p>
            <w:pPr>
              <w:jc w:val="center"/>
            </w:pPr>
            <w:r>
              <w:rPr>
                <w:b w:val="false"/>
                <w:bCs w:val="false"/>
                <w:sz w:val="16"/>
                <w:szCs w:val="16"/>
              </w:rPr>
              <w:t xml:space="preserve">1.5</w:t>
            </w:r>
          </w:p>
        </w:tc>
        <w:tc>
          <w:tcPr>
            <w:tcW w:type="pct" w:w="29%"/>
            <w:shd w:fill="F2F2F2" w:color="F2F2F2" w:val="solid"/>
            <w:vAlign w:val="center"/>
          </w:tcPr>
          <w:p>
            <w:pPr>
              <w:jc w:val="center"/>
            </w:pPr>
            <w:r>
              <w:rPr>
                <w:b/>
                <w:bCs/>
                <w:sz w:val="16"/>
                <w:szCs w:val="16"/>
              </w:rPr>
              <w:t xml:space="preserve">3.8</w:t>
            </w:r>
          </w:p>
        </w:tc>
      </w:tr>
      <w:tr>
        <w:tc>
          <w:tcPr>
            <w:tcW w:type="pct" w:w="26%"/>
            <w:shd w:fill="E2EFDA" w:color="E2EFDA" w:val="solid"/>
            <w:vAlign w:val="center"/>
          </w:tcPr>
          <w:p>
            <w:pPr>
              <w:jc w:val="left"/>
            </w:pPr>
            <w:r>
              <w:rPr>
                <w:b/>
                <w:bCs/>
                <w:sz w:val="16"/>
                <w:szCs w:val="16"/>
              </w:rPr>
              <w:t xml:space="preserve">With GenAI</w:t>
            </w:r>
          </w:p>
        </w:tc>
        <w:tc>
          <w:tcPr>
            <w:tcW w:type="pct" w:w="15%"/>
            <w:shd w:fill="E2EFDA" w:color="E2EFDA" w:val="solid"/>
            <w:vAlign w:val="center"/>
          </w:tcPr>
          <w:p>
            <w:pPr>
              <w:jc w:val="center"/>
            </w:pPr>
            <w:r>
              <w:rPr>
                <w:b w:val="false"/>
                <w:bCs w:val="false"/>
                <w:sz w:val="16"/>
                <w:szCs w:val="16"/>
              </w:rPr>
              <w:t xml:space="preserve">0.4</w:t>
            </w:r>
          </w:p>
        </w:tc>
        <w:tc>
          <w:tcPr>
            <w:tcW w:type="pct" w:w="15%"/>
            <w:shd w:fill="E2EFDA" w:color="E2EFDA" w:val="solid"/>
            <w:vAlign w:val="center"/>
          </w:tcPr>
          <w:p>
            <w:pPr>
              <w:jc w:val="center"/>
            </w:pPr>
            <w:r>
              <w:rPr>
                <w:b w:val="false"/>
                <w:bCs w:val="false"/>
                <w:sz w:val="16"/>
                <w:szCs w:val="16"/>
              </w:rPr>
              <w:t xml:space="preserve">1</w:t>
            </w:r>
          </w:p>
        </w:tc>
        <w:tc>
          <w:tcPr>
            <w:tcW w:type="pct" w:w="15%"/>
            <w:shd w:fill="E2EFDA" w:color="E2EFDA" w:val="solid"/>
            <w:vAlign w:val="center"/>
          </w:tcPr>
          <w:p>
            <w:pPr>
              <w:jc w:val="center"/>
            </w:pPr>
            <w:r>
              <w:rPr>
                <w:b w:val="false"/>
                <w:bCs w:val="false"/>
                <w:sz w:val="16"/>
                <w:szCs w:val="16"/>
              </w:rPr>
              <w:t xml:space="preserve">1.2</w:t>
            </w:r>
          </w:p>
        </w:tc>
        <w:tc>
          <w:tcPr>
            <w:tcW w:type="pct" w:w="29%"/>
            <w:shd w:fill="E2EFDA" w:color="E2EFDA" w:val="solid"/>
            <w:vAlign w:val="center"/>
          </w:tcPr>
          <w:p>
            <w:pPr>
              <w:jc w:val="center"/>
            </w:pPr>
            <w:r>
              <w:rPr>
                <w:b/>
                <w:bCs/>
                <w:sz w:val="16"/>
                <w:szCs w:val="16"/>
              </w:rPr>
              <w:t xml:space="preserve">2.6</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Need the ready API's exact drafts contract (single-owner autosave vs. versioned vs. shared) to know which UI states (e.g. version history) to build.</w:t>
      </w:r>
    </w:p>
    <w:p>
      <w:pPr>
        <w:pageBreakBefore/>
        <w:spacing w:after="150"/>
      </w:pPr>
      <w:r>
        <w:rPr>
          <w:b/>
          <w:bCs/>
          <w:color w:val="1F3864"/>
          <w:sz w:val="30"/>
          <w:szCs w:val="30"/>
        </w:rPr>
        <w:t xml:space="preserve">Step 2 — Simulation Assumptions</w:t>
      </w:r>
    </w:p>
    <w:p>
      <w:pPr>
        <w:spacing w:after="200"/>
      </w:pPr>
      <w:r>
        <w:rPr>
          <w:sz w:val="20"/>
          <w:szCs w:val="20"/>
        </w:rPr>
        <w:t xml:space="preserve">Step 2's existing tables (PO Cancellation, RMPM, IUT, MOQ) are mostly column/label edits on working components — high reuse. The one genuinely new tile (Supplier Inventory &amp; Feedstock) and the RMPM status-matrix rebuild reuse far less.</w:t>
      </w:r>
    </w:p>
    <w:p>
      <w:pPr>
        <w:spacing w:after="80" w:before="240"/>
      </w:pPr>
      <w:r>
        <w:rPr>
          <w:b/>
          <w:bCs/>
          <w:color w:val="2E5395"/>
          <w:sz w:val="23"/>
          <w:szCs w:val="23"/>
        </w:rPr>
        <w:t xml:space="preserve">S2.1  PO Cancellation — table rework</w:t>
      </w:r>
    </w:p>
    <w:p>
      <w:pPr>
        <w:spacing w:after="60"/>
      </w:pPr>
      <w:r>
        <w:rPr>
          <w:b/>
          <w:bCs/>
          <w:sz w:val="19"/>
          <w:szCs w:val="19"/>
        </w:rPr>
        <w:t xml:space="preserve">Current prototype state: </w:t>
      </w:r>
      <w:r>
        <w:rPr>
          <w:sz w:val="19"/>
          <w:szCs w:val="19"/>
        </w:rPr>
        <w:t xml:space="preserve">OpenPoAssumptionsContent.tsx: a 14-column PO-line table, cancel toggle, bulk include/cancel-all buttons, per-row checkboxes — currently sourced from hardcoded constants.</w:t>
      </w:r>
    </w:p>
    <w:p>
      <w:pPr>
        <w:spacing w:after="60"/>
      </w:pPr>
      <w:r>
        <w:rPr>
          <w:b/>
          <w:bCs/>
          <w:sz w:val="19"/>
          <w:szCs w:val="19"/>
        </w:rPr>
        <w:t xml:space="preserve">Requested change: </w:t>
      </w:r>
      <w:r>
        <w:rPr>
          <w:sz w:val="19"/>
          <w:szCs w:val="19"/>
        </w:rPr>
        <w:t xml:space="preserve">Remove the supplier-inventory column and the 'Open PO can be cancelled' toggle. Tick boxes blank by default. Add a header 'Select all' checkbox. Add a scrollbar on overflow. Bind the table to the ready PO-lines endpoint.</w:t>
      </w:r>
    </w:p>
    <w:p>
      <w:pPr>
        <w:spacing w:after="100"/>
      </w:pPr>
      <w:r>
        <w:rPr>
          <w:b/>
          <w:bCs/>
          <w:color w:val="2E7D32"/>
          <w:sz w:val="19"/>
          <w:szCs w:val="19"/>
        </w:rPr>
        <w:t xml:space="preserve">Prototype UI reused: 65% — </w:t>
      </w:r>
      <w:r>
        <w:rPr>
          <w:i/>
          <w:iCs/>
          <w:color w:val="2E7D32"/>
          <w:sz w:val="19"/>
          <w:szCs w:val="19"/>
        </w:rPr>
        <w:t xml:space="preserve">Table shell, columns and checkbox pattern all reuse; toggle removal and select-all are net new interaction.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6%"/>
            <w:shd w:fill="1F3864" w:color="1F3864" w:val="solid"/>
            <w:vAlign w:val="center"/>
          </w:tcPr>
          <w:p>
            <w:pPr>
              <w:jc w:val="center"/>
            </w:pPr>
            <w:r>
              <w:rPr>
                <w:b/>
                <w:bCs/>
                <w:color w:val="FFFFFF"/>
                <w:sz w:val="16"/>
                <w:szCs w:val="16"/>
              </w:rPr>
              <w:t xml:space="preserve"/>
            </w:r>
          </w:p>
        </w:tc>
        <w:tc>
          <w:tcPr>
            <w:tcW w:type="pct" w:w="15%"/>
            <w:shd w:fill="1F3864" w:color="1F3864" w:val="solid"/>
            <w:vAlign w:val="center"/>
          </w:tcPr>
          <w:p>
            <w:pPr>
              <w:jc w:val="center"/>
            </w:pPr>
            <w:r>
              <w:rPr>
                <w:b/>
                <w:bCs/>
                <w:color w:val="FFFFFF"/>
                <w:sz w:val="16"/>
                <w:szCs w:val="16"/>
              </w:rPr>
              <w:t xml:space="preserve">UI</w:t>
            </w:r>
          </w:p>
        </w:tc>
        <w:tc>
          <w:tcPr>
            <w:tcW w:type="pct" w:w="15%"/>
            <w:shd w:fill="1F3864" w:color="1F3864" w:val="solid"/>
            <w:vAlign w:val="center"/>
          </w:tcPr>
          <w:p>
            <w:pPr>
              <w:jc w:val="center"/>
            </w:pPr>
            <w:r>
              <w:rPr>
                <w:b/>
                <w:bCs/>
                <w:color w:val="FFFFFF"/>
                <w:sz w:val="16"/>
                <w:szCs w:val="16"/>
              </w:rPr>
              <w:t xml:space="preserve">Logic</w:t>
            </w:r>
          </w:p>
        </w:tc>
        <w:tc>
          <w:tcPr>
            <w:tcW w:type="pct" w:w="15%"/>
            <w:shd w:fill="1F3864" w:color="1F3864" w:val="solid"/>
            <w:vAlign w:val="center"/>
          </w:tcPr>
          <w:p>
            <w:pPr>
              <w:jc w:val="center"/>
            </w:pPr>
            <w:r>
              <w:rPr>
                <w:b/>
                <w:bCs/>
                <w:color w:val="FFFFFF"/>
                <w:sz w:val="16"/>
                <w:szCs w:val="16"/>
              </w:rPr>
              <w:t xml:space="preserve">FE Integration</w:t>
            </w:r>
          </w:p>
        </w:tc>
        <w:tc>
          <w:tcPr>
            <w:tcW w:type="pct" w:w="29%"/>
            <w:shd w:fill="1F3864" w:color="1F3864" w:val="solid"/>
            <w:vAlign w:val="center"/>
          </w:tcPr>
          <w:p>
            <w:pPr>
              <w:jc w:val="center"/>
            </w:pPr>
            <w:r>
              <w:rPr>
                <w:b/>
                <w:bCs/>
                <w:color w:val="FFFFFF"/>
                <w:sz w:val="16"/>
                <w:szCs w:val="16"/>
              </w:rPr>
              <w:t xml:space="preserve">Total (person-days)</w:t>
            </w:r>
          </w:p>
        </w:tc>
      </w:tr>
      <w:tr>
        <w:tc>
          <w:tcPr>
            <w:tcW w:type="pct" w:w="26%"/>
            <w:shd w:fill="F2F2F2" w:color="F2F2F2" w:val="solid"/>
            <w:vAlign w:val="center"/>
          </w:tcPr>
          <w:p>
            <w:pPr>
              <w:jc w:val="left"/>
            </w:pPr>
            <w:r>
              <w:rPr>
                <w:b/>
                <w:bCs/>
                <w:sz w:val="16"/>
                <w:szCs w:val="16"/>
              </w:rPr>
              <w:t xml:space="preserve">No GenAI</w:t>
            </w:r>
          </w:p>
        </w:tc>
        <w:tc>
          <w:tcPr>
            <w:tcW w:type="pct" w:w="15%"/>
            <w:shd w:fill="F2F2F2" w:color="F2F2F2" w:val="solid"/>
            <w:vAlign w:val="center"/>
          </w:tcPr>
          <w:p>
            <w:pPr>
              <w:jc w:val="center"/>
            </w:pPr>
            <w:r>
              <w:rPr>
                <w:b w:val="false"/>
                <w:bCs w:val="false"/>
                <w:sz w:val="16"/>
                <w:szCs w:val="16"/>
              </w:rPr>
              <w:t xml:space="preserve">0.7</w:t>
            </w:r>
          </w:p>
        </w:tc>
        <w:tc>
          <w:tcPr>
            <w:tcW w:type="pct" w:w="15%"/>
            <w:shd w:fill="F2F2F2" w:color="F2F2F2" w:val="solid"/>
            <w:vAlign w:val="center"/>
          </w:tcPr>
          <w:p>
            <w:pPr>
              <w:jc w:val="center"/>
            </w:pPr>
            <w:r>
              <w:rPr>
                <w:b w:val="false"/>
                <w:bCs w:val="false"/>
                <w:sz w:val="16"/>
                <w:szCs w:val="16"/>
              </w:rPr>
              <w:t xml:space="preserve">1</w:t>
            </w:r>
          </w:p>
        </w:tc>
        <w:tc>
          <w:tcPr>
            <w:tcW w:type="pct" w:w="15%"/>
            <w:shd w:fill="F2F2F2" w:color="F2F2F2" w:val="solid"/>
            <w:vAlign w:val="center"/>
          </w:tcPr>
          <w:p>
            <w:pPr>
              <w:jc w:val="center"/>
            </w:pPr>
            <w:r>
              <w:rPr>
                <w:b w:val="false"/>
                <w:bCs w:val="false"/>
                <w:sz w:val="16"/>
                <w:szCs w:val="16"/>
              </w:rPr>
              <w:t xml:space="preserve">1</w:t>
            </w:r>
          </w:p>
        </w:tc>
        <w:tc>
          <w:tcPr>
            <w:tcW w:type="pct" w:w="29%"/>
            <w:shd w:fill="F2F2F2" w:color="F2F2F2" w:val="solid"/>
            <w:vAlign w:val="center"/>
          </w:tcPr>
          <w:p>
            <w:pPr>
              <w:jc w:val="center"/>
            </w:pPr>
            <w:r>
              <w:rPr>
                <w:b/>
                <w:bCs/>
                <w:sz w:val="16"/>
                <w:szCs w:val="16"/>
              </w:rPr>
              <w:t xml:space="preserve">2.7</w:t>
            </w:r>
          </w:p>
        </w:tc>
      </w:tr>
      <w:tr>
        <w:tc>
          <w:tcPr>
            <w:tcW w:type="pct" w:w="26%"/>
            <w:shd w:fill="E2EFDA" w:color="E2EFDA" w:val="solid"/>
            <w:vAlign w:val="center"/>
          </w:tcPr>
          <w:p>
            <w:pPr>
              <w:jc w:val="left"/>
            </w:pPr>
            <w:r>
              <w:rPr>
                <w:b/>
                <w:bCs/>
                <w:sz w:val="16"/>
                <w:szCs w:val="16"/>
              </w:rPr>
              <w:t xml:space="preserve">With GenAI</w:t>
            </w:r>
          </w:p>
        </w:tc>
        <w:tc>
          <w:tcPr>
            <w:tcW w:type="pct" w:w="15%"/>
            <w:shd w:fill="E2EFDA" w:color="E2EFDA" w:val="solid"/>
            <w:vAlign w:val="center"/>
          </w:tcPr>
          <w:p>
            <w:pPr>
              <w:jc w:val="center"/>
            </w:pPr>
            <w:r>
              <w:rPr>
                <w:b w:val="false"/>
                <w:bCs w:val="false"/>
                <w:sz w:val="16"/>
                <w:szCs w:val="16"/>
              </w:rPr>
              <w:t xml:space="preserve">0.4</w:t>
            </w:r>
          </w:p>
        </w:tc>
        <w:tc>
          <w:tcPr>
            <w:tcW w:type="pct" w:w="15%"/>
            <w:shd w:fill="E2EFDA" w:color="E2EFDA" w:val="solid"/>
            <w:vAlign w:val="center"/>
          </w:tcPr>
          <w:p>
            <w:pPr>
              <w:jc w:val="center"/>
            </w:pPr>
            <w:r>
              <w:rPr>
                <w:b w:val="false"/>
                <w:bCs w:val="false"/>
                <w:sz w:val="16"/>
                <w:szCs w:val="16"/>
              </w:rPr>
              <w:t xml:space="preserve">0.7</w:t>
            </w:r>
          </w:p>
        </w:tc>
        <w:tc>
          <w:tcPr>
            <w:tcW w:type="pct" w:w="15%"/>
            <w:shd w:fill="E2EFDA" w:color="E2EFDA" w:val="solid"/>
            <w:vAlign w:val="center"/>
          </w:tcPr>
          <w:p>
            <w:pPr>
              <w:jc w:val="center"/>
            </w:pPr>
            <w:r>
              <w:rPr>
                <w:b w:val="false"/>
                <w:bCs w:val="false"/>
                <w:sz w:val="16"/>
                <w:szCs w:val="16"/>
              </w:rPr>
              <w:t xml:space="preserve">0.8</w:t>
            </w:r>
          </w:p>
        </w:tc>
        <w:tc>
          <w:tcPr>
            <w:tcW w:type="pct" w:w="29%"/>
            <w:shd w:fill="E2EFDA" w:color="E2EFDA" w:val="solid"/>
            <w:vAlign w:val="center"/>
          </w:tcPr>
          <w:p>
            <w:pPr>
              <w:jc w:val="center"/>
            </w:pPr>
            <w:r>
              <w:rPr>
                <w:b/>
                <w:bCs/>
                <w:sz w:val="16"/>
                <w:szCs w:val="16"/>
              </w:rPr>
              <w:t xml:space="preserve">1.9</w:t>
            </w:r>
          </w:p>
        </w:tc>
      </w:tr>
    </w:tbl>
    <w:p>
      <w:pPr>
        <w:spacing w:after="80" w:before="240"/>
      </w:pPr>
      <w:r>
        <w:rPr>
          <w:b/>
          <w:bCs/>
          <w:color w:val="2E5395"/>
          <w:sz w:val="23"/>
          <w:szCs w:val="23"/>
        </w:rPr>
        <w:t xml:space="preserve">S2.2  New assumption: Supplier Inventory &amp; Feedstock</w:t>
      </w:r>
    </w:p>
    <w:p>
      <w:pPr>
        <w:spacing w:after="60"/>
      </w:pPr>
      <w:r>
        <w:rPr>
          <w:b/>
          <w:bCs/>
          <w:sz w:val="19"/>
          <w:szCs w:val="19"/>
        </w:rPr>
        <w:t xml:space="preserve">Current prototype state: </w:t>
      </w:r>
      <w:r>
        <w:rPr>
          <w:sz w:val="19"/>
          <w:szCs w:val="19"/>
        </w:rPr>
        <w:t xml:space="preserve">Does not exist as a standalone assumption today.</w:t>
      </w:r>
    </w:p>
    <w:p>
      <w:pPr>
        <w:spacing w:after="60"/>
      </w:pPr>
      <w:r>
        <w:rPr>
          <w:b/>
          <w:bCs/>
          <w:sz w:val="19"/>
          <w:szCs w:val="19"/>
        </w:rPr>
        <w:t xml:space="preserve">Requested change: </w:t>
      </w:r>
      <w:r>
        <w:rPr>
          <w:sz w:val="19"/>
          <w:szCs w:val="19"/>
        </w:rPr>
        <w:t xml:space="preserve">New tile, placed last in the Step 2 grid. Columns: Material type code &amp; description, Base UOM, Supplier code &amp; name, Supplier inventory (input), Feedstock (input). Auto-populate from the ready endpoint when data is available.</w:t>
      </w:r>
    </w:p>
    <w:p>
      <w:pPr>
        <w:spacing w:after="100"/>
      </w:pPr>
      <w:r>
        <w:rPr>
          <w:b/>
          <w:bCs/>
          <w:color w:val="2E7D32"/>
          <w:sz w:val="19"/>
          <w:szCs w:val="19"/>
        </w:rPr>
        <w:t xml:space="preserve">Prototype UI reused: 25% — </w:t>
      </w:r>
      <w:r>
        <w:rPr>
          <w:i/>
          <w:iCs/>
          <w:color w:val="2E7D32"/>
          <w:sz w:val="19"/>
          <w:szCs w:val="19"/>
        </w:rPr>
        <w:t xml:space="preserve">Net-new tile — only AssumptionTile/table primitives and the modal shell carry over.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6%"/>
            <w:shd w:fill="1F3864" w:color="1F3864" w:val="solid"/>
            <w:vAlign w:val="center"/>
          </w:tcPr>
          <w:p>
            <w:pPr>
              <w:jc w:val="center"/>
            </w:pPr>
            <w:r>
              <w:rPr>
                <w:b/>
                <w:bCs/>
                <w:color w:val="FFFFFF"/>
                <w:sz w:val="16"/>
                <w:szCs w:val="16"/>
              </w:rPr>
              <w:t xml:space="preserve"/>
            </w:r>
          </w:p>
        </w:tc>
        <w:tc>
          <w:tcPr>
            <w:tcW w:type="pct" w:w="15%"/>
            <w:shd w:fill="1F3864" w:color="1F3864" w:val="solid"/>
            <w:vAlign w:val="center"/>
          </w:tcPr>
          <w:p>
            <w:pPr>
              <w:jc w:val="center"/>
            </w:pPr>
            <w:r>
              <w:rPr>
                <w:b/>
                <w:bCs/>
                <w:color w:val="FFFFFF"/>
                <w:sz w:val="16"/>
                <w:szCs w:val="16"/>
              </w:rPr>
              <w:t xml:space="preserve">UI</w:t>
            </w:r>
          </w:p>
        </w:tc>
        <w:tc>
          <w:tcPr>
            <w:tcW w:type="pct" w:w="15%"/>
            <w:shd w:fill="1F3864" w:color="1F3864" w:val="solid"/>
            <w:vAlign w:val="center"/>
          </w:tcPr>
          <w:p>
            <w:pPr>
              <w:jc w:val="center"/>
            </w:pPr>
            <w:r>
              <w:rPr>
                <w:b/>
                <w:bCs/>
                <w:color w:val="FFFFFF"/>
                <w:sz w:val="16"/>
                <w:szCs w:val="16"/>
              </w:rPr>
              <w:t xml:space="preserve">Logic</w:t>
            </w:r>
          </w:p>
        </w:tc>
        <w:tc>
          <w:tcPr>
            <w:tcW w:type="pct" w:w="15%"/>
            <w:shd w:fill="1F3864" w:color="1F3864" w:val="solid"/>
            <w:vAlign w:val="center"/>
          </w:tcPr>
          <w:p>
            <w:pPr>
              <w:jc w:val="center"/>
            </w:pPr>
            <w:r>
              <w:rPr>
                <w:b/>
                <w:bCs/>
                <w:color w:val="FFFFFF"/>
                <w:sz w:val="16"/>
                <w:szCs w:val="16"/>
              </w:rPr>
              <w:t xml:space="preserve">FE Integration</w:t>
            </w:r>
          </w:p>
        </w:tc>
        <w:tc>
          <w:tcPr>
            <w:tcW w:type="pct" w:w="29%"/>
            <w:shd w:fill="1F3864" w:color="1F3864" w:val="solid"/>
            <w:vAlign w:val="center"/>
          </w:tcPr>
          <w:p>
            <w:pPr>
              <w:jc w:val="center"/>
            </w:pPr>
            <w:r>
              <w:rPr>
                <w:b/>
                <w:bCs/>
                <w:color w:val="FFFFFF"/>
                <w:sz w:val="16"/>
                <w:szCs w:val="16"/>
              </w:rPr>
              <w:t xml:space="preserve">Total (person-days)</w:t>
            </w:r>
          </w:p>
        </w:tc>
      </w:tr>
      <w:tr>
        <w:tc>
          <w:tcPr>
            <w:tcW w:type="pct" w:w="26%"/>
            <w:shd w:fill="F2F2F2" w:color="F2F2F2" w:val="solid"/>
            <w:vAlign w:val="center"/>
          </w:tcPr>
          <w:p>
            <w:pPr>
              <w:jc w:val="left"/>
            </w:pPr>
            <w:r>
              <w:rPr>
                <w:b/>
                <w:bCs/>
                <w:sz w:val="16"/>
                <w:szCs w:val="16"/>
              </w:rPr>
              <w:t xml:space="preserve">No GenAI</w:t>
            </w:r>
          </w:p>
        </w:tc>
        <w:tc>
          <w:tcPr>
            <w:tcW w:type="pct" w:w="15%"/>
            <w:shd w:fill="F2F2F2" w:color="F2F2F2" w:val="solid"/>
            <w:vAlign w:val="center"/>
          </w:tcPr>
          <w:p>
            <w:pPr>
              <w:jc w:val="center"/>
            </w:pPr>
            <w:r>
              <w:rPr>
                <w:b w:val="false"/>
                <w:bCs w:val="false"/>
                <w:sz w:val="16"/>
                <w:szCs w:val="16"/>
              </w:rPr>
              <w:t xml:space="preserve">2.3</w:t>
            </w:r>
          </w:p>
        </w:tc>
        <w:tc>
          <w:tcPr>
            <w:tcW w:type="pct" w:w="15%"/>
            <w:shd w:fill="F2F2F2" w:color="F2F2F2" w:val="solid"/>
            <w:vAlign w:val="center"/>
          </w:tcPr>
          <w:p>
            <w:pPr>
              <w:jc w:val="center"/>
            </w:pPr>
            <w:r>
              <w:rPr>
                <w:b w:val="false"/>
                <w:bCs w:val="false"/>
                <w:sz w:val="16"/>
                <w:szCs w:val="16"/>
              </w:rPr>
              <w:t xml:space="preserve">1.5</w:t>
            </w:r>
          </w:p>
        </w:tc>
        <w:tc>
          <w:tcPr>
            <w:tcW w:type="pct" w:w="15%"/>
            <w:shd w:fill="F2F2F2" w:color="F2F2F2" w:val="solid"/>
            <w:vAlign w:val="center"/>
          </w:tcPr>
          <w:p>
            <w:pPr>
              <w:jc w:val="center"/>
            </w:pPr>
            <w:r>
              <w:rPr>
                <w:b w:val="false"/>
                <w:bCs w:val="false"/>
                <w:sz w:val="16"/>
                <w:szCs w:val="16"/>
              </w:rPr>
              <w:t xml:space="preserve">1.5</w:t>
            </w:r>
          </w:p>
        </w:tc>
        <w:tc>
          <w:tcPr>
            <w:tcW w:type="pct" w:w="29%"/>
            <w:shd w:fill="F2F2F2" w:color="F2F2F2" w:val="solid"/>
            <w:vAlign w:val="center"/>
          </w:tcPr>
          <w:p>
            <w:pPr>
              <w:jc w:val="center"/>
            </w:pPr>
            <w:r>
              <w:rPr>
                <w:b/>
                <w:bCs/>
                <w:sz w:val="16"/>
                <w:szCs w:val="16"/>
              </w:rPr>
              <w:t xml:space="preserve">5.3</w:t>
            </w:r>
          </w:p>
        </w:tc>
      </w:tr>
      <w:tr>
        <w:tc>
          <w:tcPr>
            <w:tcW w:type="pct" w:w="26%"/>
            <w:shd w:fill="E2EFDA" w:color="E2EFDA" w:val="solid"/>
            <w:vAlign w:val="center"/>
          </w:tcPr>
          <w:p>
            <w:pPr>
              <w:jc w:val="left"/>
            </w:pPr>
            <w:r>
              <w:rPr>
                <w:b/>
                <w:bCs/>
                <w:sz w:val="16"/>
                <w:szCs w:val="16"/>
              </w:rPr>
              <w:t xml:space="preserve">With GenAI</w:t>
            </w:r>
          </w:p>
        </w:tc>
        <w:tc>
          <w:tcPr>
            <w:tcW w:type="pct" w:w="15%"/>
            <w:shd w:fill="E2EFDA" w:color="E2EFDA" w:val="solid"/>
            <w:vAlign w:val="center"/>
          </w:tcPr>
          <w:p>
            <w:pPr>
              <w:jc w:val="center"/>
            </w:pPr>
            <w:r>
              <w:rPr>
                <w:b w:val="false"/>
                <w:bCs w:val="false"/>
                <w:sz w:val="16"/>
                <w:szCs w:val="16"/>
              </w:rPr>
              <w:t xml:space="preserve">1.2</w:t>
            </w:r>
          </w:p>
        </w:tc>
        <w:tc>
          <w:tcPr>
            <w:tcW w:type="pct" w:w="15%"/>
            <w:shd w:fill="E2EFDA" w:color="E2EFDA" w:val="solid"/>
            <w:vAlign w:val="center"/>
          </w:tcPr>
          <w:p>
            <w:pPr>
              <w:jc w:val="center"/>
            </w:pPr>
            <w:r>
              <w:rPr>
                <w:b w:val="false"/>
                <w:bCs w:val="false"/>
                <w:sz w:val="16"/>
                <w:szCs w:val="16"/>
              </w:rPr>
              <w:t xml:space="preserve">1</w:t>
            </w:r>
          </w:p>
        </w:tc>
        <w:tc>
          <w:tcPr>
            <w:tcW w:type="pct" w:w="15%"/>
            <w:shd w:fill="E2EFDA" w:color="E2EFDA" w:val="solid"/>
            <w:vAlign w:val="center"/>
          </w:tcPr>
          <w:p>
            <w:pPr>
              <w:jc w:val="center"/>
            </w:pPr>
            <w:r>
              <w:rPr>
                <w:b w:val="false"/>
                <w:bCs w:val="false"/>
                <w:sz w:val="16"/>
                <w:szCs w:val="16"/>
              </w:rPr>
              <w:t xml:space="preserve">1.2</w:t>
            </w:r>
          </w:p>
        </w:tc>
        <w:tc>
          <w:tcPr>
            <w:tcW w:type="pct" w:w="29%"/>
            <w:shd w:fill="E2EFDA" w:color="E2EFDA" w:val="solid"/>
            <w:vAlign w:val="center"/>
          </w:tcPr>
          <w:p>
            <w:pPr>
              <w:jc w:val="center"/>
            </w:pPr>
            <w:r>
              <w:rPr>
                <w:b/>
                <w:bCs/>
                <w:sz w:val="16"/>
                <w:szCs w:val="16"/>
              </w:rPr>
              <w:t xml:space="preserve">3.4</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Need the ready API's exact response shape for supplier inventory / feedstock (per-material fields, null-when-unavailable convention) to build the auto-populate logic correctly.</w:t>
      </w:r>
    </w:p>
    <w:p>
      <w:pPr>
        <w:spacing w:after="80" w:before="240"/>
      </w:pPr>
      <w:r>
        <w:rPr>
          <w:b/>
          <w:bCs/>
          <w:color w:val="2E5395"/>
          <w:sz w:val="23"/>
          <w:szCs w:val="23"/>
        </w:rPr>
        <w:t xml:space="preserve">S2.3  RMPM Connectivity — status display logic &amp; BOM table rework</w:t>
      </w:r>
    </w:p>
    <w:p>
      <w:pPr>
        <w:spacing w:after="60"/>
      </w:pPr>
      <w:r>
        <w:rPr>
          <w:b/>
          <w:bCs/>
          <w:sz w:val="19"/>
          <w:szCs w:val="19"/>
        </w:rPr>
        <w:t xml:space="preserve">Current prototype state: </w:t>
      </w:r>
      <w:r>
        <w:rPr>
          <w:sz w:val="19"/>
          <w:szCs w:val="19"/>
        </w:rPr>
        <w:t xml:space="preserve">RmpmConnectivityContent.tsx has a PO-line table with editable delivery date, but per-line status is only a synthetic cycle today, not real. RmpmBomPendingContent.tsx is the separate BOM-pending popup.</w:t>
      </w:r>
    </w:p>
    <w:p>
      <w:pPr>
        <w:spacing w:after="60"/>
      </w:pPr>
      <w:r>
        <w:rPr>
          <w:b/>
          <w:bCs/>
          <w:sz w:val="19"/>
          <w:szCs w:val="19"/>
        </w:rPr>
        <w:t xml:space="preserve">Requested change: </w:t>
      </w:r>
      <w:r>
        <w:rPr>
          <w:sz w:val="19"/>
          <w:szCs w:val="19"/>
        </w:rPr>
        <w:t xml:space="preserve">Interpret the ready BOM/PO/contract status field(s) into the requested labels: 'Contract issues' (replacing 'Lies with Procurement'), 'Contract not available', 'Contract available, with issue'. Rebuild BOM table columns: CBU, Plant, BOM PV, Material type code &amp; description, Supplier code &amp; name, Contract availability (clubbed across plants/CBUs for multi-RMPM), Connectivity date. Subtitle reflects the count of new CBUs.</w:t>
      </w:r>
    </w:p>
    <w:p>
      <w:pPr>
        <w:spacing w:after="100"/>
      </w:pPr>
      <w:r>
        <w:rPr>
          <w:b/>
          <w:bCs/>
          <w:color w:val="2E7D32"/>
          <w:sz w:val="19"/>
          <w:szCs w:val="19"/>
        </w:rPr>
        <w:t xml:space="preserve">Prototype UI reused: 40% — </w:t>
      </w:r>
      <w:r>
        <w:rPr>
          <w:i/>
          <w:iCs/>
          <w:color w:val="2E7D32"/>
          <w:sz w:val="19"/>
          <w:szCs w:val="19"/>
        </w:rPr>
        <w:t xml:space="preserve">Table shell reuses; the status logic and column set are substantially rebuilt, so reuse is below-average 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6%"/>
            <w:shd w:fill="1F3864" w:color="1F3864" w:val="solid"/>
            <w:vAlign w:val="center"/>
          </w:tcPr>
          <w:p>
            <w:pPr>
              <w:jc w:val="center"/>
            </w:pPr>
            <w:r>
              <w:rPr>
                <w:b/>
                <w:bCs/>
                <w:color w:val="FFFFFF"/>
                <w:sz w:val="16"/>
                <w:szCs w:val="16"/>
              </w:rPr>
              <w:t xml:space="preserve"/>
            </w:r>
          </w:p>
        </w:tc>
        <w:tc>
          <w:tcPr>
            <w:tcW w:type="pct" w:w="15%"/>
            <w:shd w:fill="1F3864" w:color="1F3864" w:val="solid"/>
            <w:vAlign w:val="center"/>
          </w:tcPr>
          <w:p>
            <w:pPr>
              <w:jc w:val="center"/>
            </w:pPr>
            <w:r>
              <w:rPr>
                <w:b/>
                <w:bCs/>
                <w:color w:val="FFFFFF"/>
                <w:sz w:val="16"/>
                <w:szCs w:val="16"/>
              </w:rPr>
              <w:t xml:space="preserve">UI</w:t>
            </w:r>
          </w:p>
        </w:tc>
        <w:tc>
          <w:tcPr>
            <w:tcW w:type="pct" w:w="15%"/>
            <w:shd w:fill="1F3864" w:color="1F3864" w:val="solid"/>
            <w:vAlign w:val="center"/>
          </w:tcPr>
          <w:p>
            <w:pPr>
              <w:jc w:val="center"/>
            </w:pPr>
            <w:r>
              <w:rPr>
                <w:b/>
                <w:bCs/>
                <w:color w:val="FFFFFF"/>
                <w:sz w:val="16"/>
                <w:szCs w:val="16"/>
              </w:rPr>
              <w:t xml:space="preserve">Logic</w:t>
            </w:r>
          </w:p>
        </w:tc>
        <w:tc>
          <w:tcPr>
            <w:tcW w:type="pct" w:w="15%"/>
            <w:shd w:fill="1F3864" w:color="1F3864" w:val="solid"/>
            <w:vAlign w:val="center"/>
          </w:tcPr>
          <w:p>
            <w:pPr>
              <w:jc w:val="center"/>
            </w:pPr>
            <w:r>
              <w:rPr>
                <w:b/>
                <w:bCs/>
                <w:color w:val="FFFFFF"/>
                <w:sz w:val="16"/>
                <w:szCs w:val="16"/>
              </w:rPr>
              <w:t xml:space="preserve">FE Integration</w:t>
            </w:r>
          </w:p>
        </w:tc>
        <w:tc>
          <w:tcPr>
            <w:tcW w:type="pct" w:w="29%"/>
            <w:shd w:fill="1F3864" w:color="1F3864" w:val="solid"/>
            <w:vAlign w:val="center"/>
          </w:tcPr>
          <w:p>
            <w:pPr>
              <w:jc w:val="center"/>
            </w:pPr>
            <w:r>
              <w:rPr>
                <w:b/>
                <w:bCs/>
                <w:color w:val="FFFFFF"/>
                <w:sz w:val="16"/>
                <w:szCs w:val="16"/>
              </w:rPr>
              <w:t xml:space="preserve">Total (person-days)</w:t>
            </w:r>
          </w:p>
        </w:tc>
      </w:tr>
      <w:tr>
        <w:tc>
          <w:tcPr>
            <w:tcW w:type="pct" w:w="26%"/>
            <w:shd w:fill="F2F2F2" w:color="F2F2F2" w:val="solid"/>
            <w:vAlign w:val="center"/>
          </w:tcPr>
          <w:p>
            <w:pPr>
              <w:jc w:val="left"/>
            </w:pPr>
            <w:r>
              <w:rPr>
                <w:b/>
                <w:bCs/>
                <w:sz w:val="16"/>
                <w:szCs w:val="16"/>
              </w:rPr>
              <w:t xml:space="preserve">No GenAI</w:t>
            </w:r>
          </w:p>
        </w:tc>
        <w:tc>
          <w:tcPr>
            <w:tcW w:type="pct" w:w="15%"/>
            <w:shd w:fill="F2F2F2" w:color="F2F2F2" w:val="solid"/>
            <w:vAlign w:val="center"/>
          </w:tcPr>
          <w:p>
            <w:pPr>
              <w:jc w:val="center"/>
            </w:pPr>
            <w:r>
              <w:rPr>
                <w:b w:val="false"/>
                <w:bCs w:val="false"/>
                <w:sz w:val="16"/>
                <w:szCs w:val="16"/>
              </w:rPr>
              <w:t xml:space="preserve">1.8</w:t>
            </w:r>
          </w:p>
        </w:tc>
        <w:tc>
          <w:tcPr>
            <w:tcW w:type="pct" w:w="15%"/>
            <w:shd w:fill="F2F2F2" w:color="F2F2F2" w:val="solid"/>
            <w:vAlign w:val="center"/>
          </w:tcPr>
          <w:p>
            <w:pPr>
              <w:jc w:val="center"/>
            </w:pPr>
            <w:r>
              <w:rPr>
                <w:b w:val="false"/>
                <w:bCs w:val="false"/>
                <w:sz w:val="16"/>
                <w:szCs w:val="16"/>
              </w:rPr>
              <w:t xml:space="preserve">2.5</w:t>
            </w:r>
          </w:p>
        </w:tc>
        <w:tc>
          <w:tcPr>
            <w:tcW w:type="pct" w:w="15%"/>
            <w:shd w:fill="F2F2F2" w:color="F2F2F2" w:val="solid"/>
            <w:vAlign w:val="center"/>
          </w:tcPr>
          <w:p>
            <w:pPr>
              <w:jc w:val="center"/>
            </w:pPr>
            <w:r>
              <w:rPr>
                <w:b w:val="false"/>
                <w:bCs w:val="false"/>
                <w:sz w:val="16"/>
                <w:szCs w:val="16"/>
              </w:rPr>
              <w:t xml:space="preserve">1</w:t>
            </w:r>
          </w:p>
        </w:tc>
        <w:tc>
          <w:tcPr>
            <w:tcW w:type="pct" w:w="29%"/>
            <w:shd w:fill="F2F2F2" w:color="F2F2F2" w:val="solid"/>
            <w:vAlign w:val="center"/>
          </w:tcPr>
          <w:p>
            <w:pPr>
              <w:jc w:val="center"/>
            </w:pPr>
            <w:r>
              <w:rPr>
                <w:b/>
                <w:bCs/>
                <w:sz w:val="16"/>
                <w:szCs w:val="16"/>
              </w:rPr>
              <w:t xml:space="preserve">5.3</w:t>
            </w:r>
          </w:p>
        </w:tc>
      </w:tr>
      <w:tr>
        <w:tc>
          <w:tcPr>
            <w:tcW w:type="pct" w:w="26%"/>
            <w:shd w:fill="E2EFDA" w:color="E2EFDA" w:val="solid"/>
            <w:vAlign w:val="center"/>
          </w:tcPr>
          <w:p>
            <w:pPr>
              <w:jc w:val="left"/>
            </w:pPr>
            <w:r>
              <w:rPr>
                <w:b/>
                <w:bCs/>
                <w:sz w:val="16"/>
                <w:szCs w:val="16"/>
              </w:rPr>
              <w:t xml:space="preserve">With GenAI</w:t>
            </w:r>
          </w:p>
        </w:tc>
        <w:tc>
          <w:tcPr>
            <w:tcW w:type="pct" w:w="15%"/>
            <w:shd w:fill="E2EFDA" w:color="E2EFDA" w:val="solid"/>
            <w:vAlign w:val="center"/>
          </w:tcPr>
          <w:p>
            <w:pPr>
              <w:jc w:val="center"/>
            </w:pPr>
            <w:r>
              <w:rPr>
                <w:b w:val="false"/>
                <w:bCs w:val="false"/>
                <w:sz w:val="16"/>
                <w:szCs w:val="16"/>
              </w:rPr>
              <w:t xml:space="preserve">0.9</w:t>
            </w:r>
          </w:p>
        </w:tc>
        <w:tc>
          <w:tcPr>
            <w:tcW w:type="pct" w:w="15%"/>
            <w:shd w:fill="E2EFDA" w:color="E2EFDA" w:val="solid"/>
            <w:vAlign w:val="center"/>
          </w:tcPr>
          <w:p>
            <w:pPr>
              <w:jc w:val="center"/>
            </w:pPr>
            <w:r>
              <w:rPr>
                <w:b w:val="false"/>
                <w:bCs w:val="false"/>
                <w:sz w:val="16"/>
                <w:szCs w:val="16"/>
              </w:rPr>
              <w:t xml:space="preserve">1.6</w:t>
            </w:r>
          </w:p>
        </w:tc>
        <w:tc>
          <w:tcPr>
            <w:tcW w:type="pct" w:w="15%"/>
            <w:shd w:fill="E2EFDA" w:color="E2EFDA" w:val="solid"/>
            <w:vAlign w:val="center"/>
          </w:tcPr>
          <w:p>
            <w:pPr>
              <w:jc w:val="center"/>
            </w:pPr>
            <w:r>
              <w:rPr>
                <w:b w:val="false"/>
                <w:bCs w:val="false"/>
                <w:sz w:val="16"/>
                <w:szCs w:val="16"/>
              </w:rPr>
              <w:t xml:space="preserve">0.8</w:t>
            </w:r>
          </w:p>
        </w:tc>
        <w:tc>
          <w:tcPr>
            <w:tcW w:type="pct" w:w="29%"/>
            <w:shd w:fill="E2EFDA" w:color="E2EFDA" w:val="solid"/>
            <w:vAlign w:val="center"/>
          </w:tcPr>
          <w:p>
            <w:pPr>
              <w:jc w:val="center"/>
            </w:pPr>
            <w:r>
              <w:rPr>
                <w:b/>
                <w:bCs/>
                <w:sz w:val="16"/>
                <w:szCs w:val="16"/>
              </w:rPr>
              <w:t xml:space="preserve">3.3</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This assumes the ready API already returns a structured status (e.g. an enum) the FE can map to a label. If it instead returns raw BOM/PO/contract flags the FE must combine into that 5-state matrix itself, logic effort here is materially higher.</w:t>
      </w:r>
    </w:p>
    <w:p>
      <w:pPr>
        <w:pStyle w:val="ListParagraph"/>
        <w:numPr>
          <w:ilvl w:val="0"/>
          <w:numId w:val="1"/>
        </w:numPr>
        <w:spacing w:after="40"/>
      </w:pPr>
      <w:r>
        <w:rPr>
          <w:i/>
          <w:iCs/>
          <w:color w:val="664D00"/>
          <w:sz w:val="18"/>
          <w:szCs w:val="18"/>
        </w:rPr>
        <w:t xml:space="preserve">'Contract coverage page covers the issues' — confirm whether that page already exists elsewhere in the app (a link target) or is new FE scope.</w:t>
      </w:r>
    </w:p>
    <w:p>
      <w:pPr>
        <w:spacing w:after="80" w:before="240"/>
      </w:pPr>
      <w:r>
        <w:rPr>
          <w:b/>
          <w:bCs/>
          <w:color w:val="2E5395"/>
          <w:sz w:val="23"/>
          <w:szCs w:val="23"/>
        </w:rPr>
        <w:t xml:space="preserve">S2.4  RMPM Connectivity — date-entry modal rework</w:t>
      </w:r>
    </w:p>
    <w:p>
      <w:pPr>
        <w:spacing w:after="60"/>
      </w:pPr>
      <w:r>
        <w:rPr>
          <w:b/>
          <w:bCs/>
          <w:sz w:val="19"/>
          <w:szCs w:val="19"/>
        </w:rPr>
        <w:t xml:space="preserve">Current prototype state: </w:t>
      </w:r>
      <w:r>
        <w:rPr>
          <w:sz w:val="19"/>
          <w:szCs w:val="19"/>
        </w:rPr>
        <w:t xml:space="preserve">RmpmBomPendingContent.tsx shows a BOM table plus a single manual date input.</w:t>
      </w:r>
    </w:p>
    <w:p>
      <w:pPr>
        <w:spacing w:after="60"/>
      </w:pPr>
      <w:r>
        <w:rPr>
          <w:b/>
          <w:bCs/>
          <w:sz w:val="19"/>
          <w:szCs w:val="19"/>
        </w:rPr>
        <w:t xml:space="preserve">Requested change: </w:t>
      </w:r>
      <w:r>
        <w:rPr>
          <w:sz w:val="19"/>
          <w:szCs w:val="19"/>
        </w:rPr>
        <w:t xml:space="preserve">Add 'Copy for all' / 'Copy for same plant &amp; CBU' bulk-fill actions. Remove the BOM-of-material table/subtitle from the popup, leaving a single date input. Relabel 'Lies with Procurement' to 'Contract issues'. For the contract-available path: rename 'Lies with factory' to 'PO pending with factory', update the subtitle, remove the BOM-materials block and the single date input.</w:t>
      </w:r>
    </w:p>
    <w:p>
      <w:pPr>
        <w:spacing w:after="100"/>
      </w:pPr>
      <w:r>
        <w:rPr>
          <w:b/>
          <w:bCs/>
          <w:color w:val="2E7D32"/>
          <w:sz w:val="19"/>
          <w:szCs w:val="19"/>
        </w:rPr>
        <w:t xml:space="preserve">Prototype UI reused: 55% — </w:t>
      </w:r>
      <w:r>
        <w:rPr>
          <w:i/>
          <w:iCs/>
          <w:color w:val="2E7D32"/>
          <w:sz w:val="19"/>
          <w:szCs w:val="19"/>
        </w:rPr>
        <w:t xml:space="preserve">Popup shell and date input reuse; the copy-actions and section removal are new interaction.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6%"/>
            <w:shd w:fill="1F3864" w:color="1F3864" w:val="solid"/>
            <w:vAlign w:val="center"/>
          </w:tcPr>
          <w:p>
            <w:pPr>
              <w:jc w:val="center"/>
            </w:pPr>
            <w:r>
              <w:rPr>
                <w:b/>
                <w:bCs/>
                <w:color w:val="FFFFFF"/>
                <w:sz w:val="16"/>
                <w:szCs w:val="16"/>
              </w:rPr>
              <w:t xml:space="preserve"/>
            </w:r>
          </w:p>
        </w:tc>
        <w:tc>
          <w:tcPr>
            <w:tcW w:type="pct" w:w="15%"/>
            <w:shd w:fill="1F3864" w:color="1F3864" w:val="solid"/>
            <w:vAlign w:val="center"/>
          </w:tcPr>
          <w:p>
            <w:pPr>
              <w:jc w:val="center"/>
            </w:pPr>
            <w:r>
              <w:rPr>
                <w:b/>
                <w:bCs/>
                <w:color w:val="FFFFFF"/>
                <w:sz w:val="16"/>
                <w:szCs w:val="16"/>
              </w:rPr>
              <w:t xml:space="preserve">UI</w:t>
            </w:r>
          </w:p>
        </w:tc>
        <w:tc>
          <w:tcPr>
            <w:tcW w:type="pct" w:w="15%"/>
            <w:shd w:fill="1F3864" w:color="1F3864" w:val="solid"/>
            <w:vAlign w:val="center"/>
          </w:tcPr>
          <w:p>
            <w:pPr>
              <w:jc w:val="center"/>
            </w:pPr>
            <w:r>
              <w:rPr>
                <w:b/>
                <w:bCs/>
                <w:color w:val="FFFFFF"/>
                <w:sz w:val="16"/>
                <w:szCs w:val="16"/>
              </w:rPr>
              <w:t xml:space="preserve">Logic</w:t>
            </w:r>
          </w:p>
        </w:tc>
        <w:tc>
          <w:tcPr>
            <w:tcW w:type="pct" w:w="15%"/>
            <w:shd w:fill="1F3864" w:color="1F3864" w:val="solid"/>
            <w:vAlign w:val="center"/>
          </w:tcPr>
          <w:p>
            <w:pPr>
              <w:jc w:val="center"/>
            </w:pPr>
            <w:r>
              <w:rPr>
                <w:b/>
                <w:bCs/>
                <w:color w:val="FFFFFF"/>
                <w:sz w:val="16"/>
                <w:szCs w:val="16"/>
              </w:rPr>
              <w:t xml:space="preserve">FE Integration</w:t>
            </w:r>
          </w:p>
        </w:tc>
        <w:tc>
          <w:tcPr>
            <w:tcW w:type="pct" w:w="29%"/>
            <w:shd w:fill="1F3864" w:color="1F3864" w:val="solid"/>
            <w:vAlign w:val="center"/>
          </w:tcPr>
          <w:p>
            <w:pPr>
              <w:jc w:val="center"/>
            </w:pPr>
            <w:r>
              <w:rPr>
                <w:b/>
                <w:bCs/>
                <w:color w:val="FFFFFF"/>
                <w:sz w:val="16"/>
                <w:szCs w:val="16"/>
              </w:rPr>
              <w:t xml:space="preserve">Total (person-days)</w:t>
            </w:r>
          </w:p>
        </w:tc>
      </w:tr>
      <w:tr>
        <w:tc>
          <w:tcPr>
            <w:tcW w:type="pct" w:w="26%"/>
            <w:shd w:fill="F2F2F2" w:color="F2F2F2" w:val="solid"/>
            <w:vAlign w:val="center"/>
          </w:tcPr>
          <w:p>
            <w:pPr>
              <w:jc w:val="left"/>
            </w:pPr>
            <w:r>
              <w:rPr>
                <w:b/>
                <w:bCs/>
                <w:sz w:val="16"/>
                <w:szCs w:val="16"/>
              </w:rPr>
              <w:t xml:space="preserve">No GenAI</w:t>
            </w:r>
          </w:p>
        </w:tc>
        <w:tc>
          <w:tcPr>
            <w:tcW w:type="pct" w:w="15%"/>
            <w:shd w:fill="F2F2F2" w:color="F2F2F2" w:val="solid"/>
            <w:vAlign w:val="center"/>
          </w:tcPr>
          <w:p>
            <w:pPr>
              <w:jc w:val="center"/>
            </w:pPr>
            <w:r>
              <w:rPr>
                <w:b w:val="false"/>
                <w:bCs w:val="false"/>
                <w:sz w:val="16"/>
                <w:szCs w:val="16"/>
              </w:rPr>
              <w:t xml:space="preserve">1.1</w:t>
            </w:r>
          </w:p>
        </w:tc>
        <w:tc>
          <w:tcPr>
            <w:tcW w:type="pct" w:w="15%"/>
            <w:shd w:fill="F2F2F2" w:color="F2F2F2" w:val="solid"/>
            <w:vAlign w:val="center"/>
          </w:tcPr>
          <w:p>
            <w:pPr>
              <w:jc w:val="center"/>
            </w:pPr>
            <w:r>
              <w:rPr>
                <w:b w:val="false"/>
                <w:bCs w:val="false"/>
                <w:sz w:val="16"/>
                <w:szCs w:val="16"/>
              </w:rPr>
              <w:t xml:space="preserve">1.5</w:t>
            </w:r>
          </w:p>
        </w:tc>
        <w:tc>
          <w:tcPr>
            <w:tcW w:type="pct" w:w="15%"/>
            <w:shd w:fill="F2F2F2" w:color="F2F2F2" w:val="solid"/>
            <w:vAlign w:val="center"/>
          </w:tcPr>
          <w:p>
            <w:pPr>
              <w:jc w:val="center"/>
            </w:pPr>
            <w:r>
              <w:rPr>
                <w:b w:val="false"/>
                <w:bCs w:val="false"/>
                <w:sz w:val="16"/>
                <w:szCs w:val="16"/>
              </w:rPr>
              <w:t xml:space="preserve">0.5</w:t>
            </w:r>
          </w:p>
        </w:tc>
        <w:tc>
          <w:tcPr>
            <w:tcW w:type="pct" w:w="29%"/>
            <w:shd w:fill="F2F2F2" w:color="F2F2F2" w:val="solid"/>
            <w:vAlign w:val="center"/>
          </w:tcPr>
          <w:p>
            <w:pPr>
              <w:jc w:val="center"/>
            </w:pPr>
            <w:r>
              <w:rPr>
                <w:b/>
                <w:bCs/>
                <w:sz w:val="16"/>
                <w:szCs w:val="16"/>
              </w:rPr>
              <w:t xml:space="preserve">3.1</w:t>
            </w:r>
          </w:p>
        </w:tc>
      </w:tr>
      <w:tr>
        <w:tc>
          <w:tcPr>
            <w:tcW w:type="pct" w:w="26%"/>
            <w:shd w:fill="E2EFDA" w:color="E2EFDA" w:val="solid"/>
            <w:vAlign w:val="center"/>
          </w:tcPr>
          <w:p>
            <w:pPr>
              <w:jc w:val="left"/>
            </w:pPr>
            <w:r>
              <w:rPr>
                <w:b/>
                <w:bCs/>
                <w:sz w:val="16"/>
                <w:szCs w:val="16"/>
              </w:rPr>
              <w:t xml:space="preserve">With GenAI</w:t>
            </w:r>
          </w:p>
        </w:tc>
        <w:tc>
          <w:tcPr>
            <w:tcW w:type="pct" w:w="15%"/>
            <w:shd w:fill="E2EFDA" w:color="E2EFDA" w:val="solid"/>
            <w:vAlign w:val="center"/>
          </w:tcPr>
          <w:p>
            <w:pPr>
              <w:jc w:val="center"/>
            </w:pPr>
            <w:r>
              <w:rPr>
                <w:b w:val="false"/>
                <w:bCs w:val="false"/>
                <w:sz w:val="16"/>
                <w:szCs w:val="16"/>
              </w:rPr>
              <w:t xml:space="preserve">0.6</w:t>
            </w:r>
          </w:p>
        </w:tc>
        <w:tc>
          <w:tcPr>
            <w:tcW w:type="pct" w:w="15%"/>
            <w:shd w:fill="E2EFDA" w:color="E2EFDA" w:val="solid"/>
            <w:vAlign w:val="center"/>
          </w:tcPr>
          <w:p>
            <w:pPr>
              <w:jc w:val="center"/>
            </w:pPr>
            <w:r>
              <w:rPr>
                <w:b w:val="false"/>
                <w:bCs w:val="false"/>
                <w:sz w:val="16"/>
                <w:szCs w:val="16"/>
              </w:rPr>
              <w:t xml:space="preserve">1</w:t>
            </w:r>
          </w:p>
        </w:tc>
        <w:tc>
          <w:tcPr>
            <w:tcW w:type="pct" w:w="15%"/>
            <w:shd w:fill="E2EFDA" w:color="E2EFDA" w:val="solid"/>
            <w:vAlign w:val="center"/>
          </w:tcPr>
          <w:p>
            <w:pPr>
              <w:jc w:val="center"/>
            </w:pPr>
            <w:r>
              <w:rPr>
                <w:b w:val="false"/>
                <w:bCs w:val="false"/>
                <w:sz w:val="16"/>
                <w:szCs w:val="16"/>
              </w:rPr>
              <w:t xml:space="preserve">0.4</w:t>
            </w:r>
          </w:p>
        </w:tc>
        <w:tc>
          <w:tcPr>
            <w:tcW w:type="pct" w:w="29%"/>
            <w:shd w:fill="E2EFDA" w:color="E2EFDA" w:val="solid"/>
            <w:vAlign w:val="center"/>
          </w:tcPr>
          <w:p>
            <w:pPr>
              <w:jc w:val="center"/>
            </w:pPr>
            <w:r>
              <w:rPr>
                <w:b/>
                <w:bCs/>
                <w:sz w:val="16"/>
                <w:szCs w:val="16"/>
              </w:rPr>
              <w:t xml:space="preserve">2</w:t>
            </w:r>
          </w:p>
        </w:tc>
      </w:tr>
    </w:tbl>
    <w:p>
      <w:pPr>
        <w:spacing w:after="80" w:before="240"/>
      </w:pPr>
      <w:r>
        <w:rPr>
          <w:b/>
          <w:bCs/>
          <w:color w:val="2E5395"/>
          <w:sz w:val="23"/>
          <w:szCs w:val="23"/>
        </w:rPr>
        <w:t xml:space="preserve">S2.5  IUT Feasibility — Lead-time regroup &amp; Pre-IUT logic</w:t>
      </w:r>
    </w:p>
    <w:p>
      <w:pPr>
        <w:spacing w:after="60"/>
      </w:pPr>
      <w:r>
        <w:rPr>
          <w:b/>
          <w:bCs/>
          <w:sz w:val="19"/>
          <w:szCs w:val="19"/>
        </w:rPr>
        <w:t xml:space="preserve">Current prototype state: </w:t>
      </w:r>
      <w:r>
        <w:rPr>
          <w:sz w:val="19"/>
          <w:szCs w:val="19"/>
        </w:rPr>
        <w:t xml:space="preserve">IutFeasibilityContent.tsx: 7-column lane table, editable 'Additional lead time' (default 3 days) and shelf-life threshold, expandable batch sub-tables.</w:t>
      </w:r>
    </w:p>
    <w:p>
      <w:pPr>
        <w:spacing w:after="60"/>
      </w:pPr>
      <w:r>
        <w:rPr>
          <w:b/>
          <w:bCs/>
          <w:sz w:val="19"/>
          <w:szCs w:val="19"/>
        </w:rPr>
        <w:t xml:space="preserve">Requested change: </w:t>
      </w:r>
      <w:r>
        <w:rPr>
          <w:sz w:val="19"/>
          <w:szCs w:val="19"/>
        </w:rPr>
        <w:t xml:space="preserve">Rename to 'Pre-IUT lead time'; default 7 days for 2P/3P plants, 4 days for own-to-own (assumes the ready API exposes plant-relationship type). Shelf-life threshold defaults to 7 days. Add 'Total lead time' = Pre-IUT + transit + shelf-life (client-side sum). Reorder/group the three under one 'Lead time' section.</w:t>
      </w:r>
    </w:p>
    <w:p>
      <w:pPr>
        <w:spacing w:after="100"/>
      </w:pPr>
      <w:r>
        <w:rPr>
          <w:b/>
          <w:bCs/>
          <w:color w:val="2E7D32"/>
          <w:sz w:val="19"/>
          <w:szCs w:val="19"/>
        </w:rPr>
        <w:t xml:space="preserve">Prototype UI reused: 65% — </w:t>
      </w:r>
      <w:r>
        <w:rPr>
          <w:i/>
          <w:iCs/>
          <w:color w:val="2E7D32"/>
          <w:sz w:val="19"/>
          <w:szCs w:val="19"/>
        </w:rPr>
        <w:t xml:space="preserve">Lane table and inputs reuse; the regroup/reorder and conditional default are net-new layout logic.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6%"/>
            <w:shd w:fill="1F3864" w:color="1F3864" w:val="solid"/>
            <w:vAlign w:val="center"/>
          </w:tcPr>
          <w:p>
            <w:pPr>
              <w:jc w:val="center"/>
            </w:pPr>
            <w:r>
              <w:rPr>
                <w:b/>
                <w:bCs/>
                <w:color w:val="FFFFFF"/>
                <w:sz w:val="16"/>
                <w:szCs w:val="16"/>
              </w:rPr>
              <w:t xml:space="preserve"/>
            </w:r>
          </w:p>
        </w:tc>
        <w:tc>
          <w:tcPr>
            <w:tcW w:type="pct" w:w="15%"/>
            <w:shd w:fill="1F3864" w:color="1F3864" w:val="solid"/>
            <w:vAlign w:val="center"/>
          </w:tcPr>
          <w:p>
            <w:pPr>
              <w:jc w:val="center"/>
            </w:pPr>
            <w:r>
              <w:rPr>
                <w:b/>
                <w:bCs/>
                <w:color w:val="FFFFFF"/>
                <w:sz w:val="16"/>
                <w:szCs w:val="16"/>
              </w:rPr>
              <w:t xml:space="preserve">UI</w:t>
            </w:r>
          </w:p>
        </w:tc>
        <w:tc>
          <w:tcPr>
            <w:tcW w:type="pct" w:w="15%"/>
            <w:shd w:fill="1F3864" w:color="1F3864" w:val="solid"/>
            <w:vAlign w:val="center"/>
          </w:tcPr>
          <w:p>
            <w:pPr>
              <w:jc w:val="center"/>
            </w:pPr>
            <w:r>
              <w:rPr>
                <w:b/>
                <w:bCs/>
                <w:color w:val="FFFFFF"/>
                <w:sz w:val="16"/>
                <w:szCs w:val="16"/>
              </w:rPr>
              <w:t xml:space="preserve">Logic</w:t>
            </w:r>
          </w:p>
        </w:tc>
        <w:tc>
          <w:tcPr>
            <w:tcW w:type="pct" w:w="15%"/>
            <w:shd w:fill="1F3864" w:color="1F3864" w:val="solid"/>
            <w:vAlign w:val="center"/>
          </w:tcPr>
          <w:p>
            <w:pPr>
              <w:jc w:val="center"/>
            </w:pPr>
            <w:r>
              <w:rPr>
                <w:b/>
                <w:bCs/>
                <w:color w:val="FFFFFF"/>
                <w:sz w:val="16"/>
                <w:szCs w:val="16"/>
              </w:rPr>
              <w:t xml:space="preserve">FE Integration</w:t>
            </w:r>
          </w:p>
        </w:tc>
        <w:tc>
          <w:tcPr>
            <w:tcW w:type="pct" w:w="29%"/>
            <w:shd w:fill="1F3864" w:color="1F3864" w:val="solid"/>
            <w:vAlign w:val="center"/>
          </w:tcPr>
          <w:p>
            <w:pPr>
              <w:jc w:val="center"/>
            </w:pPr>
            <w:r>
              <w:rPr>
                <w:b/>
                <w:bCs/>
                <w:color w:val="FFFFFF"/>
                <w:sz w:val="16"/>
                <w:szCs w:val="16"/>
              </w:rPr>
              <w:t xml:space="preserve">Total (person-days)</w:t>
            </w:r>
          </w:p>
        </w:tc>
      </w:tr>
      <w:tr>
        <w:tc>
          <w:tcPr>
            <w:tcW w:type="pct" w:w="26%"/>
            <w:shd w:fill="F2F2F2" w:color="F2F2F2" w:val="solid"/>
            <w:vAlign w:val="center"/>
          </w:tcPr>
          <w:p>
            <w:pPr>
              <w:jc w:val="left"/>
            </w:pPr>
            <w:r>
              <w:rPr>
                <w:b/>
                <w:bCs/>
                <w:sz w:val="16"/>
                <w:szCs w:val="16"/>
              </w:rPr>
              <w:t xml:space="preserve">No GenAI</w:t>
            </w:r>
          </w:p>
        </w:tc>
        <w:tc>
          <w:tcPr>
            <w:tcW w:type="pct" w:w="15%"/>
            <w:shd w:fill="F2F2F2" w:color="F2F2F2" w:val="solid"/>
            <w:vAlign w:val="center"/>
          </w:tcPr>
          <w:p>
            <w:pPr>
              <w:jc w:val="center"/>
            </w:pPr>
            <w:r>
              <w:rPr>
                <w:b w:val="false"/>
                <w:bCs w:val="false"/>
                <w:sz w:val="16"/>
                <w:szCs w:val="16"/>
              </w:rPr>
              <w:t xml:space="preserve">0.9</w:t>
            </w:r>
          </w:p>
        </w:tc>
        <w:tc>
          <w:tcPr>
            <w:tcW w:type="pct" w:w="15%"/>
            <w:shd w:fill="F2F2F2" w:color="F2F2F2" w:val="solid"/>
            <w:vAlign w:val="center"/>
          </w:tcPr>
          <w:p>
            <w:pPr>
              <w:jc w:val="center"/>
            </w:pPr>
            <w:r>
              <w:rPr>
                <w:b w:val="false"/>
                <w:bCs w:val="false"/>
                <w:sz w:val="16"/>
                <w:szCs w:val="16"/>
              </w:rPr>
              <w:t xml:space="preserve">1.5</w:t>
            </w:r>
          </w:p>
        </w:tc>
        <w:tc>
          <w:tcPr>
            <w:tcW w:type="pct" w:w="15%"/>
            <w:shd w:fill="F2F2F2" w:color="F2F2F2" w:val="solid"/>
            <w:vAlign w:val="center"/>
          </w:tcPr>
          <w:p>
            <w:pPr>
              <w:jc w:val="center"/>
            </w:pPr>
            <w:r>
              <w:rPr>
                <w:b w:val="false"/>
                <w:bCs w:val="false"/>
                <w:sz w:val="16"/>
                <w:szCs w:val="16"/>
              </w:rPr>
              <w:t xml:space="preserve">0.5</w:t>
            </w:r>
          </w:p>
        </w:tc>
        <w:tc>
          <w:tcPr>
            <w:tcW w:type="pct" w:w="29%"/>
            <w:shd w:fill="F2F2F2" w:color="F2F2F2" w:val="solid"/>
            <w:vAlign w:val="center"/>
          </w:tcPr>
          <w:p>
            <w:pPr>
              <w:jc w:val="center"/>
            </w:pPr>
            <w:r>
              <w:rPr>
                <w:b/>
                <w:bCs/>
                <w:sz w:val="16"/>
                <w:szCs w:val="16"/>
              </w:rPr>
              <w:t xml:space="preserve">2.9</w:t>
            </w:r>
          </w:p>
        </w:tc>
      </w:tr>
      <w:tr>
        <w:tc>
          <w:tcPr>
            <w:tcW w:type="pct" w:w="26%"/>
            <w:shd w:fill="E2EFDA" w:color="E2EFDA" w:val="solid"/>
            <w:vAlign w:val="center"/>
          </w:tcPr>
          <w:p>
            <w:pPr>
              <w:jc w:val="left"/>
            </w:pPr>
            <w:r>
              <w:rPr>
                <w:b/>
                <w:bCs/>
                <w:sz w:val="16"/>
                <w:szCs w:val="16"/>
              </w:rPr>
              <w:t xml:space="preserve">With GenAI</w:t>
            </w:r>
          </w:p>
        </w:tc>
        <w:tc>
          <w:tcPr>
            <w:tcW w:type="pct" w:w="15%"/>
            <w:shd w:fill="E2EFDA" w:color="E2EFDA" w:val="solid"/>
            <w:vAlign w:val="center"/>
          </w:tcPr>
          <w:p>
            <w:pPr>
              <w:jc w:val="center"/>
            </w:pPr>
            <w:r>
              <w:rPr>
                <w:b w:val="false"/>
                <w:bCs w:val="false"/>
                <w:sz w:val="16"/>
                <w:szCs w:val="16"/>
              </w:rPr>
              <w:t xml:space="preserve">0.5</w:t>
            </w:r>
          </w:p>
        </w:tc>
        <w:tc>
          <w:tcPr>
            <w:tcW w:type="pct" w:w="15%"/>
            <w:shd w:fill="E2EFDA" w:color="E2EFDA" w:val="solid"/>
            <w:vAlign w:val="center"/>
          </w:tcPr>
          <w:p>
            <w:pPr>
              <w:jc w:val="center"/>
            </w:pPr>
            <w:r>
              <w:rPr>
                <w:b w:val="false"/>
                <w:bCs w:val="false"/>
                <w:sz w:val="16"/>
                <w:szCs w:val="16"/>
              </w:rPr>
              <w:t xml:space="preserve">1</w:t>
            </w:r>
          </w:p>
        </w:tc>
        <w:tc>
          <w:tcPr>
            <w:tcW w:type="pct" w:w="15%"/>
            <w:shd w:fill="E2EFDA" w:color="E2EFDA" w:val="solid"/>
            <w:vAlign w:val="center"/>
          </w:tcPr>
          <w:p>
            <w:pPr>
              <w:jc w:val="center"/>
            </w:pPr>
            <w:r>
              <w:rPr>
                <w:b w:val="false"/>
                <w:bCs w:val="false"/>
                <w:sz w:val="16"/>
                <w:szCs w:val="16"/>
              </w:rPr>
              <w:t xml:space="preserve">0.4</w:t>
            </w:r>
          </w:p>
        </w:tc>
        <w:tc>
          <w:tcPr>
            <w:tcW w:type="pct" w:w="29%"/>
            <w:shd w:fill="E2EFDA" w:color="E2EFDA" w:val="solid"/>
            <w:vAlign w:val="center"/>
          </w:tcPr>
          <w:p>
            <w:pPr>
              <w:jc w:val="center"/>
            </w:pPr>
            <w:r>
              <w:rPr>
                <w:b/>
                <w:bCs/>
                <w:sz w:val="16"/>
                <w:szCs w:val="16"/>
              </w:rPr>
              <w:t xml:space="preserve">1.9</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ShelfLifeContent.tsx already exists as a separate, currently-broken tile — decide whether Shelf Life stays its own tile or is fully folded into this section, since that determines which file absorbs the work.</w:t>
      </w:r>
    </w:p>
    <w:p>
      <w:pPr>
        <w:spacing w:after="80" w:before="240"/>
      </w:pPr>
      <w:r>
        <w:rPr>
          <w:b/>
          <w:bCs/>
          <w:color w:val="2E5395"/>
          <w:sz w:val="23"/>
          <w:szCs w:val="23"/>
        </w:rPr>
        <w:t xml:space="preserve">S2.6  IUT Feasibility — Confidence score &amp; tooltip</w:t>
      </w:r>
    </w:p>
    <w:p>
      <w:pPr>
        <w:spacing w:after="60"/>
      </w:pPr>
      <w:r>
        <w:rPr>
          <w:b/>
          <w:bCs/>
          <w:sz w:val="19"/>
          <w:szCs w:val="19"/>
        </w:rPr>
        <w:t xml:space="preserve">Current prototype state: </w:t>
      </w:r>
      <w:r>
        <w:rPr>
          <w:sz w:val="19"/>
          <w:szCs w:val="19"/>
        </w:rPr>
        <w:t xml:space="preserve">No historical-execution concept exists today.</w:t>
      </w:r>
    </w:p>
    <w:p>
      <w:pPr>
        <w:spacing w:after="60"/>
      </w:pPr>
      <w:r>
        <w:rPr>
          <w:b/>
          <w:bCs/>
          <w:sz w:val="19"/>
          <w:szCs w:val="19"/>
        </w:rPr>
        <w:t xml:space="preserve">Requested change: </w:t>
      </w:r>
      <w:r>
        <w:rPr>
          <w:sz w:val="19"/>
          <w:szCs w:val="19"/>
        </w:rPr>
        <w:t xml:space="preserve">Display confidence score as 'number of times IUT is done over the last 12 months' (assumes the ready API returns this count directly). Add a tooltip on 'Possible' explaining how an address/lane issue is determined.</w:t>
      </w:r>
    </w:p>
    <w:p>
      <w:pPr>
        <w:spacing w:after="100"/>
      </w:pPr>
      <w:r>
        <w:rPr>
          <w:b/>
          <w:bCs/>
          <w:color w:val="2E7D32"/>
          <w:sz w:val="19"/>
          <w:szCs w:val="19"/>
        </w:rPr>
        <w:t xml:space="preserve">Prototype UI reused: 70% — </w:t>
      </w:r>
      <w:r>
        <w:rPr>
          <w:i/>
          <w:iCs/>
          <w:color w:val="2E7D32"/>
          <w:sz w:val="19"/>
          <w:szCs w:val="19"/>
        </w:rPr>
        <w:t xml:space="preserve">Small addition (one field + one tooltip) to an existing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6%"/>
            <w:shd w:fill="1F3864" w:color="1F3864" w:val="solid"/>
            <w:vAlign w:val="center"/>
          </w:tcPr>
          <w:p>
            <w:pPr>
              <w:jc w:val="center"/>
            </w:pPr>
            <w:r>
              <w:rPr>
                <w:b/>
                <w:bCs/>
                <w:color w:val="FFFFFF"/>
                <w:sz w:val="16"/>
                <w:szCs w:val="16"/>
              </w:rPr>
              <w:t xml:space="preserve"/>
            </w:r>
          </w:p>
        </w:tc>
        <w:tc>
          <w:tcPr>
            <w:tcW w:type="pct" w:w="15%"/>
            <w:shd w:fill="1F3864" w:color="1F3864" w:val="solid"/>
            <w:vAlign w:val="center"/>
          </w:tcPr>
          <w:p>
            <w:pPr>
              <w:jc w:val="center"/>
            </w:pPr>
            <w:r>
              <w:rPr>
                <w:b/>
                <w:bCs/>
                <w:color w:val="FFFFFF"/>
                <w:sz w:val="16"/>
                <w:szCs w:val="16"/>
              </w:rPr>
              <w:t xml:space="preserve">UI</w:t>
            </w:r>
          </w:p>
        </w:tc>
        <w:tc>
          <w:tcPr>
            <w:tcW w:type="pct" w:w="15%"/>
            <w:shd w:fill="1F3864" w:color="1F3864" w:val="solid"/>
            <w:vAlign w:val="center"/>
          </w:tcPr>
          <w:p>
            <w:pPr>
              <w:jc w:val="center"/>
            </w:pPr>
            <w:r>
              <w:rPr>
                <w:b/>
                <w:bCs/>
                <w:color w:val="FFFFFF"/>
                <w:sz w:val="16"/>
                <w:szCs w:val="16"/>
              </w:rPr>
              <w:t xml:space="preserve">Logic</w:t>
            </w:r>
          </w:p>
        </w:tc>
        <w:tc>
          <w:tcPr>
            <w:tcW w:type="pct" w:w="15%"/>
            <w:shd w:fill="1F3864" w:color="1F3864" w:val="solid"/>
            <w:vAlign w:val="center"/>
          </w:tcPr>
          <w:p>
            <w:pPr>
              <w:jc w:val="center"/>
            </w:pPr>
            <w:r>
              <w:rPr>
                <w:b/>
                <w:bCs/>
                <w:color w:val="FFFFFF"/>
                <w:sz w:val="16"/>
                <w:szCs w:val="16"/>
              </w:rPr>
              <w:t xml:space="preserve">FE Integration</w:t>
            </w:r>
          </w:p>
        </w:tc>
        <w:tc>
          <w:tcPr>
            <w:tcW w:type="pct" w:w="29%"/>
            <w:shd w:fill="1F3864" w:color="1F3864" w:val="solid"/>
            <w:vAlign w:val="center"/>
          </w:tcPr>
          <w:p>
            <w:pPr>
              <w:jc w:val="center"/>
            </w:pPr>
            <w:r>
              <w:rPr>
                <w:b/>
                <w:bCs/>
                <w:color w:val="FFFFFF"/>
                <w:sz w:val="16"/>
                <w:szCs w:val="16"/>
              </w:rPr>
              <w:t xml:space="preserve">Total (person-days)</w:t>
            </w:r>
          </w:p>
        </w:tc>
      </w:tr>
      <w:tr>
        <w:tc>
          <w:tcPr>
            <w:tcW w:type="pct" w:w="26%"/>
            <w:shd w:fill="F2F2F2" w:color="F2F2F2" w:val="solid"/>
            <w:vAlign w:val="center"/>
          </w:tcPr>
          <w:p>
            <w:pPr>
              <w:jc w:val="left"/>
            </w:pPr>
            <w:r>
              <w:rPr>
                <w:b/>
                <w:bCs/>
                <w:sz w:val="16"/>
                <w:szCs w:val="16"/>
              </w:rPr>
              <w:t xml:space="preserve">No GenAI</w:t>
            </w:r>
          </w:p>
        </w:tc>
        <w:tc>
          <w:tcPr>
            <w:tcW w:type="pct" w:w="15%"/>
            <w:shd w:fill="F2F2F2" w:color="F2F2F2" w:val="solid"/>
            <w:vAlign w:val="center"/>
          </w:tcPr>
          <w:p>
            <w:pPr>
              <w:jc w:val="center"/>
            </w:pPr>
            <w:r>
              <w:rPr>
                <w:b w:val="false"/>
                <w:bCs w:val="false"/>
                <w:sz w:val="16"/>
                <w:szCs w:val="16"/>
              </w:rPr>
              <w:t xml:space="preserve">0.3</w:t>
            </w:r>
          </w:p>
        </w:tc>
        <w:tc>
          <w:tcPr>
            <w:tcW w:type="pct" w:w="15%"/>
            <w:shd w:fill="F2F2F2" w:color="F2F2F2" w:val="solid"/>
            <w:vAlign w:val="center"/>
          </w:tcPr>
          <w:p>
            <w:pPr>
              <w:jc w:val="center"/>
            </w:pPr>
            <w:r>
              <w:rPr>
                <w:b w:val="false"/>
                <w:bCs w:val="false"/>
                <w:sz w:val="16"/>
                <w:szCs w:val="16"/>
              </w:rPr>
              <w:t xml:space="preserve">0.5</w:t>
            </w:r>
          </w:p>
        </w:tc>
        <w:tc>
          <w:tcPr>
            <w:tcW w:type="pct" w:w="15%"/>
            <w:shd w:fill="F2F2F2" w:color="F2F2F2" w:val="solid"/>
            <w:vAlign w:val="center"/>
          </w:tcPr>
          <w:p>
            <w:pPr>
              <w:jc w:val="center"/>
            </w:pPr>
            <w:r>
              <w:rPr>
                <w:b w:val="false"/>
                <w:bCs w:val="false"/>
                <w:sz w:val="16"/>
                <w:szCs w:val="16"/>
              </w:rPr>
              <w:t xml:space="preserve">0.5</w:t>
            </w:r>
          </w:p>
        </w:tc>
        <w:tc>
          <w:tcPr>
            <w:tcW w:type="pct" w:w="29%"/>
            <w:shd w:fill="F2F2F2" w:color="F2F2F2" w:val="solid"/>
            <w:vAlign w:val="center"/>
          </w:tcPr>
          <w:p>
            <w:pPr>
              <w:jc w:val="center"/>
            </w:pPr>
            <w:r>
              <w:rPr>
                <w:b/>
                <w:bCs/>
                <w:sz w:val="16"/>
                <w:szCs w:val="16"/>
              </w:rPr>
              <w:t xml:space="preserve">1.3</w:t>
            </w:r>
          </w:p>
        </w:tc>
      </w:tr>
      <w:tr>
        <w:tc>
          <w:tcPr>
            <w:tcW w:type="pct" w:w="26%"/>
            <w:shd w:fill="E2EFDA" w:color="E2EFDA" w:val="solid"/>
            <w:vAlign w:val="center"/>
          </w:tcPr>
          <w:p>
            <w:pPr>
              <w:jc w:val="left"/>
            </w:pPr>
            <w:r>
              <w:rPr>
                <w:b/>
                <w:bCs/>
                <w:sz w:val="16"/>
                <w:szCs w:val="16"/>
              </w:rPr>
              <w:t xml:space="preserve">With GenAI</w:t>
            </w:r>
          </w:p>
        </w:tc>
        <w:tc>
          <w:tcPr>
            <w:tcW w:type="pct" w:w="15%"/>
            <w:shd w:fill="E2EFDA" w:color="E2EFDA" w:val="solid"/>
            <w:vAlign w:val="center"/>
          </w:tcPr>
          <w:p>
            <w:pPr>
              <w:jc w:val="center"/>
            </w:pPr>
            <w:r>
              <w:rPr>
                <w:b w:val="false"/>
                <w:bCs w:val="false"/>
                <w:sz w:val="16"/>
                <w:szCs w:val="16"/>
              </w:rPr>
              <w:t xml:space="preserve">0.2</w:t>
            </w:r>
          </w:p>
        </w:tc>
        <w:tc>
          <w:tcPr>
            <w:tcW w:type="pct" w:w="15%"/>
            <w:shd w:fill="E2EFDA" w:color="E2EFDA" w:val="solid"/>
            <w:vAlign w:val="center"/>
          </w:tcPr>
          <w:p>
            <w:pPr>
              <w:jc w:val="center"/>
            </w:pPr>
            <w:r>
              <w:rPr>
                <w:b w:val="false"/>
                <w:bCs w:val="false"/>
                <w:sz w:val="16"/>
                <w:szCs w:val="16"/>
              </w:rPr>
              <w:t xml:space="preserve">0.3</w:t>
            </w:r>
          </w:p>
        </w:tc>
        <w:tc>
          <w:tcPr>
            <w:tcW w:type="pct" w:w="15%"/>
            <w:shd w:fill="E2EFDA" w:color="E2EFDA" w:val="solid"/>
            <w:vAlign w:val="center"/>
          </w:tcPr>
          <w:p>
            <w:pPr>
              <w:jc w:val="center"/>
            </w:pPr>
            <w:r>
              <w:rPr>
                <w:b w:val="false"/>
                <w:bCs w:val="false"/>
                <w:sz w:val="16"/>
                <w:szCs w:val="16"/>
              </w:rPr>
              <w:t xml:space="preserve">0.4</w:t>
            </w:r>
          </w:p>
        </w:tc>
        <w:tc>
          <w:tcPr>
            <w:tcW w:type="pct" w:w="29%"/>
            <w:shd w:fill="E2EFDA" w:color="E2EFDA" w:val="solid"/>
            <w:vAlign w:val="center"/>
          </w:tcPr>
          <w:p>
            <w:pPr>
              <w:jc w:val="center"/>
            </w:pPr>
            <w:r>
              <w:rPr>
                <w:b/>
                <w:bCs/>
                <w:sz w:val="16"/>
                <w:szCs w:val="16"/>
              </w:rPr>
              <w:t xml:space="preserve">0.9</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Confirm the ready API returns a precomputed 12-month count rather than raw execution history the FE would need to aggregate — the latter would add meaningful client-side logic.</w:t>
      </w:r>
    </w:p>
    <w:p>
      <w:pPr>
        <w:spacing w:after="80" w:before="240"/>
      </w:pPr>
      <w:r>
        <w:rPr>
          <w:b/>
          <w:bCs/>
          <w:color w:val="2E5395"/>
          <w:sz w:val="23"/>
          <w:szCs w:val="23"/>
        </w:rPr>
        <w:t xml:space="preserve">S2.7  IUT Feasibility — Batch information as a table</w:t>
      </w:r>
    </w:p>
    <w:p>
      <w:pPr>
        <w:spacing w:after="60"/>
      </w:pPr>
      <w:r>
        <w:rPr>
          <w:b/>
          <w:bCs/>
          <w:sz w:val="19"/>
          <w:szCs w:val="19"/>
        </w:rPr>
        <w:t xml:space="preserve">Current prototype state: </w:t>
      </w:r>
      <w:r>
        <w:rPr>
          <w:sz w:val="19"/>
          <w:szCs w:val="19"/>
        </w:rPr>
        <w:t xml:space="preserve">Batch data renders as expandable sub-cards with checkboxes today, not a table.</w:t>
      </w:r>
    </w:p>
    <w:p>
      <w:pPr>
        <w:spacing w:after="60"/>
      </w:pPr>
      <w:r>
        <w:rPr>
          <w:b/>
          <w:bCs/>
          <w:sz w:val="19"/>
          <w:szCs w:val="19"/>
        </w:rPr>
        <w:t xml:space="preserve">Requested change: </w:t>
      </w:r>
      <w:r>
        <w:rPr>
          <w:sz w:val="19"/>
          <w:szCs w:val="19"/>
        </w:rPr>
        <w:t xml:space="preserve">Convert batch information into a table layout.</w:t>
      </w:r>
    </w:p>
    <w:p>
      <w:pPr>
        <w:spacing w:after="100"/>
      </w:pPr>
      <w:r>
        <w:rPr>
          <w:b/>
          <w:bCs/>
          <w:color w:val="2E7D32"/>
          <w:sz w:val="19"/>
          <w:szCs w:val="19"/>
        </w:rPr>
        <w:t xml:space="preserve">Prototype UI reused: 40% — </w:t>
      </w:r>
      <w:r>
        <w:rPr>
          <w:i/>
          <w:iCs/>
          <w:color w:val="2E7D32"/>
          <w:sz w:val="19"/>
          <w:szCs w:val="19"/>
        </w:rPr>
        <w:t xml:space="preserve">Data/state reuses; the card-to-table layout swap is a structural rebuild.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6%"/>
            <w:shd w:fill="1F3864" w:color="1F3864" w:val="solid"/>
            <w:vAlign w:val="center"/>
          </w:tcPr>
          <w:p>
            <w:pPr>
              <w:jc w:val="center"/>
            </w:pPr>
            <w:r>
              <w:rPr>
                <w:b/>
                <w:bCs/>
                <w:color w:val="FFFFFF"/>
                <w:sz w:val="16"/>
                <w:szCs w:val="16"/>
              </w:rPr>
              <w:t xml:space="preserve"/>
            </w:r>
          </w:p>
        </w:tc>
        <w:tc>
          <w:tcPr>
            <w:tcW w:type="pct" w:w="15%"/>
            <w:shd w:fill="1F3864" w:color="1F3864" w:val="solid"/>
            <w:vAlign w:val="center"/>
          </w:tcPr>
          <w:p>
            <w:pPr>
              <w:jc w:val="center"/>
            </w:pPr>
            <w:r>
              <w:rPr>
                <w:b/>
                <w:bCs/>
                <w:color w:val="FFFFFF"/>
                <w:sz w:val="16"/>
                <w:szCs w:val="16"/>
              </w:rPr>
              <w:t xml:space="preserve">UI</w:t>
            </w:r>
          </w:p>
        </w:tc>
        <w:tc>
          <w:tcPr>
            <w:tcW w:type="pct" w:w="15%"/>
            <w:shd w:fill="1F3864" w:color="1F3864" w:val="solid"/>
            <w:vAlign w:val="center"/>
          </w:tcPr>
          <w:p>
            <w:pPr>
              <w:jc w:val="center"/>
            </w:pPr>
            <w:r>
              <w:rPr>
                <w:b/>
                <w:bCs/>
                <w:color w:val="FFFFFF"/>
                <w:sz w:val="16"/>
                <w:szCs w:val="16"/>
              </w:rPr>
              <w:t xml:space="preserve">Logic</w:t>
            </w:r>
          </w:p>
        </w:tc>
        <w:tc>
          <w:tcPr>
            <w:tcW w:type="pct" w:w="15%"/>
            <w:shd w:fill="1F3864" w:color="1F3864" w:val="solid"/>
            <w:vAlign w:val="center"/>
          </w:tcPr>
          <w:p>
            <w:pPr>
              <w:jc w:val="center"/>
            </w:pPr>
            <w:r>
              <w:rPr>
                <w:b/>
                <w:bCs/>
                <w:color w:val="FFFFFF"/>
                <w:sz w:val="16"/>
                <w:szCs w:val="16"/>
              </w:rPr>
              <w:t xml:space="preserve">FE Integration</w:t>
            </w:r>
          </w:p>
        </w:tc>
        <w:tc>
          <w:tcPr>
            <w:tcW w:type="pct" w:w="29%"/>
            <w:shd w:fill="1F3864" w:color="1F3864" w:val="solid"/>
            <w:vAlign w:val="center"/>
          </w:tcPr>
          <w:p>
            <w:pPr>
              <w:jc w:val="center"/>
            </w:pPr>
            <w:r>
              <w:rPr>
                <w:b/>
                <w:bCs/>
                <w:color w:val="FFFFFF"/>
                <w:sz w:val="16"/>
                <w:szCs w:val="16"/>
              </w:rPr>
              <w:t xml:space="preserve">Total (person-days)</w:t>
            </w:r>
          </w:p>
        </w:tc>
      </w:tr>
      <w:tr>
        <w:tc>
          <w:tcPr>
            <w:tcW w:type="pct" w:w="26%"/>
            <w:shd w:fill="F2F2F2" w:color="F2F2F2" w:val="solid"/>
            <w:vAlign w:val="center"/>
          </w:tcPr>
          <w:p>
            <w:pPr>
              <w:jc w:val="left"/>
            </w:pPr>
            <w:r>
              <w:rPr>
                <w:b/>
                <w:bCs/>
                <w:sz w:val="16"/>
                <w:szCs w:val="16"/>
              </w:rPr>
              <w:t xml:space="preserve">No GenAI</w:t>
            </w:r>
          </w:p>
        </w:tc>
        <w:tc>
          <w:tcPr>
            <w:tcW w:type="pct" w:w="15%"/>
            <w:shd w:fill="F2F2F2" w:color="F2F2F2" w:val="solid"/>
            <w:vAlign w:val="center"/>
          </w:tcPr>
          <w:p>
            <w:pPr>
              <w:jc w:val="center"/>
            </w:pPr>
            <w:r>
              <w:rPr>
                <w:b w:val="false"/>
                <w:bCs w:val="false"/>
                <w:sz w:val="16"/>
                <w:szCs w:val="16"/>
              </w:rPr>
              <w:t xml:space="preserve">0.9</w:t>
            </w:r>
          </w:p>
        </w:tc>
        <w:tc>
          <w:tcPr>
            <w:tcW w:type="pct" w:w="15%"/>
            <w:shd w:fill="F2F2F2" w:color="F2F2F2" w:val="solid"/>
            <w:vAlign w:val="center"/>
          </w:tcPr>
          <w:p>
            <w:pPr>
              <w:jc w:val="center"/>
            </w:pPr>
            <w:r>
              <w:rPr>
                <w:b w:val="false"/>
                <w:bCs w:val="false"/>
                <w:sz w:val="16"/>
                <w:szCs w:val="16"/>
              </w:rPr>
              <w:t xml:space="preserve">0.5</w:t>
            </w:r>
          </w:p>
        </w:tc>
        <w:tc>
          <w:tcPr>
            <w:tcW w:type="pct" w:w="15%"/>
            <w:shd w:fill="F2F2F2" w:color="F2F2F2" w:val="solid"/>
            <w:vAlign w:val="center"/>
          </w:tcPr>
          <w:p>
            <w:pPr>
              <w:jc w:val="center"/>
            </w:pPr>
            <w:r>
              <w:rPr>
                <w:b w:val="false"/>
                <w:bCs w:val="false"/>
                <w:sz w:val="16"/>
                <w:szCs w:val="16"/>
              </w:rPr>
              <w:t xml:space="preserve">0.5</w:t>
            </w:r>
          </w:p>
        </w:tc>
        <w:tc>
          <w:tcPr>
            <w:tcW w:type="pct" w:w="29%"/>
            <w:shd w:fill="F2F2F2" w:color="F2F2F2" w:val="solid"/>
            <w:vAlign w:val="center"/>
          </w:tcPr>
          <w:p>
            <w:pPr>
              <w:jc w:val="center"/>
            </w:pPr>
            <w:r>
              <w:rPr>
                <w:b/>
                <w:bCs/>
                <w:sz w:val="16"/>
                <w:szCs w:val="16"/>
              </w:rPr>
              <w:t xml:space="preserve">1.9</w:t>
            </w:r>
          </w:p>
        </w:tc>
      </w:tr>
      <w:tr>
        <w:tc>
          <w:tcPr>
            <w:tcW w:type="pct" w:w="26%"/>
            <w:shd w:fill="E2EFDA" w:color="E2EFDA" w:val="solid"/>
            <w:vAlign w:val="center"/>
          </w:tcPr>
          <w:p>
            <w:pPr>
              <w:jc w:val="left"/>
            </w:pPr>
            <w:r>
              <w:rPr>
                <w:b/>
                <w:bCs/>
                <w:sz w:val="16"/>
                <w:szCs w:val="16"/>
              </w:rPr>
              <w:t xml:space="preserve">With GenAI</w:t>
            </w:r>
          </w:p>
        </w:tc>
        <w:tc>
          <w:tcPr>
            <w:tcW w:type="pct" w:w="15%"/>
            <w:shd w:fill="E2EFDA" w:color="E2EFDA" w:val="solid"/>
            <w:vAlign w:val="center"/>
          </w:tcPr>
          <w:p>
            <w:pPr>
              <w:jc w:val="center"/>
            </w:pPr>
            <w:r>
              <w:rPr>
                <w:b w:val="false"/>
                <w:bCs w:val="false"/>
                <w:sz w:val="16"/>
                <w:szCs w:val="16"/>
              </w:rPr>
              <w:t xml:space="preserve">0.5</w:t>
            </w:r>
          </w:p>
        </w:tc>
        <w:tc>
          <w:tcPr>
            <w:tcW w:type="pct" w:w="15%"/>
            <w:shd w:fill="E2EFDA" w:color="E2EFDA" w:val="solid"/>
            <w:vAlign w:val="center"/>
          </w:tcPr>
          <w:p>
            <w:pPr>
              <w:jc w:val="center"/>
            </w:pPr>
            <w:r>
              <w:rPr>
                <w:b w:val="false"/>
                <w:bCs w:val="false"/>
                <w:sz w:val="16"/>
                <w:szCs w:val="16"/>
              </w:rPr>
              <w:t xml:space="preserve">0.3</w:t>
            </w:r>
          </w:p>
        </w:tc>
        <w:tc>
          <w:tcPr>
            <w:tcW w:type="pct" w:w="15%"/>
            <w:shd w:fill="E2EFDA" w:color="E2EFDA" w:val="solid"/>
            <w:vAlign w:val="center"/>
          </w:tcPr>
          <w:p>
            <w:pPr>
              <w:jc w:val="center"/>
            </w:pPr>
            <w:r>
              <w:rPr>
                <w:b w:val="false"/>
                <w:bCs w:val="false"/>
                <w:sz w:val="16"/>
                <w:szCs w:val="16"/>
              </w:rPr>
              <w:t xml:space="preserve">0.4</w:t>
            </w:r>
          </w:p>
        </w:tc>
        <w:tc>
          <w:tcPr>
            <w:tcW w:type="pct" w:w="29%"/>
            <w:shd w:fill="E2EFDA" w:color="E2EFDA" w:val="solid"/>
            <w:vAlign w:val="center"/>
          </w:tcPr>
          <w:p>
            <w:pPr>
              <w:jc w:val="center"/>
            </w:pPr>
            <w:r>
              <w:rPr>
                <w:b/>
                <w:bCs/>
                <w:sz w:val="16"/>
                <w:szCs w:val="16"/>
              </w:rPr>
              <w:t xml:space="preserve">1.2</w:t>
            </w:r>
          </w:p>
        </w:tc>
      </w:tr>
    </w:tbl>
    <w:p>
      <w:pPr>
        <w:spacing w:after="80" w:before="240"/>
      </w:pPr>
      <w:r>
        <w:rPr>
          <w:b/>
          <w:bCs/>
          <w:color w:val="2E5395"/>
          <w:sz w:val="23"/>
          <w:szCs w:val="23"/>
        </w:rPr>
        <w:t xml:space="preserve">S2.8  MOQ Break — remove SOB/lead time, redefine confidence score</w:t>
      </w:r>
    </w:p>
    <w:p>
      <w:pPr>
        <w:spacing w:after="60"/>
      </w:pPr>
      <w:r>
        <w:rPr>
          <w:b/>
          <w:bCs/>
          <w:sz w:val="19"/>
          <w:szCs w:val="19"/>
        </w:rPr>
        <w:t xml:space="preserve">Current prototype state: </w:t>
      </w:r>
      <w:r>
        <w:rPr>
          <w:sz w:val="19"/>
          <w:szCs w:val="19"/>
        </w:rPr>
        <w:t xml:space="preserve">MoqBreakContent.tsx: a 6-column supplier table including SOB and lead-time columns, per-supplier 'Can break MOQ' toggle.</w:t>
      </w:r>
    </w:p>
    <w:p>
      <w:pPr>
        <w:spacing w:after="60"/>
      </w:pPr>
      <w:r>
        <w:rPr>
          <w:b/>
          <w:bCs/>
          <w:sz w:val="19"/>
          <w:szCs w:val="19"/>
        </w:rPr>
        <w:t xml:space="preserve">Requested change: </w:t>
      </w:r>
      <w:r>
        <w:rPr>
          <w:sz w:val="19"/>
          <w:szCs w:val="19"/>
        </w:rPr>
        <w:t xml:space="preserve">Remove the SOB and lead-time columns. Display confidence score as 'number of times MOQ has been broken in the last 12 months' (assumes the ready API returns this count).</w:t>
      </w:r>
    </w:p>
    <w:p>
      <w:pPr>
        <w:spacing w:after="100"/>
      </w:pPr>
      <w:r>
        <w:rPr>
          <w:b/>
          <w:bCs/>
          <w:color w:val="2E7D32"/>
          <w:sz w:val="19"/>
          <w:szCs w:val="19"/>
        </w:rPr>
        <w:t xml:space="preserve">Prototype UI reused: 75% — </w:t>
      </w:r>
      <w:r>
        <w:rPr>
          <w:i/>
          <w:iCs/>
          <w:color w:val="2E7D32"/>
          <w:sz w:val="19"/>
          <w:szCs w:val="19"/>
        </w:rPr>
        <w:t xml:space="preserve">Column removal + one relabeled field on an existing table — high reuse.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6%"/>
            <w:shd w:fill="1F3864" w:color="1F3864" w:val="solid"/>
            <w:vAlign w:val="center"/>
          </w:tcPr>
          <w:p>
            <w:pPr>
              <w:jc w:val="center"/>
            </w:pPr>
            <w:r>
              <w:rPr>
                <w:b/>
                <w:bCs/>
                <w:color w:val="FFFFFF"/>
                <w:sz w:val="16"/>
                <w:szCs w:val="16"/>
              </w:rPr>
              <w:t xml:space="preserve"/>
            </w:r>
          </w:p>
        </w:tc>
        <w:tc>
          <w:tcPr>
            <w:tcW w:type="pct" w:w="15%"/>
            <w:shd w:fill="1F3864" w:color="1F3864" w:val="solid"/>
            <w:vAlign w:val="center"/>
          </w:tcPr>
          <w:p>
            <w:pPr>
              <w:jc w:val="center"/>
            </w:pPr>
            <w:r>
              <w:rPr>
                <w:b/>
                <w:bCs/>
                <w:color w:val="FFFFFF"/>
                <w:sz w:val="16"/>
                <w:szCs w:val="16"/>
              </w:rPr>
              <w:t xml:space="preserve">UI</w:t>
            </w:r>
          </w:p>
        </w:tc>
        <w:tc>
          <w:tcPr>
            <w:tcW w:type="pct" w:w="15%"/>
            <w:shd w:fill="1F3864" w:color="1F3864" w:val="solid"/>
            <w:vAlign w:val="center"/>
          </w:tcPr>
          <w:p>
            <w:pPr>
              <w:jc w:val="center"/>
            </w:pPr>
            <w:r>
              <w:rPr>
                <w:b/>
                <w:bCs/>
                <w:color w:val="FFFFFF"/>
                <w:sz w:val="16"/>
                <w:szCs w:val="16"/>
              </w:rPr>
              <w:t xml:space="preserve">Logic</w:t>
            </w:r>
          </w:p>
        </w:tc>
        <w:tc>
          <w:tcPr>
            <w:tcW w:type="pct" w:w="15%"/>
            <w:shd w:fill="1F3864" w:color="1F3864" w:val="solid"/>
            <w:vAlign w:val="center"/>
          </w:tcPr>
          <w:p>
            <w:pPr>
              <w:jc w:val="center"/>
            </w:pPr>
            <w:r>
              <w:rPr>
                <w:b/>
                <w:bCs/>
                <w:color w:val="FFFFFF"/>
                <w:sz w:val="16"/>
                <w:szCs w:val="16"/>
              </w:rPr>
              <w:t xml:space="preserve">FE Integration</w:t>
            </w:r>
          </w:p>
        </w:tc>
        <w:tc>
          <w:tcPr>
            <w:tcW w:type="pct" w:w="29%"/>
            <w:shd w:fill="1F3864" w:color="1F3864" w:val="solid"/>
            <w:vAlign w:val="center"/>
          </w:tcPr>
          <w:p>
            <w:pPr>
              <w:jc w:val="center"/>
            </w:pPr>
            <w:r>
              <w:rPr>
                <w:b/>
                <w:bCs/>
                <w:color w:val="FFFFFF"/>
                <w:sz w:val="16"/>
                <w:szCs w:val="16"/>
              </w:rPr>
              <w:t xml:space="preserve">Total (person-days)</w:t>
            </w:r>
          </w:p>
        </w:tc>
      </w:tr>
      <w:tr>
        <w:tc>
          <w:tcPr>
            <w:tcW w:type="pct" w:w="26%"/>
            <w:shd w:fill="F2F2F2" w:color="F2F2F2" w:val="solid"/>
            <w:vAlign w:val="center"/>
          </w:tcPr>
          <w:p>
            <w:pPr>
              <w:jc w:val="left"/>
            </w:pPr>
            <w:r>
              <w:rPr>
                <w:b/>
                <w:bCs/>
                <w:sz w:val="16"/>
                <w:szCs w:val="16"/>
              </w:rPr>
              <w:t xml:space="preserve">No GenAI</w:t>
            </w:r>
          </w:p>
        </w:tc>
        <w:tc>
          <w:tcPr>
            <w:tcW w:type="pct" w:w="15%"/>
            <w:shd w:fill="F2F2F2" w:color="F2F2F2" w:val="solid"/>
            <w:vAlign w:val="center"/>
          </w:tcPr>
          <w:p>
            <w:pPr>
              <w:jc w:val="center"/>
            </w:pPr>
            <w:r>
              <w:rPr>
                <w:b w:val="false"/>
                <w:bCs w:val="false"/>
                <w:sz w:val="16"/>
                <w:szCs w:val="16"/>
              </w:rPr>
              <w:t xml:space="preserve">0.3</w:t>
            </w:r>
          </w:p>
        </w:tc>
        <w:tc>
          <w:tcPr>
            <w:tcW w:type="pct" w:w="15%"/>
            <w:shd w:fill="F2F2F2" w:color="F2F2F2" w:val="solid"/>
            <w:vAlign w:val="center"/>
          </w:tcPr>
          <w:p>
            <w:pPr>
              <w:jc w:val="center"/>
            </w:pPr>
            <w:r>
              <w:rPr>
                <w:b w:val="false"/>
                <w:bCs w:val="false"/>
                <w:sz w:val="16"/>
                <w:szCs w:val="16"/>
              </w:rPr>
              <w:t xml:space="preserve">0.5</w:t>
            </w:r>
          </w:p>
        </w:tc>
        <w:tc>
          <w:tcPr>
            <w:tcW w:type="pct" w:w="15%"/>
            <w:shd w:fill="F2F2F2" w:color="F2F2F2" w:val="solid"/>
            <w:vAlign w:val="center"/>
          </w:tcPr>
          <w:p>
            <w:pPr>
              <w:jc w:val="center"/>
            </w:pPr>
            <w:r>
              <w:rPr>
                <w:b w:val="false"/>
                <w:bCs w:val="false"/>
                <w:sz w:val="16"/>
                <w:szCs w:val="16"/>
              </w:rPr>
              <w:t xml:space="preserve">1</w:t>
            </w:r>
          </w:p>
        </w:tc>
        <w:tc>
          <w:tcPr>
            <w:tcW w:type="pct" w:w="29%"/>
            <w:shd w:fill="F2F2F2" w:color="F2F2F2" w:val="solid"/>
            <w:vAlign w:val="center"/>
          </w:tcPr>
          <w:p>
            <w:pPr>
              <w:jc w:val="center"/>
            </w:pPr>
            <w:r>
              <w:rPr>
                <w:b/>
                <w:bCs/>
                <w:sz w:val="16"/>
                <w:szCs w:val="16"/>
              </w:rPr>
              <w:t xml:space="preserve">1.8</w:t>
            </w:r>
          </w:p>
        </w:tc>
      </w:tr>
      <w:tr>
        <w:tc>
          <w:tcPr>
            <w:tcW w:type="pct" w:w="26%"/>
            <w:shd w:fill="E2EFDA" w:color="E2EFDA" w:val="solid"/>
            <w:vAlign w:val="center"/>
          </w:tcPr>
          <w:p>
            <w:pPr>
              <w:jc w:val="left"/>
            </w:pPr>
            <w:r>
              <w:rPr>
                <w:b/>
                <w:bCs/>
                <w:sz w:val="16"/>
                <w:szCs w:val="16"/>
              </w:rPr>
              <w:t xml:space="preserve">With GenAI</w:t>
            </w:r>
          </w:p>
        </w:tc>
        <w:tc>
          <w:tcPr>
            <w:tcW w:type="pct" w:w="15%"/>
            <w:shd w:fill="E2EFDA" w:color="E2EFDA" w:val="solid"/>
            <w:vAlign w:val="center"/>
          </w:tcPr>
          <w:p>
            <w:pPr>
              <w:jc w:val="center"/>
            </w:pPr>
            <w:r>
              <w:rPr>
                <w:b w:val="false"/>
                <w:bCs w:val="false"/>
                <w:sz w:val="16"/>
                <w:szCs w:val="16"/>
              </w:rPr>
              <w:t xml:space="preserve">0.2</w:t>
            </w:r>
          </w:p>
        </w:tc>
        <w:tc>
          <w:tcPr>
            <w:tcW w:type="pct" w:w="15%"/>
            <w:shd w:fill="E2EFDA" w:color="E2EFDA" w:val="solid"/>
            <w:vAlign w:val="center"/>
          </w:tcPr>
          <w:p>
            <w:pPr>
              <w:jc w:val="center"/>
            </w:pPr>
            <w:r>
              <w:rPr>
                <w:b w:val="false"/>
                <w:bCs w:val="false"/>
                <w:sz w:val="16"/>
                <w:szCs w:val="16"/>
              </w:rPr>
              <w:t xml:space="preserve">0.3</w:t>
            </w:r>
          </w:p>
        </w:tc>
        <w:tc>
          <w:tcPr>
            <w:tcW w:type="pct" w:w="15%"/>
            <w:shd w:fill="E2EFDA" w:color="E2EFDA" w:val="solid"/>
            <w:vAlign w:val="center"/>
          </w:tcPr>
          <w:p>
            <w:pPr>
              <w:jc w:val="center"/>
            </w:pPr>
            <w:r>
              <w:rPr>
                <w:b w:val="false"/>
                <w:bCs w:val="false"/>
                <w:sz w:val="16"/>
                <w:szCs w:val="16"/>
              </w:rPr>
              <w:t xml:space="preserve">0.8</w:t>
            </w:r>
          </w:p>
        </w:tc>
        <w:tc>
          <w:tcPr>
            <w:tcW w:type="pct" w:w="29%"/>
            <w:shd w:fill="E2EFDA" w:color="E2EFDA" w:val="solid"/>
            <w:vAlign w:val="center"/>
          </w:tcPr>
          <w:p>
            <w:pPr>
              <w:jc w:val="center"/>
            </w:pPr>
            <w:r>
              <w:rPr>
                <w:b/>
                <w:bCs/>
                <w:sz w:val="16"/>
                <w:szCs w:val="16"/>
              </w:rPr>
              <w:t xml:space="preserve">1.3</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Same assumption as the IUT confidence score above — confirm the ready API returns a precomputed count, not raw break-history the FE must aggregate.</w:t>
      </w:r>
    </w:p>
    <w:p>
      <w:pPr>
        <w:spacing w:after="80" w:before="240"/>
      </w:pPr>
      <w:r>
        <w:rPr>
          <w:b/>
          <w:bCs/>
          <w:color w:val="2E5395"/>
          <w:sz w:val="23"/>
          <w:szCs w:val="23"/>
        </w:rPr>
        <w:t xml:space="preserve">S2.9  MOQ Break — new columns</w:t>
      </w:r>
    </w:p>
    <w:p>
      <w:pPr>
        <w:spacing w:after="60"/>
      </w:pPr>
      <w:r>
        <w:rPr>
          <w:b/>
          <w:bCs/>
          <w:sz w:val="19"/>
          <w:szCs w:val="19"/>
        </w:rPr>
        <w:t xml:space="preserve">Current prototype state: </w:t>
      </w:r>
      <w:r>
        <w:rPr>
          <w:sz w:val="19"/>
          <w:szCs w:val="19"/>
        </w:rPr>
        <w:t xml:space="preserve">Same MoqBreakContent.tsx table.</w:t>
      </w:r>
    </w:p>
    <w:p>
      <w:pPr>
        <w:spacing w:after="60"/>
      </w:pPr>
      <w:r>
        <w:rPr>
          <w:b/>
          <w:bCs/>
          <w:sz w:val="19"/>
          <w:szCs w:val="19"/>
        </w:rPr>
        <w:t xml:space="preserve">Requested change: </w:t>
      </w:r>
      <w:r>
        <w:rPr>
          <w:sz w:val="19"/>
          <w:szCs w:val="19"/>
        </w:rPr>
        <w:t xml:space="preserve">Add two columns: MOQ against material &amp; supplier, and minimum MOQ value observed in the last 12 months (both assumed ready-computed fields).</w:t>
      </w:r>
    </w:p>
    <w:p>
      <w:pPr>
        <w:spacing w:after="100"/>
      </w:pPr>
      <w:r>
        <w:rPr>
          <w:b/>
          <w:bCs/>
          <w:color w:val="2E7D32"/>
          <w:sz w:val="19"/>
          <w:szCs w:val="19"/>
        </w:rPr>
        <w:t xml:space="preserve">Prototype UI reused: 75% — </w:t>
      </w:r>
      <w:r>
        <w:rPr>
          <w:i/>
          <w:iCs/>
          <w:color w:val="2E7D32"/>
          <w:sz w:val="19"/>
          <w:szCs w:val="19"/>
        </w:rPr>
        <w:t xml:space="preserve">Two added columns on an existing table — high reuse.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6%"/>
            <w:shd w:fill="1F3864" w:color="1F3864" w:val="solid"/>
            <w:vAlign w:val="center"/>
          </w:tcPr>
          <w:p>
            <w:pPr>
              <w:jc w:val="center"/>
            </w:pPr>
            <w:r>
              <w:rPr>
                <w:b/>
                <w:bCs/>
                <w:color w:val="FFFFFF"/>
                <w:sz w:val="16"/>
                <w:szCs w:val="16"/>
              </w:rPr>
              <w:t xml:space="preserve"/>
            </w:r>
          </w:p>
        </w:tc>
        <w:tc>
          <w:tcPr>
            <w:tcW w:type="pct" w:w="15%"/>
            <w:shd w:fill="1F3864" w:color="1F3864" w:val="solid"/>
            <w:vAlign w:val="center"/>
          </w:tcPr>
          <w:p>
            <w:pPr>
              <w:jc w:val="center"/>
            </w:pPr>
            <w:r>
              <w:rPr>
                <w:b/>
                <w:bCs/>
                <w:color w:val="FFFFFF"/>
                <w:sz w:val="16"/>
                <w:szCs w:val="16"/>
              </w:rPr>
              <w:t xml:space="preserve">UI</w:t>
            </w:r>
          </w:p>
        </w:tc>
        <w:tc>
          <w:tcPr>
            <w:tcW w:type="pct" w:w="15%"/>
            <w:shd w:fill="1F3864" w:color="1F3864" w:val="solid"/>
            <w:vAlign w:val="center"/>
          </w:tcPr>
          <w:p>
            <w:pPr>
              <w:jc w:val="center"/>
            </w:pPr>
            <w:r>
              <w:rPr>
                <w:b/>
                <w:bCs/>
                <w:color w:val="FFFFFF"/>
                <w:sz w:val="16"/>
                <w:szCs w:val="16"/>
              </w:rPr>
              <w:t xml:space="preserve">Logic</w:t>
            </w:r>
          </w:p>
        </w:tc>
        <w:tc>
          <w:tcPr>
            <w:tcW w:type="pct" w:w="15%"/>
            <w:shd w:fill="1F3864" w:color="1F3864" w:val="solid"/>
            <w:vAlign w:val="center"/>
          </w:tcPr>
          <w:p>
            <w:pPr>
              <w:jc w:val="center"/>
            </w:pPr>
            <w:r>
              <w:rPr>
                <w:b/>
                <w:bCs/>
                <w:color w:val="FFFFFF"/>
                <w:sz w:val="16"/>
                <w:szCs w:val="16"/>
              </w:rPr>
              <w:t xml:space="preserve">FE Integration</w:t>
            </w:r>
          </w:p>
        </w:tc>
        <w:tc>
          <w:tcPr>
            <w:tcW w:type="pct" w:w="29%"/>
            <w:shd w:fill="1F3864" w:color="1F3864" w:val="solid"/>
            <w:vAlign w:val="center"/>
          </w:tcPr>
          <w:p>
            <w:pPr>
              <w:jc w:val="center"/>
            </w:pPr>
            <w:r>
              <w:rPr>
                <w:b/>
                <w:bCs/>
                <w:color w:val="FFFFFF"/>
                <w:sz w:val="16"/>
                <w:szCs w:val="16"/>
              </w:rPr>
              <w:t xml:space="preserve">Total (person-days)</w:t>
            </w:r>
          </w:p>
        </w:tc>
      </w:tr>
      <w:tr>
        <w:tc>
          <w:tcPr>
            <w:tcW w:type="pct" w:w="26%"/>
            <w:shd w:fill="F2F2F2" w:color="F2F2F2" w:val="solid"/>
            <w:vAlign w:val="center"/>
          </w:tcPr>
          <w:p>
            <w:pPr>
              <w:jc w:val="left"/>
            </w:pPr>
            <w:r>
              <w:rPr>
                <w:b/>
                <w:bCs/>
                <w:sz w:val="16"/>
                <w:szCs w:val="16"/>
              </w:rPr>
              <w:t xml:space="preserve">No GenAI</w:t>
            </w:r>
          </w:p>
        </w:tc>
        <w:tc>
          <w:tcPr>
            <w:tcW w:type="pct" w:w="15%"/>
            <w:shd w:fill="F2F2F2" w:color="F2F2F2" w:val="solid"/>
            <w:vAlign w:val="center"/>
          </w:tcPr>
          <w:p>
            <w:pPr>
              <w:jc w:val="center"/>
            </w:pPr>
            <w:r>
              <w:rPr>
                <w:b w:val="false"/>
                <w:bCs w:val="false"/>
                <w:sz w:val="16"/>
                <w:szCs w:val="16"/>
              </w:rPr>
              <w:t xml:space="preserve">0.3</w:t>
            </w:r>
          </w:p>
        </w:tc>
        <w:tc>
          <w:tcPr>
            <w:tcW w:type="pct" w:w="15%"/>
            <w:shd w:fill="F2F2F2" w:color="F2F2F2" w:val="solid"/>
            <w:vAlign w:val="center"/>
          </w:tcPr>
          <w:p>
            <w:pPr>
              <w:jc w:val="center"/>
            </w:pPr>
            <w:r>
              <w:rPr>
                <w:b w:val="false"/>
                <w:bCs w:val="false"/>
                <w:sz w:val="16"/>
                <w:szCs w:val="16"/>
              </w:rPr>
              <w:t xml:space="preserve">0.5</w:t>
            </w:r>
          </w:p>
        </w:tc>
        <w:tc>
          <w:tcPr>
            <w:tcW w:type="pct" w:w="15%"/>
            <w:shd w:fill="F2F2F2" w:color="F2F2F2" w:val="solid"/>
            <w:vAlign w:val="center"/>
          </w:tcPr>
          <w:p>
            <w:pPr>
              <w:jc w:val="center"/>
            </w:pPr>
            <w:r>
              <w:rPr>
                <w:b w:val="false"/>
                <w:bCs w:val="false"/>
                <w:sz w:val="16"/>
                <w:szCs w:val="16"/>
              </w:rPr>
              <w:t xml:space="preserve">0.5</w:t>
            </w:r>
          </w:p>
        </w:tc>
        <w:tc>
          <w:tcPr>
            <w:tcW w:type="pct" w:w="29%"/>
            <w:shd w:fill="F2F2F2" w:color="F2F2F2" w:val="solid"/>
            <w:vAlign w:val="center"/>
          </w:tcPr>
          <w:p>
            <w:pPr>
              <w:jc w:val="center"/>
            </w:pPr>
            <w:r>
              <w:rPr>
                <w:b/>
                <w:bCs/>
                <w:sz w:val="16"/>
                <w:szCs w:val="16"/>
              </w:rPr>
              <w:t xml:space="preserve">1.3</w:t>
            </w:r>
          </w:p>
        </w:tc>
      </w:tr>
      <w:tr>
        <w:tc>
          <w:tcPr>
            <w:tcW w:type="pct" w:w="26%"/>
            <w:shd w:fill="E2EFDA" w:color="E2EFDA" w:val="solid"/>
            <w:vAlign w:val="center"/>
          </w:tcPr>
          <w:p>
            <w:pPr>
              <w:jc w:val="left"/>
            </w:pPr>
            <w:r>
              <w:rPr>
                <w:b/>
                <w:bCs/>
                <w:sz w:val="16"/>
                <w:szCs w:val="16"/>
              </w:rPr>
              <w:t xml:space="preserve">With GenAI</w:t>
            </w:r>
          </w:p>
        </w:tc>
        <w:tc>
          <w:tcPr>
            <w:tcW w:type="pct" w:w="15%"/>
            <w:shd w:fill="E2EFDA" w:color="E2EFDA" w:val="solid"/>
            <w:vAlign w:val="center"/>
          </w:tcPr>
          <w:p>
            <w:pPr>
              <w:jc w:val="center"/>
            </w:pPr>
            <w:r>
              <w:rPr>
                <w:b w:val="false"/>
                <w:bCs w:val="false"/>
                <w:sz w:val="16"/>
                <w:szCs w:val="16"/>
              </w:rPr>
              <w:t xml:space="preserve">0.2</w:t>
            </w:r>
          </w:p>
        </w:tc>
        <w:tc>
          <w:tcPr>
            <w:tcW w:type="pct" w:w="15%"/>
            <w:shd w:fill="E2EFDA" w:color="E2EFDA" w:val="solid"/>
            <w:vAlign w:val="center"/>
          </w:tcPr>
          <w:p>
            <w:pPr>
              <w:jc w:val="center"/>
            </w:pPr>
            <w:r>
              <w:rPr>
                <w:b w:val="false"/>
                <w:bCs w:val="false"/>
                <w:sz w:val="16"/>
                <w:szCs w:val="16"/>
              </w:rPr>
              <w:t xml:space="preserve">0.3</w:t>
            </w:r>
          </w:p>
        </w:tc>
        <w:tc>
          <w:tcPr>
            <w:tcW w:type="pct" w:w="15%"/>
            <w:shd w:fill="E2EFDA" w:color="E2EFDA" w:val="solid"/>
            <w:vAlign w:val="center"/>
          </w:tcPr>
          <w:p>
            <w:pPr>
              <w:jc w:val="center"/>
            </w:pPr>
            <w:r>
              <w:rPr>
                <w:b w:val="false"/>
                <w:bCs w:val="false"/>
                <w:sz w:val="16"/>
                <w:szCs w:val="16"/>
              </w:rPr>
              <w:t xml:space="preserve">0.4</w:t>
            </w:r>
          </w:p>
        </w:tc>
        <w:tc>
          <w:tcPr>
            <w:tcW w:type="pct" w:w="29%"/>
            <w:shd w:fill="E2EFDA" w:color="E2EFDA" w:val="solid"/>
            <w:vAlign w:val="center"/>
          </w:tcPr>
          <w:p>
            <w:pPr>
              <w:jc w:val="center"/>
            </w:pPr>
            <w:r>
              <w:rPr>
                <w:b/>
                <w:bCs/>
                <w:sz w:val="16"/>
                <w:szCs w:val="16"/>
              </w:rPr>
              <w:t xml:space="preserve">0.9</w:t>
            </w:r>
          </w:p>
        </w:tc>
      </w:tr>
    </w:tbl>
    <w:p>
      <w:pPr>
        <w:spacing w:after="80" w:before="240"/>
      </w:pPr>
      <w:r>
        <w:rPr>
          <w:b/>
          <w:bCs/>
          <w:color w:val="2E5395"/>
          <w:sz w:val="23"/>
          <w:szCs w:val="23"/>
        </w:rPr>
        <w:t xml:space="preserve">S2.10  Customise Inputs</w:t>
      </w:r>
    </w:p>
    <w:p>
      <w:pPr>
        <w:spacing w:after="60"/>
      </w:pPr>
      <w:r>
        <w:rPr>
          <w:b/>
          <w:bCs/>
          <w:sz w:val="19"/>
          <w:szCs w:val="19"/>
        </w:rPr>
        <w:t xml:space="preserve">Current prototype state: </w:t>
      </w:r>
      <w:r>
        <w:rPr>
          <w:sz w:val="19"/>
          <w:szCs w:val="19"/>
        </w:rPr>
        <w:t xml:space="preserve">MaterialScopeContent.tsx: a 5-column table grouped by Old CBU with a per-material 'Considered for downstocking' checkbox. (A dead, superseded inline MaterialScopeContentOld also still sits unused inside SimulationAssumptionsStep.tsx.)</w:t>
      </w:r>
    </w:p>
    <w:p>
      <w:pPr>
        <w:spacing w:after="60"/>
      </w:pPr>
      <w:r>
        <w:rPr>
          <w:b/>
          <w:bCs/>
          <w:sz w:val="19"/>
          <w:szCs w:val="19"/>
        </w:rPr>
        <w:t xml:space="preserve">Requested change: </w:t>
      </w:r>
      <w:r>
        <w:rPr>
          <w:sz w:val="19"/>
          <w:szCs w:val="19"/>
        </w:rPr>
        <w:t xml:space="preserve">Add a supplier-feedstock row item below supplier inventory. Add a UOM column against every RMPM header. Source notes flag an explicit open point: should CBU be included as a dimension here.</w:t>
      </w:r>
    </w:p>
    <w:p>
      <w:pPr>
        <w:spacing w:after="100"/>
      </w:pPr>
      <w:r>
        <w:rPr>
          <w:b/>
          <w:bCs/>
          <w:color w:val="2E7D32"/>
          <w:sz w:val="19"/>
          <w:szCs w:val="19"/>
        </w:rPr>
        <w:t xml:space="preserve">Prototype UI reused: 70% — </w:t>
      </w:r>
      <w:r>
        <w:rPr>
          <w:i/>
          <w:iCs/>
          <w:color w:val="2E7D32"/>
          <w:sz w:val="19"/>
          <w:szCs w:val="19"/>
        </w:rPr>
        <w:t xml:space="preserve">Row + column additions to an existing, working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6%"/>
            <w:shd w:fill="1F3864" w:color="1F3864" w:val="solid"/>
            <w:vAlign w:val="center"/>
          </w:tcPr>
          <w:p>
            <w:pPr>
              <w:jc w:val="center"/>
            </w:pPr>
            <w:r>
              <w:rPr>
                <w:b/>
                <w:bCs/>
                <w:color w:val="FFFFFF"/>
                <w:sz w:val="16"/>
                <w:szCs w:val="16"/>
              </w:rPr>
              <w:t xml:space="preserve"/>
            </w:r>
          </w:p>
        </w:tc>
        <w:tc>
          <w:tcPr>
            <w:tcW w:type="pct" w:w="15%"/>
            <w:shd w:fill="1F3864" w:color="1F3864" w:val="solid"/>
            <w:vAlign w:val="center"/>
          </w:tcPr>
          <w:p>
            <w:pPr>
              <w:jc w:val="center"/>
            </w:pPr>
            <w:r>
              <w:rPr>
                <w:b/>
                <w:bCs/>
                <w:color w:val="FFFFFF"/>
                <w:sz w:val="16"/>
                <w:szCs w:val="16"/>
              </w:rPr>
              <w:t xml:space="preserve">UI</w:t>
            </w:r>
          </w:p>
        </w:tc>
        <w:tc>
          <w:tcPr>
            <w:tcW w:type="pct" w:w="15%"/>
            <w:shd w:fill="1F3864" w:color="1F3864" w:val="solid"/>
            <w:vAlign w:val="center"/>
          </w:tcPr>
          <w:p>
            <w:pPr>
              <w:jc w:val="center"/>
            </w:pPr>
            <w:r>
              <w:rPr>
                <w:b/>
                <w:bCs/>
                <w:color w:val="FFFFFF"/>
                <w:sz w:val="16"/>
                <w:szCs w:val="16"/>
              </w:rPr>
              <w:t xml:space="preserve">Logic</w:t>
            </w:r>
          </w:p>
        </w:tc>
        <w:tc>
          <w:tcPr>
            <w:tcW w:type="pct" w:w="15%"/>
            <w:shd w:fill="1F3864" w:color="1F3864" w:val="solid"/>
            <w:vAlign w:val="center"/>
          </w:tcPr>
          <w:p>
            <w:pPr>
              <w:jc w:val="center"/>
            </w:pPr>
            <w:r>
              <w:rPr>
                <w:b/>
                <w:bCs/>
                <w:color w:val="FFFFFF"/>
                <w:sz w:val="16"/>
                <w:szCs w:val="16"/>
              </w:rPr>
              <w:t xml:space="preserve">FE Integration</w:t>
            </w:r>
          </w:p>
        </w:tc>
        <w:tc>
          <w:tcPr>
            <w:tcW w:type="pct" w:w="29%"/>
            <w:shd w:fill="1F3864" w:color="1F3864" w:val="solid"/>
            <w:vAlign w:val="center"/>
          </w:tcPr>
          <w:p>
            <w:pPr>
              <w:jc w:val="center"/>
            </w:pPr>
            <w:r>
              <w:rPr>
                <w:b/>
                <w:bCs/>
                <w:color w:val="FFFFFF"/>
                <w:sz w:val="16"/>
                <w:szCs w:val="16"/>
              </w:rPr>
              <w:t xml:space="preserve">Total (person-days)</w:t>
            </w:r>
          </w:p>
        </w:tc>
      </w:tr>
      <w:tr>
        <w:tc>
          <w:tcPr>
            <w:tcW w:type="pct" w:w="26%"/>
            <w:shd w:fill="F2F2F2" w:color="F2F2F2" w:val="solid"/>
            <w:vAlign w:val="center"/>
          </w:tcPr>
          <w:p>
            <w:pPr>
              <w:jc w:val="left"/>
            </w:pPr>
            <w:r>
              <w:rPr>
                <w:b/>
                <w:bCs/>
                <w:sz w:val="16"/>
                <w:szCs w:val="16"/>
              </w:rPr>
              <w:t xml:space="preserve">No GenAI</w:t>
            </w:r>
          </w:p>
        </w:tc>
        <w:tc>
          <w:tcPr>
            <w:tcW w:type="pct" w:w="15%"/>
            <w:shd w:fill="F2F2F2" w:color="F2F2F2" w:val="solid"/>
            <w:vAlign w:val="center"/>
          </w:tcPr>
          <w:p>
            <w:pPr>
              <w:jc w:val="center"/>
            </w:pPr>
            <w:r>
              <w:rPr>
                <w:b w:val="false"/>
                <w:bCs w:val="false"/>
                <w:sz w:val="16"/>
                <w:szCs w:val="16"/>
              </w:rPr>
              <w:t xml:space="preserve">0.5</w:t>
            </w:r>
          </w:p>
        </w:tc>
        <w:tc>
          <w:tcPr>
            <w:tcW w:type="pct" w:w="15%"/>
            <w:shd w:fill="F2F2F2" w:color="F2F2F2" w:val="solid"/>
            <w:vAlign w:val="center"/>
          </w:tcPr>
          <w:p>
            <w:pPr>
              <w:jc w:val="center"/>
            </w:pPr>
            <w:r>
              <w:rPr>
                <w:b w:val="false"/>
                <w:bCs w:val="false"/>
                <w:sz w:val="16"/>
                <w:szCs w:val="16"/>
              </w:rPr>
              <w:t xml:space="preserve">0.5</w:t>
            </w:r>
          </w:p>
        </w:tc>
        <w:tc>
          <w:tcPr>
            <w:tcW w:type="pct" w:w="15%"/>
            <w:shd w:fill="F2F2F2" w:color="F2F2F2" w:val="solid"/>
            <w:vAlign w:val="center"/>
          </w:tcPr>
          <w:p>
            <w:pPr>
              <w:jc w:val="center"/>
            </w:pPr>
            <w:r>
              <w:rPr>
                <w:b w:val="false"/>
                <w:bCs w:val="false"/>
                <w:sz w:val="16"/>
                <w:szCs w:val="16"/>
              </w:rPr>
              <w:t xml:space="preserve">0.5</w:t>
            </w:r>
          </w:p>
        </w:tc>
        <w:tc>
          <w:tcPr>
            <w:tcW w:type="pct" w:w="29%"/>
            <w:shd w:fill="F2F2F2" w:color="F2F2F2" w:val="solid"/>
            <w:vAlign w:val="center"/>
          </w:tcPr>
          <w:p>
            <w:pPr>
              <w:jc w:val="center"/>
            </w:pPr>
            <w:r>
              <w:rPr>
                <w:b/>
                <w:bCs/>
                <w:sz w:val="16"/>
                <w:szCs w:val="16"/>
              </w:rPr>
              <w:t xml:space="preserve">1.5</w:t>
            </w:r>
          </w:p>
        </w:tc>
      </w:tr>
      <w:tr>
        <w:tc>
          <w:tcPr>
            <w:tcW w:type="pct" w:w="26%"/>
            <w:shd w:fill="E2EFDA" w:color="E2EFDA" w:val="solid"/>
            <w:vAlign w:val="center"/>
          </w:tcPr>
          <w:p>
            <w:pPr>
              <w:jc w:val="left"/>
            </w:pPr>
            <w:r>
              <w:rPr>
                <w:b/>
                <w:bCs/>
                <w:sz w:val="16"/>
                <w:szCs w:val="16"/>
              </w:rPr>
              <w:t xml:space="preserve">With GenAI</w:t>
            </w:r>
          </w:p>
        </w:tc>
        <w:tc>
          <w:tcPr>
            <w:tcW w:type="pct" w:w="15%"/>
            <w:shd w:fill="E2EFDA" w:color="E2EFDA" w:val="solid"/>
            <w:vAlign w:val="center"/>
          </w:tcPr>
          <w:p>
            <w:pPr>
              <w:jc w:val="center"/>
            </w:pPr>
            <w:r>
              <w:rPr>
                <w:b w:val="false"/>
                <w:bCs w:val="false"/>
                <w:sz w:val="16"/>
                <w:szCs w:val="16"/>
              </w:rPr>
              <w:t xml:space="preserve">0.3</w:t>
            </w:r>
          </w:p>
        </w:tc>
        <w:tc>
          <w:tcPr>
            <w:tcW w:type="pct" w:w="15%"/>
            <w:shd w:fill="E2EFDA" w:color="E2EFDA" w:val="solid"/>
            <w:vAlign w:val="center"/>
          </w:tcPr>
          <w:p>
            <w:pPr>
              <w:jc w:val="center"/>
            </w:pPr>
            <w:r>
              <w:rPr>
                <w:b w:val="false"/>
                <w:bCs w:val="false"/>
                <w:sz w:val="16"/>
                <w:szCs w:val="16"/>
              </w:rPr>
              <w:t xml:space="preserve">0.3</w:t>
            </w:r>
          </w:p>
        </w:tc>
        <w:tc>
          <w:tcPr>
            <w:tcW w:type="pct" w:w="15%"/>
            <w:shd w:fill="E2EFDA" w:color="E2EFDA" w:val="solid"/>
            <w:vAlign w:val="center"/>
          </w:tcPr>
          <w:p>
            <w:pPr>
              <w:jc w:val="center"/>
            </w:pPr>
            <w:r>
              <w:rPr>
                <w:b w:val="false"/>
                <w:bCs w:val="false"/>
                <w:sz w:val="16"/>
                <w:szCs w:val="16"/>
              </w:rPr>
              <w:t xml:space="preserve">0.4</w:t>
            </w:r>
          </w:p>
        </w:tc>
        <w:tc>
          <w:tcPr>
            <w:tcW w:type="pct" w:w="29%"/>
            <w:shd w:fill="E2EFDA" w:color="E2EFDA" w:val="solid"/>
            <w:vAlign w:val="center"/>
          </w:tcPr>
          <w:p>
            <w:pPr>
              <w:jc w:val="center"/>
            </w:pPr>
            <w:r>
              <w:rPr>
                <w:b/>
                <w:bCs/>
                <w:sz w:val="16"/>
                <w:szCs w:val="16"/>
              </w:rPr>
              <w:t xml:space="preserve">1</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Explicitly marked as an open point in the review notes: inclusion of CBU in Customise Inputs is undecided. No effort included for this until scoped.</w:t>
      </w:r>
    </w:p>
    <w:p>
      <w:pPr>
        <w:pageBreakBefore/>
        <w:spacing w:after="150"/>
      </w:pPr>
      <w:r>
        <w:rPr>
          <w:b/>
          <w:bCs/>
          <w:color w:val="1F3864"/>
          <w:sz w:val="30"/>
          <w:szCs w:val="30"/>
        </w:rPr>
        <w:t xml:space="preserve">Step 3 — Scenario Comparison &amp; Procure</w:t>
      </w:r>
    </w:p>
    <w:p>
      <w:pPr>
        <w:spacing w:after="200"/>
      </w:pPr>
      <w:r>
        <w:rPr>
          <w:sz w:val="20"/>
          <w:szCs w:val="20"/>
        </w:rPr>
        <w:t xml:space="preserve">Most Step 3 changes are relabels or column removals on ScenarioDetailTable.tsx — very high reuse. Lane availability is the one genuinely new capability, so it reuses the least.</w:t>
      </w:r>
    </w:p>
    <w:p>
      <w:pPr>
        <w:spacing w:after="80" w:before="240"/>
      </w:pPr>
      <w:r>
        <w:rPr>
          <w:b/>
          <w:bCs/>
          <w:color w:val="2E5395"/>
          <w:sz w:val="23"/>
          <w:szCs w:val="23"/>
        </w:rPr>
        <w:t xml:space="preserve">S3.1  Rename "Procurement" → "Procure"</w:t>
      </w:r>
    </w:p>
    <w:p>
      <w:pPr>
        <w:spacing w:after="60"/>
      </w:pPr>
      <w:r>
        <w:rPr>
          <w:b/>
          <w:bCs/>
          <w:sz w:val="19"/>
          <w:szCs w:val="19"/>
        </w:rPr>
        <w:t xml:space="preserve">Current prototype state: </w:t>
      </w:r>
      <w:r>
        <w:rPr>
          <w:sz w:val="19"/>
          <w:szCs w:val="19"/>
        </w:rPr>
        <w:t xml:space="preserve">The SCENARIOS constant hardcodes 'Procurement' (id 'moq'), feeding compound labels like 'IUT + Procurement'. Used as display text across ScenarioComparisonStep.tsx and its detail views.</w:t>
      </w:r>
    </w:p>
    <w:p>
      <w:pPr>
        <w:spacing w:after="60"/>
      </w:pPr>
      <w:r>
        <w:rPr>
          <w:b/>
          <w:bCs/>
          <w:sz w:val="19"/>
          <w:szCs w:val="19"/>
        </w:rPr>
        <w:t xml:space="preserve">Requested change: </w:t>
      </w:r>
      <w:r>
        <w:rPr>
          <w:sz w:val="19"/>
          <w:szCs w:val="19"/>
        </w:rPr>
        <w:t xml:space="preserve">Change the standalone scenario's display name to 'Procure' everywhere it appears — a pure label change, since the underlying id and API contract are unaffected.</w:t>
      </w:r>
    </w:p>
    <w:p>
      <w:pPr>
        <w:spacing w:after="100"/>
      </w:pPr>
      <w:r>
        <w:rPr>
          <w:b/>
          <w:bCs/>
          <w:color w:val="2E7D32"/>
          <w:sz w:val="19"/>
          <w:szCs w:val="19"/>
        </w:rPr>
        <w:t xml:space="preserve">Prototype UI reused: 95% — </w:t>
      </w:r>
      <w:r>
        <w:rPr>
          <w:i/>
          <w:iCs/>
          <w:color w:val="2E7D32"/>
          <w:sz w:val="19"/>
          <w:szCs w:val="19"/>
        </w:rPr>
        <w:t xml:space="preserve">Pure string change — near-total reuse.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6%"/>
            <w:shd w:fill="1F3864" w:color="1F3864" w:val="solid"/>
            <w:vAlign w:val="center"/>
          </w:tcPr>
          <w:p>
            <w:pPr>
              <w:jc w:val="center"/>
            </w:pPr>
            <w:r>
              <w:rPr>
                <w:b/>
                <w:bCs/>
                <w:color w:val="FFFFFF"/>
                <w:sz w:val="16"/>
                <w:szCs w:val="16"/>
              </w:rPr>
              <w:t xml:space="preserve"/>
            </w:r>
          </w:p>
        </w:tc>
        <w:tc>
          <w:tcPr>
            <w:tcW w:type="pct" w:w="15%"/>
            <w:shd w:fill="1F3864" w:color="1F3864" w:val="solid"/>
            <w:vAlign w:val="center"/>
          </w:tcPr>
          <w:p>
            <w:pPr>
              <w:jc w:val="center"/>
            </w:pPr>
            <w:r>
              <w:rPr>
                <w:b/>
                <w:bCs/>
                <w:color w:val="FFFFFF"/>
                <w:sz w:val="16"/>
                <w:szCs w:val="16"/>
              </w:rPr>
              <w:t xml:space="preserve">UI</w:t>
            </w:r>
          </w:p>
        </w:tc>
        <w:tc>
          <w:tcPr>
            <w:tcW w:type="pct" w:w="15%"/>
            <w:shd w:fill="1F3864" w:color="1F3864" w:val="solid"/>
            <w:vAlign w:val="center"/>
          </w:tcPr>
          <w:p>
            <w:pPr>
              <w:jc w:val="center"/>
            </w:pPr>
            <w:r>
              <w:rPr>
                <w:b/>
                <w:bCs/>
                <w:color w:val="FFFFFF"/>
                <w:sz w:val="16"/>
                <w:szCs w:val="16"/>
              </w:rPr>
              <w:t xml:space="preserve">Logic</w:t>
            </w:r>
          </w:p>
        </w:tc>
        <w:tc>
          <w:tcPr>
            <w:tcW w:type="pct" w:w="15%"/>
            <w:shd w:fill="1F3864" w:color="1F3864" w:val="solid"/>
            <w:vAlign w:val="center"/>
          </w:tcPr>
          <w:p>
            <w:pPr>
              <w:jc w:val="center"/>
            </w:pPr>
            <w:r>
              <w:rPr>
                <w:b/>
                <w:bCs/>
                <w:color w:val="FFFFFF"/>
                <w:sz w:val="16"/>
                <w:szCs w:val="16"/>
              </w:rPr>
              <w:t xml:space="preserve">FE Integration</w:t>
            </w:r>
          </w:p>
        </w:tc>
        <w:tc>
          <w:tcPr>
            <w:tcW w:type="pct" w:w="29%"/>
            <w:shd w:fill="1F3864" w:color="1F3864" w:val="solid"/>
            <w:vAlign w:val="center"/>
          </w:tcPr>
          <w:p>
            <w:pPr>
              <w:jc w:val="center"/>
            </w:pPr>
            <w:r>
              <w:rPr>
                <w:b/>
                <w:bCs/>
                <w:color w:val="FFFFFF"/>
                <w:sz w:val="16"/>
                <w:szCs w:val="16"/>
              </w:rPr>
              <w:t xml:space="preserve">Total (person-days)</w:t>
            </w:r>
          </w:p>
        </w:tc>
      </w:tr>
      <w:tr>
        <w:tc>
          <w:tcPr>
            <w:tcW w:type="pct" w:w="26%"/>
            <w:shd w:fill="F2F2F2" w:color="F2F2F2" w:val="solid"/>
            <w:vAlign w:val="center"/>
          </w:tcPr>
          <w:p>
            <w:pPr>
              <w:jc w:val="left"/>
            </w:pPr>
            <w:r>
              <w:rPr>
                <w:b/>
                <w:bCs/>
                <w:sz w:val="16"/>
                <w:szCs w:val="16"/>
              </w:rPr>
              <w:t xml:space="preserve">No GenAI</w:t>
            </w:r>
          </w:p>
        </w:tc>
        <w:tc>
          <w:tcPr>
            <w:tcW w:type="pct" w:w="15%"/>
            <w:shd w:fill="F2F2F2" w:color="F2F2F2" w:val="solid"/>
            <w:vAlign w:val="center"/>
          </w:tcPr>
          <w:p>
            <w:pPr>
              <w:jc w:val="center"/>
            </w:pPr>
            <w:r>
              <w:rPr>
                <w:b w:val="false"/>
                <w:bCs w:val="false"/>
                <w:sz w:val="16"/>
                <w:szCs w:val="16"/>
              </w:rPr>
              <w:t xml:space="preserve">0</w:t>
            </w:r>
          </w:p>
        </w:tc>
        <w:tc>
          <w:tcPr>
            <w:tcW w:type="pct" w:w="15%"/>
            <w:shd w:fill="F2F2F2" w:color="F2F2F2" w:val="solid"/>
            <w:vAlign w:val="center"/>
          </w:tcPr>
          <w:p>
            <w:pPr>
              <w:jc w:val="center"/>
            </w:pPr>
            <w:r>
              <w:rPr>
                <w:b w:val="false"/>
                <w:bCs w:val="false"/>
                <w:sz w:val="16"/>
                <w:szCs w:val="16"/>
              </w:rPr>
              <w:t xml:space="preserve">0.5</w:t>
            </w:r>
          </w:p>
        </w:tc>
        <w:tc>
          <w:tcPr>
            <w:tcW w:type="pct" w:w="15%"/>
            <w:shd w:fill="F2F2F2" w:color="F2F2F2" w:val="solid"/>
            <w:vAlign w:val="center"/>
          </w:tcPr>
          <w:p>
            <w:pPr>
              <w:jc w:val="center"/>
            </w:pPr>
            <w:r>
              <w:rPr>
                <w:b w:val="false"/>
                <w:bCs w:val="false"/>
                <w:sz w:val="16"/>
                <w:szCs w:val="16"/>
              </w:rPr>
              <w:t xml:space="preserve">0</w:t>
            </w:r>
          </w:p>
        </w:tc>
        <w:tc>
          <w:tcPr>
            <w:tcW w:type="pct" w:w="29%"/>
            <w:shd w:fill="F2F2F2" w:color="F2F2F2" w:val="solid"/>
            <w:vAlign w:val="center"/>
          </w:tcPr>
          <w:p>
            <w:pPr>
              <w:jc w:val="center"/>
            </w:pPr>
            <w:r>
              <w:rPr>
                <w:b/>
                <w:bCs/>
                <w:sz w:val="16"/>
                <w:szCs w:val="16"/>
              </w:rPr>
              <w:t xml:space="preserve">0.5</w:t>
            </w:r>
          </w:p>
        </w:tc>
      </w:tr>
      <w:tr>
        <w:tc>
          <w:tcPr>
            <w:tcW w:type="pct" w:w="26%"/>
            <w:shd w:fill="E2EFDA" w:color="E2EFDA" w:val="solid"/>
            <w:vAlign w:val="center"/>
          </w:tcPr>
          <w:p>
            <w:pPr>
              <w:jc w:val="left"/>
            </w:pPr>
            <w:r>
              <w:rPr>
                <w:b/>
                <w:bCs/>
                <w:sz w:val="16"/>
                <w:szCs w:val="16"/>
              </w:rPr>
              <w:t xml:space="preserve">With GenAI</w:t>
            </w:r>
          </w:p>
        </w:tc>
        <w:tc>
          <w:tcPr>
            <w:tcW w:type="pct" w:w="15%"/>
            <w:shd w:fill="E2EFDA" w:color="E2EFDA" w:val="solid"/>
            <w:vAlign w:val="center"/>
          </w:tcPr>
          <w:p>
            <w:pPr>
              <w:jc w:val="center"/>
            </w:pPr>
            <w:r>
              <w:rPr>
                <w:b w:val="false"/>
                <w:bCs w:val="false"/>
                <w:sz w:val="16"/>
                <w:szCs w:val="16"/>
              </w:rPr>
              <w:t xml:space="preserve">0</w:t>
            </w:r>
          </w:p>
        </w:tc>
        <w:tc>
          <w:tcPr>
            <w:tcW w:type="pct" w:w="15%"/>
            <w:shd w:fill="E2EFDA" w:color="E2EFDA" w:val="solid"/>
            <w:vAlign w:val="center"/>
          </w:tcPr>
          <w:p>
            <w:pPr>
              <w:jc w:val="center"/>
            </w:pPr>
            <w:r>
              <w:rPr>
                <w:b w:val="false"/>
                <w:bCs w:val="false"/>
                <w:sz w:val="16"/>
                <w:szCs w:val="16"/>
              </w:rPr>
              <w:t xml:space="preserve">0.3</w:t>
            </w:r>
          </w:p>
        </w:tc>
        <w:tc>
          <w:tcPr>
            <w:tcW w:type="pct" w:w="15%"/>
            <w:shd w:fill="E2EFDA" w:color="E2EFDA" w:val="solid"/>
            <w:vAlign w:val="center"/>
          </w:tcPr>
          <w:p>
            <w:pPr>
              <w:jc w:val="center"/>
            </w:pPr>
            <w:r>
              <w:rPr>
                <w:b w:val="false"/>
                <w:bCs w:val="false"/>
                <w:sz w:val="16"/>
                <w:szCs w:val="16"/>
              </w:rPr>
              <w:t xml:space="preserve">0</w:t>
            </w:r>
          </w:p>
        </w:tc>
        <w:tc>
          <w:tcPr>
            <w:tcW w:type="pct" w:w="29%"/>
            <w:shd w:fill="E2EFDA" w:color="E2EFDA" w:val="solid"/>
            <w:vAlign w:val="center"/>
          </w:tcPr>
          <w:p>
            <w:pPr>
              <w:jc w:val="center"/>
            </w:pPr>
            <w:r>
              <w:rPr>
                <w:b/>
                <w:bCs/>
                <w:sz w:val="16"/>
                <w:szCs w:val="16"/>
              </w:rPr>
              <w:t xml:space="preserve">0.3</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Confirm whether every 'Procurement' occurrence becomes 'Procure' (including compound labels and table headers), or only the standalone scenario name.</w:t>
      </w:r>
    </w:p>
    <w:p>
      <w:pPr>
        <w:spacing w:after="80" w:before="240"/>
      </w:pPr>
      <w:r>
        <w:rPr>
          <w:b/>
          <w:bCs/>
          <w:color w:val="2E5395"/>
          <w:sz w:val="23"/>
          <w:szCs w:val="23"/>
        </w:rPr>
        <w:t xml:space="preserve">S3.2  IUT + Procurement — "Total cost" → "IUT cost"</w:t>
      </w:r>
    </w:p>
    <w:p>
      <w:pPr>
        <w:spacing w:after="60"/>
      </w:pPr>
      <w:r>
        <w:rPr>
          <w:b/>
          <w:bCs/>
          <w:sz w:val="19"/>
          <w:szCs w:val="19"/>
        </w:rPr>
        <w:t xml:space="preserve">Current prototype state: </w:t>
      </w:r>
      <w:r>
        <w:rPr>
          <w:sz w:val="19"/>
          <w:szCs w:val="19"/>
        </w:rPr>
        <w:t xml:space="preserve">ScenarioDetailTable.tsx renders a 'Total cost' stat tile per scenario. No FE-side calculation exists — figures are bound from the SCENARIOS data source today.</w:t>
      </w:r>
    </w:p>
    <w:p>
      <w:pPr>
        <w:spacing w:after="60"/>
      </w:pPr>
      <w:r>
        <w:rPr>
          <w:b/>
          <w:bCs/>
          <w:sz w:val="19"/>
          <w:szCs w:val="19"/>
        </w:rPr>
        <w:t xml:space="preserve">Requested change: </w:t>
      </w:r>
      <w:r>
        <w:rPr>
          <w:sz w:val="19"/>
          <w:szCs w:val="19"/>
        </w:rPr>
        <w:t xml:space="preserve">Relabel the tile 'IUT cost' and bind it to the ready API's IUT-only cost field (assumed to already be a separate figure from blended/procurement cost).</w:t>
      </w:r>
    </w:p>
    <w:p>
      <w:pPr>
        <w:spacing w:after="100"/>
      </w:pPr>
      <w:r>
        <w:rPr>
          <w:b/>
          <w:bCs/>
          <w:color w:val="2E7D32"/>
          <w:sz w:val="19"/>
          <w:szCs w:val="19"/>
        </w:rPr>
        <w:t xml:space="preserve">Prototype UI reused: 70% — </w:t>
      </w:r>
      <w:r>
        <w:rPr>
          <w:i/>
          <w:iCs/>
          <w:color w:val="2E7D32"/>
          <w:sz w:val="19"/>
          <w:szCs w:val="19"/>
        </w:rPr>
        <w:t xml:space="preserve">Same stat-tile component, relabeled and rebound to a different field.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6%"/>
            <w:shd w:fill="1F3864" w:color="1F3864" w:val="solid"/>
            <w:vAlign w:val="center"/>
          </w:tcPr>
          <w:p>
            <w:pPr>
              <w:jc w:val="center"/>
            </w:pPr>
            <w:r>
              <w:rPr>
                <w:b/>
                <w:bCs/>
                <w:color w:val="FFFFFF"/>
                <w:sz w:val="16"/>
                <w:szCs w:val="16"/>
              </w:rPr>
              <w:t xml:space="preserve"/>
            </w:r>
          </w:p>
        </w:tc>
        <w:tc>
          <w:tcPr>
            <w:tcW w:type="pct" w:w="15%"/>
            <w:shd w:fill="1F3864" w:color="1F3864" w:val="solid"/>
            <w:vAlign w:val="center"/>
          </w:tcPr>
          <w:p>
            <w:pPr>
              <w:jc w:val="center"/>
            </w:pPr>
            <w:r>
              <w:rPr>
                <w:b/>
                <w:bCs/>
                <w:color w:val="FFFFFF"/>
                <w:sz w:val="16"/>
                <w:szCs w:val="16"/>
              </w:rPr>
              <w:t xml:space="preserve">UI</w:t>
            </w:r>
          </w:p>
        </w:tc>
        <w:tc>
          <w:tcPr>
            <w:tcW w:type="pct" w:w="15%"/>
            <w:shd w:fill="1F3864" w:color="1F3864" w:val="solid"/>
            <w:vAlign w:val="center"/>
          </w:tcPr>
          <w:p>
            <w:pPr>
              <w:jc w:val="center"/>
            </w:pPr>
            <w:r>
              <w:rPr>
                <w:b/>
                <w:bCs/>
                <w:color w:val="FFFFFF"/>
                <w:sz w:val="16"/>
                <w:szCs w:val="16"/>
              </w:rPr>
              <w:t xml:space="preserve">Logic</w:t>
            </w:r>
          </w:p>
        </w:tc>
        <w:tc>
          <w:tcPr>
            <w:tcW w:type="pct" w:w="15%"/>
            <w:shd w:fill="1F3864" w:color="1F3864" w:val="solid"/>
            <w:vAlign w:val="center"/>
          </w:tcPr>
          <w:p>
            <w:pPr>
              <w:jc w:val="center"/>
            </w:pPr>
            <w:r>
              <w:rPr>
                <w:b/>
                <w:bCs/>
                <w:color w:val="FFFFFF"/>
                <w:sz w:val="16"/>
                <w:szCs w:val="16"/>
              </w:rPr>
              <w:t xml:space="preserve">FE Integration</w:t>
            </w:r>
          </w:p>
        </w:tc>
        <w:tc>
          <w:tcPr>
            <w:tcW w:type="pct" w:w="29%"/>
            <w:shd w:fill="1F3864" w:color="1F3864" w:val="solid"/>
            <w:vAlign w:val="center"/>
          </w:tcPr>
          <w:p>
            <w:pPr>
              <w:jc w:val="center"/>
            </w:pPr>
            <w:r>
              <w:rPr>
                <w:b/>
                <w:bCs/>
                <w:color w:val="FFFFFF"/>
                <w:sz w:val="16"/>
                <w:szCs w:val="16"/>
              </w:rPr>
              <w:t xml:space="preserve">Total (person-days)</w:t>
            </w:r>
          </w:p>
        </w:tc>
      </w:tr>
      <w:tr>
        <w:tc>
          <w:tcPr>
            <w:tcW w:type="pct" w:w="26%"/>
            <w:shd w:fill="F2F2F2" w:color="F2F2F2" w:val="solid"/>
            <w:vAlign w:val="center"/>
          </w:tcPr>
          <w:p>
            <w:pPr>
              <w:jc w:val="left"/>
            </w:pPr>
            <w:r>
              <w:rPr>
                <w:b/>
                <w:bCs/>
                <w:sz w:val="16"/>
                <w:szCs w:val="16"/>
              </w:rPr>
              <w:t xml:space="preserve">No GenAI</w:t>
            </w:r>
          </w:p>
        </w:tc>
        <w:tc>
          <w:tcPr>
            <w:tcW w:type="pct" w:w="15%"/>
            <w:shd w:fill="F2F2F2" w:color="F2F2F2" w:val="solid"/>
            <w:vAlign w:val="center"/>
          </w:tcPr>
          <w:p>
            <w:pPr>
              <w:jc w:val="center"/>
            </w:pPr>
            <w:r>
              <w:rPr>
                <w:b w:val="false"/>
                <w:bCs w:val="false"/>
                <w:sz w:val="16"/>
                <w:szCs w:val="16"/>
              </w:rPr>
              <w:t xml:space="preserve">0.3</w:t>
            </w:r>
          </w:p>
        </w:tc>
        <w:tc>
          <w:tcPr>
            <w:tcW w:type="pct" w:w="15%"/>
            <w:shd w:fill="F2F2F2" w:color="F2F2F2" w:val="solid"/>
            <w:vAlign w:val="center"/>
          </w:tcPr>
          <w:p>
            <w:pPr>
              <w:jc w:val="center"/>
            </w:pPr>
            <w:r>
              <w:rPr>
                <w:b w:val="false"/>
                <w:bCs w:val="false"/>
                <w:sz w:val="16"/>
                <w:szCs w:val="16"/>
              </w:rPr>
              <w:t xml:space="preserve">0.5</w:t>
            </w:r>
          </w:p>
        </w:tc>
        <w:tc>
          <w:tcPr>
            <w:tcW w:type="pct" w:w="15%"/>
            <w:shd w:fill="F2F2F2" w:color="F2F2F2" w:val="solid"/>
            <w:vAlign w:val="center"/>
          </w:tcPr>
          <w:p>
            <w:pPr>
              <w:jc w:val="center"/>
            </w:pPr>
            <w:r>
              <w:rPr>
                <w:b w:val="false"/>
                <w:bCs w:val="false"/>
                <w:sz w:val="16"/>
                <w:szCs w:val="16"/>
              </w:rPr>
              <w:t xml:space="preserve">0.5</w:t>
            </w:r>
          </w:p>
        </w:tc>
        <w:tc>
          <w:tcPr>
            <w:tcW w:type="pct" w:w="29%"/>
            <w:shd w:fill="F2F2F2" w:color="F2F2F2" w:val="solid"/>
            <w:vAlign w:val="center"/>
          </w:tcPr>
          <w:p>
            <w:pPr>
              <w:jc w:val="center"/>
            </w:pPr>
            <w:r>
              <w:rPr>
                <w:b/>
                <w:bCs/>
                <w:sz w:val="16"/>
                <w:szCs w:val="16"/>
              </w:rPr>
              <w:t xml:space="preserve">1.3</w:t>
            </w:r>
          </w:p>
        </w:tc>
      </w:tr>
      <w:tr>
        <w:tc>
          <w:tcPr>
            <w:tcW w:type="pct" w:w="26%"/>
            <w:shd w:fill="E2EFDA" w:color="E2EFDA" w:val="solid"/>
            <w:vAlign w:val="center"/>
          </w:tcPr>
          <w:p>
            <w:pPr>
              <w:jc w:val="left"/>
            </w:pPr>
            <w:r>
              <w:rPr>
                <w:b/>
                <w:bCs/>
                <w:sz w:val="16"/>
                <w:szCs w:val="16"/>
              </w:rPr>
              <w:t xml:space="preserve">With GenAI</w:t>
            </w:r>
          </w:p>
        </w:tc>
        <w:tc>
          <w:tcPr>
            <w:tcW w:type="pct" w:w="15%"/>
            <w:shd w:fill="E2EFDA" w:color="E2EFDA" w:val="solid"/>
            <w:vAlign w:val="center"/>
          </w:tcPr>
          <w:p>
            <w:pPr>
              <w:jc w:val="center"/>
            </w:pPr>
            <w:r>
              <w:rPr>
                <w:b w:val="false"/>
                <w:bCs w:val="false"/>
                <w:sz w:val="16"/>
                <w:szCs w:val="16"/>
              </w:rPr>
              <w:t xml:space="preserve">0.2</w:t>
            </w:r>
          </w:p>
        </w:tc>
        <w:tc>
          <w:tcPr>
            <w:tcW w:type="pct" w:w="15%"/>
            <w:shd w:fill="E2EFDA" w:color="E2EFDA" w:val="solid"/>
            <w:vAlign w:val="center"/>
          </w:tcPr>
          <w:p>
            <w:pPr>
              <w:jc w:val="center"/>
            </w:pPr>
            <w:r>
              <w:rPr>
                <w:b w:val="false"/>
                <w:bCs w:val="false"/>
                <w:sz w:val="16"/>
                <w:szCs w:val="16"/>
              </w:rPr>
              <w:t xml:space="preserve">0.3</w:t>
            </w:r>
          </w:p>
        </w:tc>
        <w:tc>
          <w:tcPr>
            <w:tcW w:type="pct" w:w="15%"/>
            <w:shd w:fill="E2EFDA" w:color="E2EFDA" w:val="solid"/>
            <w:vAlign w:val="center"/>
          </w:tcPr>
          <w:p>
            <w:pPr>
              <w:jc w:val="center"/>
            </w:pPr>
            <w:r>
              <w:rPr>
                <w:b w:val="false"/>
                <w:bCs w:val="false"/>
                <w:sz w:val="16"/>
                <w:szCs w:val="16"/>
              </w:rPr>
              <w:t xml:space="preserve">0.4</w:t>
            </w:r>
          </w:p>
        </w:tc>
        <w:tc>
          <w:tcPr>
            <w:tcW w:type="pct" w:w="29%"/>
            <w:shd w:fill="E2EFDA" w:color="E2EFDA" w:val="solid"/>
            <w:vAlign w:val="center"/>
          </w:tcPr>
          <w:p>
            <w:pPr>
              <w:jc w:val="center"/>
            </w:pPr>
            <w:r>
              <w:rPr>
                <w:b/>
                <w:bCs/>
                <w:sz w:val="16"/>
                <w:szCs w:val="16"/>
              </w:rPr>
              <w:t xml:space="preserve">0.9</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Confirm the ready scenario API returns a distinct IUT-only cost field. If it only returns a blended total, the FE cannot correctly show 'IUT cost' without the API changing — this would fall back to the full-scope estimate's calculation-engine work.</w:t>
      </w:r>
    </w:p>
    <w:p>
      <w:pPr>
        <w:spacing w:after="80" w:before="240"/>
      </w:pPr>
      <w:r>
        <w:rPr>
          <w:b/>
          <w:bCs/>
          <w:color w:val="2E5395"/>
          <w:sz w:val="23"/>
          <w:szCs w:val="23"/>
        </w:rPr>
        <w:t xml:space="preserve">S3.3  IUT + Procurement — Procurement table column removal</w:t>
      </w:r>
    </w:p>
    <w:p>
      <w:pPr>
        <w:spacing w:after="60"/>
      </w:pPr>
      <w:r>
        <w:rPr>
          <w:b/>
          <w:bCs/>
          <w:sz w:val="19"/>
          <w:szCs w:val="19"/>
        </w:rPr>
        <w:t xml:space="preserve">Current prototype state: </w:t>
      </w:r>
      <w:r>
        <w:rPr>
          <w:sz w:val="19"/>
          <w:szCs w:val="19"/>
        </w:rPr>
        <w:t xml:space="preserve">ScenarioDetailTable.tsx's Procurement section includes price/unit and total procurement cost columns.</w:t>
      </w:r>
    </w:p>
    <w:p>
      <w:pPr>
        <w:spacing w:after="60"/>
      </w:pPr>
      <w:r>
        <w:rPr>
          <w:b/>
          <w:bCs/>
          <w:sz w:val="19"/>
          <w:szCs w:val="19"/>
        </w:rPr>
        <w:t xml:space="preserve">Requested change: </w:t>
      </w:r>
      <w:r>
        <w:rPr>
          <w:sz w:val="19"/>
          <w:szCs w:val="19"/>
        </w:rPr>
        <w:t xml:space="preserve">Remove the price/unit and total procurement cost columns from display.</w:t>
      </w:r>
    </w:p>
    <w:p>
      <w:pPr>
        <w:spacing w:after="100"/>
      </w:pPr>
      <w:r>
        <w:rPr>
          <w:b/>
          <w:bCs/>
          <w:color w:val="2E7D32"/>
          <w:sz w:val="19"/>
          <w:szCs w:val="19"/>
        </w:rPr>
        <w:t xml:space="preserve">Prototype UI reused: 90% — </w:t>
      </w:r>
      <w:r>
        <w:rPr>
          <w:i/>
          <w:iCs/>
          <w:color w:val="2E7D32"/>
          <w:sz w:val="19"/>
          <w:szCs w:val="19"/>
        </w:rPr>
        <w:t xml:space="preserve">Deleting two columns from an existing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6%"/>
            <w:shd w:fill="1F3864" w:color="1F3864" w:val="solid"/>
            <w:vAlign w:val="center"/>
          </w:tcPr>
          <w:p>
            <w:pPr>
              <w:jc w:val="center"/>
            </w:pPr>
            <w:r>
              <w:rPr>
                <w:b/>
                <w:bCs/>
                <w:color w:val="FFFFFF"/>
                <w:sz w:val="16"/>
                <w:szCs w:val="16"/>
              </w:rPr>
              <w:t xml:space="preserve"/>
            </w:r>
          </w:p>
        </w:tc>
        <w:tc>
          <w:tcPr>
            <w:tcW w:type="pct" w:w="15%"/>
            <w:shd w:fill="1F3864" w:color="1F3864" w:val="solid"/>
            <w:vAlign w:val="center"/>
          </w:tcPr>
          <w:p>
            <w:pPr>
              <w:jc w:val="center"/>
            </w:pPr>
            <w:r>
              <w:rPr>
                <w:b/>
                <w:bCs/>
                <w:color w:val="FFFFFF"/>
                <w:sz w:val="16"/>
                <w:szCs w:val="16"/>
              </w:rPr>
              <w:t xml:space="preserve">UI</w:t>
            </w:r>
          </w:p>
        </w:tc>
        <w:tc>
          <w:tcPr>
            <w:tcW w:type="pct" w:w="15%"/>
            <w:shd w:fill="1F3864" w:color="1F3864" w:val="solid"/>
            <w:vAlign w:val="center"/>
          </w:tcPr>
          <w:p>
            <w:pPr>
              <w:jc w:val="center"/>
            </w:pPr>
            <w:r>
              <w:rPr>
                <w:b/>
                <w:bCs/>
                <w:color w:val="FFFFFF"/>
                <w:sz w:val="16"/>
                <w:szCs w:val="16"/>
              </w:rPr>
              <w:t xml:space="preserve">Logic</w:t>
            </w:r>
          </w:p>
        </w:tc>
        <w:tc>
          <w:tcPr>
            <w:tcW w:type="pct" w:w="15%"/>
            <w:shd w:fill="1F3864" w:color="1F3864" w:val="solid"/>
            <w:vAlign w:val="center"/>
          </w:tcPr>
          <w:p>
            <w:pPr>
              <w:jc w:val="center"/>
            </w:pPr>
            <w:r>
              <w:rPr>
                <w:b/>
                <w:bCs/>
                <w:color w:val="FFFFFF"/>
                <w:sz w:val="16"/>
                <w:szCs w:val="16"/>
              </w:rPr>
              <w:t xml:space="preserve">FE Integration</w:t>
            </w:r>
          </w:p>
        </w:tc>
        <w:tc>
          <w:tcPr>
            <w:tcW w:type="pct" w:w="29%"/>
            <w:shd w:fill="1F3864" w:color="1F3864" w:val="solid"/>
            <w:vAlign w:val="center"/>
          </w:tcPr>
          <w:p>
            <w:pPr>
              <w:jc w:val="center"/>
            </w:pPr>
            <w:r>
              <w:rPr>
                <w:b/>
                <w:bCs/>
                <w:color w:val="FFFFFF"/>
                <w:sz w:val="16"/>
                <w:szCs w:val="16"/>
              </w:rPr>
              <w:t xml:space="preserve">Total (person-days)</w:t>
            </w:r>
          </w:p>
        </w:tc>
      </w:tr>
      <w:tr>
        <w:tc>
          <w:tcPr>
            <w:tcW w:type="pct" w:w="26%"/>
            <w:shd w:fill="F2F2F2" w:color="F2F2F2" w:val="solid"/>
            <w:vAlign w:val="center"/>
          </w:tcPr>
          <w:p>
            <w:pPr>
              <w:jc w:val="left"/>
            </w:pPr>
            <w:r>
              <w:rPr>
                <w:b/>
                <w:bCs/>
                <w:sz w:val="16"/>
                <w:szCs w:val="16"/>
              </w:rPr>
              <w:t xml:space="preserve">No GenAI</w:t>
            </w:r>
          </w:p>
        </w:tc>
        <w:tc>
          <w:tcPr>
            <w:tcW w:type="pct" w:w="15%"/>
            <w:shd w:fill="F2F2F2" w:color="F2F2F2" w:val="solid"/>
            <w:vAlign w:val="center"/>
          </w:tcPr>
          <w:p>
            <w:pPr>
              <w:jc w:val="center"/>
            </w:pPr>
            <w:r>
              <w:rPr>
                <w:b w:val="false"/>
                <w:bCs w:val="false"/>
                <w:sz w:val="16"/>
                <w:szCs w:val="16"/>
              </w:rPr>
              <w:t xml:space="preserve">0.1</w:t>
            </w:r>
          </w:p>
        </w:tc>
        <w:tc>
          <w:tcPr>
            <w:tcW w:type="pct" w:w="15%"/>
            <w:shd w:fill="F2F2F2" w:color="F2F2F2" w:val="solid"/>
            <w:vAlign w:val="center"/>
          </w:tcPr>
          <w:p>
            <w:pPr>
              <w:jc w:val="center"/>
            </w:pPr>
            <w:r>
              <w:rPr>
                <w:b w:val="false"/>
                <w:bCs w:val="false"/>
                <w:sz w:val="16"/>
                <w:szCs w:val="16"/>
              </w:rPr>
              <w:t xml:space="preserve">0.5</w:t>
            </w:r>
          </w:p>
        </w:tc>
        <w:tc>
          <w:tcPr>
            <w:tcW w:type="pct" w:w="15%"/>
            <w:shd w:fill="F2F2F2" w:color="F2F2F2" w:val="solid"/>
            <w:vAlign w:val="center"/>
          </w:tcPr>
          <w:p>
            <w:pPr>
              <w:jc w:val="center"/>
            </w:pPr>
            <w:r>
              <w:rPr>
                <w:b w:val="false"/>
                <w:bCs w:val="false"/>
                <w:sz w:val="16"/>
                <w:szCs w:val="16"/>
              </w:rPr>
              <w:t xml:space="preserve">0</w:t>
            </w:r>
          </w:p>
        </w:tc>
        <w:tc>
          <w:tcPr>
            <w:tcW w:type="pct" w:w="29%"/>
            <w:shd w:fill="F2F2F2" w:color="F2F2F2" w:val="solid"/>
            <w:vAlign w:val="center"/>
          </w:tcPr>
          <w:p>
            <w:pPr>
              <w:jc w:val="center"/>
            </w:pPr>
            <w:r>
              <w:rPr>
                <w:b/>
                <w:bCs/>
                <w:sz w:val="16"/>
                <w:szCs w:val="16"/>
              </w:rPr>
              <w:t xml:space="preserve">0.6</w:t>
            </w:r>
          </w:p>
        </w:tc>
      </w:tr>
      <w:tr>
        <w:tc>
          <w:tcPr>
            <w:tcW w:type="pct" w:w="26%"/>
            <w:shd w:fill="E2EFDA" w:color="E2EFDA" w:val="solid"/>
            <w:vAlign w:val="center"/>
          </w:tcPr>
          <w:p>
            <w:pPr>
              <w:jc w:val="left"/>
            </w:pPr>
            <w:r>
              <w:rPr>
                <w:b/>
                <w:bCs/>
                <w:sz w:val="16"/>
                <w:szCs w:val="16"/>
              </w:rPr>
              <w:t xml:space="preserve">With GenAI</w:t>
            </w:r>
          </w:p>
        </w:tc>
        <w:tc>
          <w:tcPr>
            <w:tcW w:type="pct" w:w="15%"/>
            <w:shd w:fill="E2EFDA" w:color="E2EFDA" w:val="solid"/>
            <w:vAlign w:val="center"/>
          </w:tcPr>
          <w:p>
            <w:pPr>
              <w:jc w:val="center"/>
            </w:pPr>
            <w:r>
              <w:rPr>
                <w:b w:val="false"/>
                <w:bCs w:val="false"/>
                <w:sz w:val="16"/>
                <w:szCs w:val="16"/>
              </w:rPr>
              <w:t xml:space="preserve">0.1</w:t>
            </w:r>
          </w:p>
        </w:tc>
        <w:tc>
          <w:tcPr>
            <w:tcW w:type="pct" w:w="15%"/>
            <w:shd w:fill="E2EFDA" w:color="E2EFDA" w:val="solid"/>
            <w:vAlign w:val="center"/>
          </w:tcPr>
          <w:p>
            <w:pPr>
              <w:jc w:val="center"/>
            </w:pPr>
            <w:r>
              <w:rPr>
                <w:b w:val="false"/>
                <w:bCs w:val="false"/>
                <w:sz w:val="16"/>
                <w:szCs w:val="16"/>
              </w:rPr>
              <w:t xml:space="preserve">0.3</w:t>
            </w:r>
          </w:p>
        </w:tc>
        <w:tc>
          <w:tcPr>
            <w:tcW w:type="pct" w:w="15%"/>
            <w:shd w:fill="E2EFDA" w:color="E2EFDA" w:val="solid"/>
            <w:vAlign w:val="center"/>
          </w:tcPr>
          <w:p>
            <w:pPr>
              <w:jc w:val="center"/>
            </w:pPr>
            <w:r>
              <w:rPr>
                <w:b w:val="false"/>
                <w:bCs w:val="false"/>
                <w:sz w:val="16"/>
                <w:szCs w:val="16"/>
              </w:rPr>
              <w:t xml:space="preserve">0</w:t>
            </w:r>
          </w:p>
        </w:tc>
        <w:tc>
          <w:tcPr>
            <w:tcW w:type="pct" w:w="29%"/>
            <w:shd w:fill="E2EFDA" w:color="E2EFDA" w:val="solid"/>
            <w:vAlign w:val="center"/>
          </w:tcPr>
          <w:p>
            <w:pPr>
              <w:jc w:val="center"/>
            </w:pPr>
            <w:r>
              <w:rPr>
                <w:b/>
                <w:bCs/>
                <w:sz w:val="16"/>
                <w:szCs w:val="16"/>
              </w:rPr>
              <w:t xml:space="preserve">0.4</w:t>
            </w:r>
          </w:p>
        </w:tc>
      </w:tr>
    </w:tbl>
    <w:p>
      <w:pPr>
        <w:spacing w:after="80" w:before="240"/>
      </w:pPr>
      <w:r>
        <w:rPr>
          <w:b/>
          <w:bCs/>
          <w:color w:val="2E5395"/>
          <w:sz w:val="23"/>
          <w:szCs w:val="23"/>
        </w:rPr>
        <w:t xml:space="preserve">S3.4  IUT + Procurement — Lane availability</w:t>
      </w:r>
    </w:p>
    <w:p>
      <w:pPr>
        <w:spacing w:after="60"/>
      </w:pPr>
      <w:r>
        <w:rPr>
          <w:b/>
          <w:bCs/>
          <w:sz w:val="19"/>
          <w:szCs w:val="19"/>
        </w:rPr>
        <w:t xml:space="preserve">Current prototype state: </w:t>
      </w:r>
      <w:r>
        <w:rPr>
          <w:sz w:val="19"/>
          <w:szCs w:val="19"/>
        </w:rPr>
        <w:t xml:space="preserve">No lane-capacity/availability concept exists today. IutFeasibilityContent's Possible/Not-possible toggle is route feasibility, not point-in-time capacity.</w:t>
      </w:r>
    </w:p>
    <w:p>
      <w:pPr>
        <w:spacing w:after="60"/>
      </w:pPr>
      <w:r>
        <w:rPr>
          <w:b/>
          <w:bCs/>
          <w:sz w:val="19"/>
          <w:szCs w:val="19"/>
        </w:rPr>
        <w:t xml:space="preserve">Requested change: </w:t>
      </w:r>
      <w:r>
        <w:rPr>
          <w:sz w:val="19"/>
          <w:szCs w:val="19"/>
        </w:rPr>
        <w:t xml:space="preserve">Add IUT lane availability information to the scenario detail, bound to the ready lane-availability endpoint.</w:t>
      </w:r>
    </w:p>
    <w:p>
      <w:pPr>
        <w:spacing w:after="100"/>
      </w:pPr>
      <w:r>
        <w:rPr>
          <w:b/>
          <w:bCs/>
          <w:color w:val="2E7D32"/>
          <w:sz w:val="19"/>
          <w:szCs w:val="19"/>
        </w:rPr>
        <w:t xml:space="preserve">Prototype UI reused: 20% — </w:t>
      </w:r>
      <w:r>
        <w:rPr>
          <w:i/>
          <w:iCs/>
          <w:color w:val="2E7D32"/>
          <w:sz w:val="19"/>
          <w:szCs w:val="19"/>
        </w:rPr>
        <w:t xml:space="preserve">Net-new capability inside the detail view — only the detail-drawer shell and primitives carry over.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6%"/>
            <w:shd w:fill="1F3864" w:color="1F3864" w:val="solid"/>
            <w:vAlign w:val="center"/>
          </w:tcPr>
          <w:p>
            <w:pPr>
              <w:jc w:val="center"/>
            </w:pPr>
            <w:r>
              <w:rPr>
                <w:b/>
                <w:bCs/>
                <w:color w:val="FFFFFF"/>
                <w:sz w:val="16"/>
                <w:szCs w:val="16"/>
              </w:rPr>
              <w:t xml:space="preserve"/>
            </w:r>
          </w:p>
        </w:tc>
        <w:tc>
          <w:tcPr>
            <w:tcW w:type="pct" w:w="15%"/>
            <w:shd w:fill="1F3864" w:color="1F3864" w:val="solid"/>
            <w:vAlign w:val="center"/>
          </w:tcPr>
          <w:p>
            <w:pPr>
              <w:jc w:val="center"/>
            </w:pPr>
            <w:r>
              <w:rPr>
                <w:b/>
                <w:bCs/>
                <w:color w:val="FFFFFF"/>
                <w:sz w:val="16"/>
                <w:szCs w:val="16"/>
              </w:rPr>
              <w:t xml:space="preserve">UI</w:t>
            </w:r>
          </w:p>
        </w:tc>
        <w:tc>
          <w:tcPr>
            <w:tcW w:type="pct" w:w="15%"/>
            <w:shd w:fill="1F3864" w:color="1F3864" w:val="solid"/>
            <w:vAlign w:val="center"/>
          </w:tcPr>
          <w:p>
            <w:pPr>
              <w:jc w:val="center"/>
            </w:pPr>
            <w:r>
              <w:rPr>
                <w:b/>
                <w:bCs/>
                <w:color w:val="FFFFFF"/>
                <w:sz w:val="16"/>
                <w:szCs w:val="16"/>
              </w:rPr>
              <w:t xml:space="preserve">Logic</w:t>
            </w:r>
          </w:p>
        </w:tc>
        <w:tc>
          <w:tcPr>
            <w:tcW w:type="pct" w:w="15%"/>
            <w:shd w:fill="1F3864" w:color="1F3864" w:val="solid"/>
            <w:vAlign w:val="center"/>
          </w:tcPr>
          <w:p>
            <w:pPr>
              <w:jc w:val="center"/>
            </w:pPr>
            <w:r>
              <w:rPr>
                <w:b/>
                <w:bCs/>
                <w:color w:val="FFFFFF"/>
                <w:sz w:val="16"/>
                <w:szCs w:val="16"/>
              </w:rPr>
              <w:t xml:space="preserve">FE Integration</w:t>
            </w:r>
          </w:p>
        </w:tc>
        <w:tc>
          <w:tcPr>
            <w:tcW w:type="pct" w:w="29%"/>
            <w:shd w:fill="1F3864" w:color="1F3864" w:val="solid"/>
            <w:vAlign w:val="center"/>
          </w:tcPr>
          <w:p>
            <w:pPr>
              <w:jc w:val="center"/>
            </w:pPr>
            <w:r>
              <w:rPr>
                <w:b/>
                <w:bCs/>
                <w:color w:val="FFFFFF"/>
                <w:sz w:val="16"/>
                <w:szCs w:val="16"/>
              </w:rPr>
              <w:t xml:space="preserve">Total (person-days)</w:t>
            </w:r>
          </w:p>
        </w:tc>
      </w:tr>
      <w:tr>
        <w:tc>
          <w:tcPr>
            <w:tcW w:type="pct" w:w="26%"/>
            <w:shd w:fill="F2F2F2" w:color="F2F2F2" w:val="solid"/>
            <w:vAlign w:val="center"/>
          </w:tcPr>
          <w:p>
            <w:pPr>
              <w:jc w:val="left"/>
            </w:pPr>
            <w:r>
              <w:rPr>
                <w:b/>
                <w:bCs/>
                <w:sz w:val="16"/>
                <w:szCs w:val="16"/>
              </w:rPr>
              <w:t xml:space="preserve">No GenAI</w:t>
            </w:r>
          </w:p>
        </w:tc>
        <w:tc>
          <w:tcPr>
            <w:tcW w:type="pct" w:w="15%"/>
            <w:shd w:fill="F2F2F2" w:color="F2F2F2" w:val="solid"/>
            <w:vAlign w:val="center"/>
          </w:tcPr>
          <w:p>
            <w:pPr>
              <w:jc w:val="center"/>
            </w:pPr>
            <w:r>
              <w:rPr>
                <w:b w:val="false"/>
                <w:bCs w:val="false"/>
                <w:sz w:val="16"/>
                <w:szCs w:val="16"/>
              </w:rPr>
              <w:t xml:space="preserve">1.6</w:t>
            </w:r>
          </w:p>
        </w:tc>
        <w:tc>
          <w:tcPr>
            <w:tcW w:type="pct" w:w="15%"/>
            <w:shd w:fill="F2F2F2" w:color="F2F2F2" w:val="solid"/>
            <w:vAlign w:val="center"/>
          </w:tcPr>
          <w:p>
            <w:pPr>
              <w:jc w:val="center"/>
            </w:pPr>
            <w:r>
              <w:rPr>
                <w:b w:val="false"/>
                <w:bCs w:val="false"/>
                <w:sz w:val="16"/>
                <w:szCs w:val="16"/>
              </w:rPr>
              <w:t xml:space="preserve">1</w:t>
            </w:r>
          </w:p>
        </w:tc>
        <w:tc>
          <w:tcPr>
            <w:tcW w:type="pct" w:w="15%"/>
            <w:shd w:fill="F2F2F2" w:color="F2F2F2" w:val="solid"/>
            <w:vAlign w:val="center"/>
          </w:tcPr>
          <w:p>
            <w:pPr>
              <w:jc w:val="center"/>
            </w:pPr>
            <w:r>
              <w:rPr>
                <w:b w:val="false"/>
                <w:bCs w:val="false"/>
                <w:sz w:val="16"/>
                <w:szCs w:val="16"/>
              </w:rPr>
              <w:t xml:space="preserve">1</w:t>
            </w:r>
          </w:p>
        </w:tc>
        <w:tc>
          <w:tcPr>
            <w:tcW w:type="pct" w:w="29%"/>
            <w:shd w:fill="F2F2F2" w:color="F2F2F2" w:val="solid"/>
            <w:vAlign w:val="center"/>
          </w:tcPr>
          <w:p>
            <w:pPr>
              <w:jc w:val="center"/>
            </w:pPr>
            <w:r>
              <w:rPr>
                <w:b/>
                <w:bCs/>
                <w:sz w:val="16"/>
                <w:szCs w:val="16"/>
              </w:rPr>
              <w:t xml:space="preserve">3.6</w:t>
            </w:r>
          </w:p>
        </w:tc>
      </w:tr>
      <w:tr>
        <w:tc>
          <w:tcPr>
            <w:tcW w:type="pct" w:w="26%"/>
            <w:shd w:fill="E2EFDA" w:color="E2EFDA" w:val="solid"/>
            <w:vAlign w:val="center"/>
          </w:tcPr>
          <w:p>
            <w:pPr>
              <w:jc w:val="left"/>
            </w:pPr>
            <w:r>
              <w:rPr>
                <w:b/>
                <w:bCs/>
                <w:sz w:val="16"/>
                <w:szCs w:val="16"/>
              </w:rPr>
              <w:t xml:space="preserve">With GenAI</w:t>
            </w:r>
          </w:p>
        </w:tc>
        <w:tc>
          <w:tcPr>
            <w:tcW w:type="pct" w:w="15%"/>
            <w:shd w:fill="E2EFDA" w:color="E2EFDA" w:val="solid"/>
            <w:vAlign w:val="center"/>
          </w:tcPr>
          <w:p>
            <w:pPr>
              <w:jc w:val="center"/>
            </w:pPr>
            <w:r>
              <w:rPr>
                <w:b w:val="false"/>
                <w:bCs w:val="false"/>
                <w:sz w:val="16"/>
                <w:szCs w:val="16"/>
              </w:rPr>
              <w:t xml:space="preserve">0.8</w:t>
            </w:r>
          </w:p>
        </w:tc>
        <w:tc>
          <w:tcPr>
            <w:tcW w:type="pct" w:w="15%"/>
            <w:shd w:fill="E2EFDA" w:color="E2EFDA" w:val="solid"/>
            <w:vAlign w:val="center"/>
          </w:tcPr>
          <w:p>
            <w:pPr>
              <w:jc w:val="center"/>
            </w:pPr>
            <w:r>
              <w:rPr>
                <w:b w:val="false"/>
                <w:bCs w:val="false"/>
                <w:sz w:val="16"/>
                <w:szCs w:val="16"/>
              </w:rPr>
              <w:t xml:space="preserve">0.7</w:t>
            </w:r>
          </w:p>
        </w:tc>
        <w:tc>
          <w:tcPr>
            <w:tcW w:type="pct" w:w="15%"/>
            <w:shd w:fill="E2EFDA" w:color="E2EFDA" w:val="solid"/>
            <w:vAlign w:val="center"/>
          </w:tcPr>
          <w:p>
            <w:pPr>
              <w:jc w:val="center"/>
            </w:pPr>
            <w:r>
              <w:rPr>
                <w:b w:val="false"/>
                <w:bCs w:val="false"/>
                <w:sz w:val="16"/>
                <w:szCs w:val="16"/>
              </w:rPr>
              <w:t xml:space="preserve">0.8</w:t>
            </w:r>
          </w:p>
        </w:tc>
        <w:tc>
          <w:tcPr>
            <w:tcW w:type="pct" w:w="29%"/>
            <w:shd w:fill="E2EFDA" w:color="E2EFDA" w:val="solid"/>
            <w:vAlign w:val="center"/>
          </w:tcPr>
          <w:p>
            <w:pPr>
              <w:jc w:val="center"/>
            </w:pPr>
            <w:r>
              <w:rPr>
                <w:b/>
                <w:bCs/>
                <w:sz w:val="16"/>
                <w:szCs w:val="16"/>
              </w:rPr>
              <w:t xml:space="preserve">2.3</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'Lane availability' isn't defined in the notes — real-time capacity, a binary flag, or a scheduled window each imply a different UI. Need the ready API's exact response shape before building this.</w:t>
      </w:r>
    </w:p>
    <w:p>
      <w:pPr>
        <w:spacing w:after="80" w:before="240"/>
      </w:pPr>
      <w:r>
        <w:rPr>
          <w:b/>
          <w:bCs/>
          <w:color w:val="2E5395"/>
          <w:sz w:val="23"/>
          <w:szCs w:val="23"/>
        </w:rPr>
        <w:t xml:space="preserve">S3.5  Custom scenario — summary &amp; component breakdown by plant</w:t>
      </w:r>
    </w:p>
    <w:p>
      <w:pPr>
        <w:spacing w:after="60"/>
      </w:pPr>
      <w:r>
        <w:rPr>
          <w:b/>
          <w:bCs/>
          <w:sz w:val="19"/>
          <w:szCs w:val="19"/>
        </w:rPr>
        <w:t xml:space="preserve">Current prototype state: </w:t>
      </w:r>
      <w:r>
        <w:rPr>
          <w:sz w:val="19"/>
          <w:szCs w:val="19"/>
        </w:rPr>
        <w:t xml:space="preserve">step4/TransposedComponentBreakdownTable.tsx (642 lines, already built) renders this for the 5 predefined scenarios; CustomScenarioDetailView.tsx doesn't yet include it. A near-complete alternate build exists in the dead, unreachable CustomScenarioDetailPage.tsx (1,454 lines).</w:t>
      </w:r>
    </w:p>
    <w:p>
      <w:pPr>
        <w:spacing w:after="60"/>
      </w:pPr>
      <w:r>
        <w:rPr>
          <w:b/>
          <w:bCs/>
          <w:sz w:val="19"/>
          <w:szCs w:val="19"/>
        </w:rPr>
        <w:t xml:space="preserve">Requested change: </w:t>
      </w:r>
      <w:r>
        <w:rPr>
          <w:sz w:val="19"/>
          <w:szCs w:val="19"/>
        </w:rPr>
        <w:t xml:space="preserve">Wire the existing breakdown table and a new summary section into the Custom scenario detail view, bound to the ready custom-scenario breakdown endpoint.</w:t>
      </w:r>
    </w:p>
    <w:p>
      <w:pPr>
        <w:spacing w:after="100"/>
      </w:pPr>
      <w:r>
        <w:rPr>
          <w:b/>
          <w:bCs/>
          <w:color w:val="2E7D32"/>
          <w:sz w:val="19"/>
          <w:szCs w:val="19"/>
        </w:rPr>
        <w:t xml:space="preserve">Prototype UI reused: 80% — </w:t>
      </w:r>
      <w:r>
        <w:rPr>
          <w:i/>
          <w:iCs/>
          <w:color w:val="2E7D32"/>
          <w:sz w:val="19"/>
          <w:szCs w:val="19"/>
        </w:rPr>
        <w:t xml:space="preserve">The heavy table component already exists and is proven for the predefined-scenario case — this is largely a wiring exercise, not a rebuild.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6%"/>
            <w:shd w:fill="1F3864" w:color="1F3864" w:val="solid"/>
            <w:vAlign w:val="center"/>
          </w:tcPr>
          <w:p>
            <w:pPr>
              <w:jc w:val="center"/>
            </w:pPr>
            <w:r>
              <w:rPr>
                <w:b/>
                <w:bCs/>
                <w:color w:val="FFFFFF"/>
                <w:sz w:val="16"/>
                <w:szCs w:val="16"/>
              </w:rPr>
              <w:t xml:space="preserve"/>
            </w:r>
          </w:p>
        </w:tc>
        <w:tc>
          <w:tcPr>
            <w:tcW w:type="pct" w:w="15%"/>
            <w:shd w:fill="1F3864" w:color="1F3864" w:val="solid"/>
            <w:vAlign w:val="center"/>
          </w:tcPr>
          <w:p>
            <w:pPr>
              <w:jc w:val="center"/>
            </w:pPr>
            <w:r>
              <w:rPr>
                <w:b/>
                <w:bCs/>
                <w:color w:val="FFFFFF"/>
                <w:sz w:val="16"/>
                <w:szCs w:val="16"/>
              </w:rPr>
              <w:t xml:space="preserve">UI</w:t>
            </w:r>
          </w:p>
        </w:tc>
        <w:tc>
          <w:tcPr>
            <w:tcW w:type="pct" w:w="15%"/>
            <w:shd w:fill="1F3864" w:color="1F3864" w:val="solid"/>
            <w:vAlign w:val="center"/>
          </w:tcPr>
          <w:p>
            <w:pPr>
              <w:jc w:val="center"/>
            </w:pPr>
            <w:r>
              <w:rPr>
                <w:b/>
                <w:bCs/>
                <w:color w:val="FFFFFF"/>
                <w:sz w:val="16"/>
                <w:szCs w:val="16"/>
              </w:rPr>
              <w:t xml:space="preserve">Logic</w:t>
            </w:r>
          </w:p>
        </w:tc>
        <w:tc>
          <w:tcPr>
            <w:tcW w:type="pct" w:w="15%"/>
            <w:shd w:fill="1F3864" w:color="1F3864" w:val="solid"/>
            <w:vAlign w:val="center"/>
          </w:tcPr>
          <w:p>
            <w:pPr>
              <w:jc w:val="center"/>
            </w:pPr>
            <w:r>
              <w:rPr>
                <w:b/>
                <w:bCs/>
                <w:color w:val="FFFFFF"/>
                <w:sz w:val="16"/>
                <w:szCs w:val="16"/>
              </w:rPr>
              <w:t xml:space="preserve">FE Integration</w:t>
            </w:r>
          </w:p>
        </w:tc>
        <w:tc>
          <w:tcPr>
            <w:tcW w:type="pct" w:w="29%"/>
            <w:shd w:fill="1F3864" w:color="1F3864" w:val="solid"/>
            <w:vAlign w:val="center"/>
          </w:tcPr>
          <w:p>
            <w:pPr>
              <w:jc w:val="center"/>
            </w:pPr>
            <w:r>
              <w:rPr>
                <w:b/>
                <w:bCs/>
                <w:color w:val="FFFFFF"/>
                <w:sz w:val="16"/>
                <w:szCs w:val="16"/>
              </w:rPr>
              <w:t xml:space="preserve">Total (person-days)</w:t>
            </w:r>
          </w:p>
        </w:tc>
      </w:tr>
      <w:tr>
        <w:tc>
          <w:tcPr>
            <w:tcW w:type="pct" w:w="26%"/>
            <w:shd w:fill="F2F2F2" w:color="F2F2F2" w:val="solid"/>
            <w:vAlign w:val="center"/>
          </w:tcPr>
          <w:p>
            <w:pPr>
              <w:jc w:val="left"/>
            </w:pPr>
            <w:r>
              <w:rPr>
                <w:b/>
                <w:bCs/>
                <w:sz w:val="16"/>
                <w:szCs w:val="16"/>
              </w:rPr>
              <w:t xml:space="preserve">No GenAI</w:t>
            </w:r>
          </w:p>
        </w:tc>
        <w:tc>
          <w:tcPr>
            <w:tcW w:type="pct" w:w="15%"/>
            <w:shd w:fill="F2F2F2" w:color="F2F2F2" w:val="solid"/>
            <w:vAlign w:val="center"/>
          </w:tcPr>
          <w:p>
            <w:pPr>
              <w:jc w:val="center"/>
            </w:pPr>
            <w:r>
              <w:rPr>
                <w:b w:val="false"/>
                <w:bCs w:val="false"/>
                <w:sz w:val="16"/>
                <w:szCs w:val="16"/>
              </w:rPr>
              <w:t xml:space="preserve">0.4</w:t>
            </w:r>
          </w:p>
        </w:tc>
        <w:tc>
          <w:tcPr>
            <w:tcW w:type="pct" w:w="15%"/>
            <w:shd w:fill="F2F2F2" w:color="F2F2F2" w:val="solid"/>
            <w:vAlign w:val="center"/>
          </w:tcPr>
          <w:p>
            <w:pPr>
              <w:jc w:val="center"/>
            </w:pPr>
            <w:r>
              <w:rPr>
                <w:b w:val="false"/>
                <w:bCs w:val="false"/>
                <w:sz w:val="16"/>
                <w:szCs w:val="16"/>
              </w:rPr>
              <w:t xml:space="preserve">1</w:t>
            </w:r>
          </w:p>
        </w:tc>
        <w:tc>
          <w:tcPr>
            <w:tcW w:type="pct" w:w="15%"/>
            <w:shd w:fill="F2F2F2" w:color="F2F2F2" w:val="solid"/>
            <w:vAlign w:val="center"/>
          </w:tcPr>
          <w:p>
            <w:pPr>
              <w:jc w:val="center"/>
            </w:pPr>
            <w:r>
              <w:rPr>
                <w:b w:val="false"/>
                <w:bCs w:val="false"/>
                <w:sz w:val="16"/>
                <w:szCs w:val="16"/>
              </w:rPr>
              <w:t xml:space="preserve">0.5</w:t>
            </w:r>
          </w:p>
        </w:tc>
        <w:tc>
          <w:tcPr>
            <w:tcW w:type="pct" w:w="29%"/>
            <w:shd w:fill="F2F2F2" w:color="F2F2F2" w:val="solid"/>
            <w:vAlign w:val="center"/>
          </w:tcPr>
          <w:p>
            <w:pPr>
              <w:jc w:val="center"/>
            </w:pPr>
            <w:r>
              <w:rPr>
                <w:b/>
                <w:bCs/>
                <w:sz w:val="16"/>
                <w:szCs w:val="16"/>
              </w:rPr>
              <w:t xml:space="preserve">1.9</w:t>
            </w:r>
          </w:p>
        </w:tc>
      </w:tr>
      <w:tr>
        <w:tc>
          <w:tcPr>
            <w:tcW w:type="pct" w:w="26%"/>
            <w:shd w:fill="E2EFDA" w:color="E2EFDA" w:val="solid"/>
            <w:vAlign w:val="center"/>
          </w:tcPr>
          <w:p>
            <w:pPr>
              <w:jc w:val="left"/>
            </w:pPr>
            <w:r>
              <w:rPr>
                <w:b/>
                <w:bCs/>
                <w:sz w:val="16"/>
                <w:szCs w:val="16"/>
              </w:rPr>
              <w:t xml:space="preserve">With GenAI</w:t>
            </w:r>
          </w:p>
        </w:tc>
        <w:tc>
          <w:tcPr>
            <w:tcW w:type="pct" w:w="15%"/>
            <w:shd w:fill="E2EFDA" w:color="E2EFDA" w:val="solid"/>
            <w:vAlign w:val="center"/>
          </w:tcPr>
          <w:p>
            <w:pPr>
              <w:jc w:val="center"/>
            </w:pPr>
            <w:r>
              <w:rPr>
                <w:b w:val="false"/>
                <w:bCs w:val="false"/>
                <w:sz w:val="16"/>
                <w:szCs w:val="16"/>
              </w:rPr>
              <w:t xml:space="preserve">0.2</w:t>
            </w:r>
          </w:p>
        </w:tc>
        <w:tc>
          <w:tcPr>
            <w:tcW w:type="pct" w:w="15%"/>
            <w:shd w:fill="E2EFDA" w:color="E2EFDA" w:val="solid"/>
            <w:vAlign w:val="center"/>
          </w:tcPr>
          <w:p>
            <w:pPr>
              <w:jc w:val="center"/>
            </w:pPr>
            <w:r>
              <w:rPr>
                <w:b w:val="false"/>
                <w:bCs w:val="false"/>
                <w:sz w:val="16"/>
                <w:szCs w:val="16"/>
              </w:rPr>
              <w:t xml:space="preserve">0.7</w:t>
            </w:r>
          </w:p>
        </w:tc>
        <w:tc>
          <w:tcPr>
            <w:tcW w:type="pct" w:w="15%"/>
            <w:shd w:fill="E2EFDA" w:color="E2EFDA" w:val="solid"/>
            <w:vAlign w:val="center"/>
          </w:tcPr>
          <w:p>
            <w:pPr>
              <w:jc w:val="center"/>
            </w:pPr>
            <w:r>
              <w:rPr>
                <w:b w:val="false"/>
                <w:bCs w:val="false"/>
                <w:sz w:val="16"/>
                <w:szCs w:val="16"/>
              </w:rPr>
              <w:t xml:space="preserve">0.4</w:t>
            </w:r>
          </w:p>
        </w:tc>
        <w:tc>
          <w:tcPr>
            <w:tcW w:type="pct" w:w="29%"/>
            <w:shd w:fill="E2EFDA" w:color="E2EFDA" w:val="solid"/>
            <w:vAlign w:val="center"/>
          </w:tcPr>
          <w:p>
            <w:pPr>
              <w:jc w:val="center"/>
            </w:pPr>
            <w:r>
              <w:rPr>
                <w:b/>
                <w:bCs/>
                <w:sz w:val="16"/>
                <w:szCs w:val="16"/>
              </w:rPr>
              <w:t xml:space="preserve">1.3</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A near-complete alternate implementation already exists in the dead CustomScenarioDetailPage.tsx — reviving/adapting it could cut this row's effort further.</w:t>
      </w:r>
    </w:p>
    <w:p>
      <w:pPr>
        <w:pageBreakBefore/>
        <w:spacing w:after="150"/>
      </w:pPr>
      <w:r>
        <w:rPr>
          <w:b/>
          <w:bCs/>
          <w:color w:val="1F3864"/>
          <w:sz w:val="30"/>
          <w:szCs w:val="30"/>
        </w:rPr>
        <w:t xml:space="preserve">Code Optimization &amp; Cross-Cutting Work (Backend Excluded — Assumed Ready)</w:t>
      </w:r>
    </w:p>
    <w:p>
      <w:pPr>
        <w:spacing w:after="200"/>
      </w:pPr>
      <w:r>
        <w:rPr>
          <w:sz w:val="20"/>
          <w:szCs w:val="20"/>
        </w:rPr>
        <w:t xml:space="preserve">Backend-only cross-cutting items from the full-scope assessment (API/data-contract layer, source-system integration, the scenario-calculation engine) stay excluded here. What's added is a proper Code Optimization &amp; Refactor pass, sized as its own line item because it doesn't get any reuse credit — there's nothing to reuse when splitting an oversized file or deleting dead code — but it's what makes the high reuse percentages above realistic to execute against, rather than bolting more feature work onto files that are already hard to work in.</w:t>
      </w:r>
    </w:p>
    <w:p>
      <w:pPr>
        <w:spacing w:after="80" w:before="240"/>
      </w:pPr>
      <w:r>
        <w:rPr>
          <w:b/>
          <w:bCs/>
          <w:color w:val="2E5395"/>
          <w:sz w:val="23"/>
          <w:szCs w:val="23"/>
        </w:rPr>
        <w:t xml:space="preserve">F.1  Code Optimization &amp; Refactor</w:t>
      </w:r>
    </w:p>
    <w:p>
      <w:pPr>
        <w:spacing w:after="60"/>
      </w:pPr>
      <w:r>
        <w:rPr>
          <w:b/>
          <w:bCs/>
          <w:sz w:val="19"/>
          <w:szCs w:val="19"/>
        </w:rPr>
        <w:t xml:space="preserve">Why it's needed: </w:t>
      </w:r>
      <w:r>
        <w:rPr>
          <w:sz w:val="19"/>
          <w:szCs w:val="19"/>
        </w:rPr>
        <w:t xml:space="preserve">The code review found concrete maintainability debt: ScenarioComparisonStep.tsx is ~1,540 lines (the largest file in the feature); scenarioDetailModel.ts and scenarioDetailModel.tsx are near-duplicate files with only one actually imported; CustomScenarioDetailPage.tsx (1,454 lines) and the scenarioMindMap/ directory (~1,000 lines) are confirmed dead/unreachable code; ShelfLifeContent.tsx imports a data export that no longer exists and is never rendered; SimulationAssumptionsStep.tsx (600+ lines) contains an orphaned inline MaterialScopeContentOld component.</w:t>
      </w:r>
    </w:p>
    <w:p>
      <w:pPr>
        <w:spacing w:after="100"/>
      </w:pPr>
      <w:r>
        <w:rPr>
          <w:b/>
          <w:bCs/>
          <w:sz w:val="19"/>
          <w:szCs w:val="19"/>
        </w:rPr>
        <w:t xml:space="preserve">Scope: </w:t>
      </w:r>
      <w:r>
        <w:rPr>
          <w:sz w:val="19"/>
          <w:szCs w:val="19"/>
        </w:rPr>
        <w:t xml:space="preserve">Split ScenarioComparisonStep.tsx into smaller, focused components (comparison table, accept-flow modal, custom-scenario form, detail-drawer orchestration); reconcile the duplicate scenarioDetailModel.ts/.tsx pair into one source of truth; decide and execute on the dead code (delete, revive, or harvest CustomScenarioDetailPage.tsx and scenarioMindMap/*, remove the orphaned MaterialScopeContentOld block, fix or remove the broken ShelfLifeContent.tsx); run a performance pass on TransposedComponentBreakdownTable.tsx (memoization, and virtualization if needed) now that it's being wired into a second use case (S3.5); and consolidate the reworked Step 2 tables onto the existing shared table/form primitives (ScenarioDetailPrimitives.tsx) instead of each rolling its own markup.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4%"/>
            <w:shd w:fill="1F3864" w:color="1F3864" w:val="solid"/>
            <w:vAlign w:val="center"/>
          </w:tcPr>
          <w:p>
            <w:pPr>
              <w:jc w:val="center"/>
            </w:pPr>
            <w:r>
              <w:rPr>
                <w:b/>
                <w:bCs/>
                <w:color w:val="FFFFFF"/>
                <w:sz w:val="16"/>
                <w:szCs w:val="16"/>
              </w:rPr>
              <w:t xml:space="preserve">FE Integration</w:t>
            </w:r>
          </w:p>
        </w:tc>
        <w:tc>
          <w:tcPr>
            <w:tcW w:type="pct" w:w="30%"/>
            <w:shd w:fill="1F3864" w:color="1F3864" w:val="solid"/>
            <w:vAlign w:val="center"/>
          </w:tcPr>
          <w:p>
            <w:pPr>
              <w:jc w:val="center"/>
            </w:pPr>
            <w:r>
              <w:rPr>
                <w:b/>
                <w:bCs/>
                <w:color w:val="FFFFFF"/>
                <w:sz w:val="16"/>
                <w:szCs w:val="16"/>
              </w:rPr>
              <w:t xml:space="preserve">Total (person-days)</w:t>
            </w:r>
          </w:p>
        </w:tc>
      </w:tr>
      <w:tr>
        <w:tc>
          <w:tcPr>
            <w:tcW w:type="pct" w:w="30%"/>
            <w:shd w:fill="F2F2F2" w:color="F2F2F2" w:val="solid"/>
            <w:vAlign w:val="center"/>
          </w:tcPr>
          <w:p>
            <w:pPr>
              <w:jc w:val="left"/>
            </w:pPr>
            <w:r>
              <w:rPr>
                <w:b/>
                <w:bCs/>
                <w:sz w:val="16"/>
                <w:szCs w:val="16"/>
              </w:rPr>
              <w:t xml:space="preserve">No GenAI</w:t>
            </w:r>
          </w:p>
        </w:tc>
        <w:tc>
          <w:tcPr>
            <w:tcW w:type="pct" w:w="13%"/>
            <w:shd w:fill="F2F2F2" w:color="F2F2F2" w:val="solid"/>
            <w:vAlign w:val="center"/>
          </w:tcPr>
          <w:p>
            <w:pPr>
              <w:jc w:val="center"/>
            </w:pPr>
            <w:r>
              <w:rPr>
                <w:b w:val="false"/>
                <w:bCs w:val="false"/>
                <w:sz w:val="16"/>
                <w:szCs w:val="16"/>
              </w:rPr>
              <w:t xml:space="preserve">1</w:t>
            </w:r>
          </w:p>
        </w:tc>
        <w:tc>
          <w:tcPr>
            <w:tcW w:type="pct" w:w="13%"/>
            <w:shd w:fill="F2F2F2" w:color="F2F2F2" w:val="solid"/>
            <w:vAlign w:val="center"/>
          </w:tcPr>
          <w:p>
            <w:pPr>
              <w:jc w:val="center"/>
            </w:pPr>
            <w:r>
              <w:rPr>
                <w:b w:val="false"/>
                <w:bCs w:val="false"/>
                <w:sz w:val="16"/>
                <w:szCs w:val="16"/>
              </w:rPr>
              <w:t xml:space="preserve">7</w:t>
            </w:r>
          </w:p>
        </w:tc>
        <w:tc>
          <w:tcPr>
            <w:tcW w:type="pct" w:w="14%"/>
            <w:shd w:fill="F2F2F2" w:color="F2F2F2" w:val="solid"/>
            <w:vAlign w:val="center"/>
          </w:tcPr>
          <w:p>
            <w:pPr>
              <w:jc w:val="center"/>
            </w:pPr>
            <w:r>
              <w:rPr>
                <w:b w:val="false"/>
                <w:bCs w:val="false"/>
                <w:sz w:val="16"/>
                <w:szCs w:val="16"/>
              </w:rPr>
              <w:t xml:space="preserve">0</w:t>
            </w:r>
          </w:p>
        </w:tc>
        <w:tc>
          <w:tcPr>
            <w:tcW w:type="pct" w:w="30%"/>
            <w:shd w:fill="F2F2F2" w:color="F2F2F2" w:val="solid"/>
            <w:vAlign w:val="center"/>
          </w:tcPr>
          <w:p>
            <w:pPr>
              <w:jc w:val="center"/>
            </w:pPr>
            <w:r>
              <w:rPr>
                <w:b/>
                <w:bCs/>
                <w:sz w:val="16"/>
                <w:szCs w:val="16"/>
              </w:rPr>
              <w:t xml:space="preserve">8</w:t>
            </w:r>
          </w:p>
        </w:tc>
      </w:tr>
      <w:tr>
        <w:tc>
          <w:tcPr>
            <w:tcW w:type="pct" w:w="30%"/>
            <w:shd w:fill="E2EFDA" w:color="E2EFDA" w:val="solid"/>
            <w:vAlign w:val="center"/>
          </w:tcPr>
          <w:p>
            <w:pPr>
              <w:jc w:val="left"/>
            </w:pPr>
            <w:r>
              <w:rPr>
                <w:b/>
                <w:bCs/>
                <w:sz w:val="16"/>
                <w:szCs w:val="16"/>
              </w:rPr>
              <w:t xml:space="preserve">With GenAI</w:t>
            </w:r>
          </w:p>
        </w:tc>
        <w:tc>
          <w:tcPr>
            <w:tcW w:type="pct" w:w="13%"/>
            <w:shd w:fill="E2EFDA" w:color="E2EFDA" w:val="solid"/>
            <w:vAlign w:val="center"/>
          </w:tcPr>
          <w:p>
            <w:pPr>
              <w:jc w:val="center"/>
            </w:pPr>
            <w:r>
              <w:rPr>
                <w:b w:val="false"/>
                <w:bCs w:val="false"/>
                <w:sz w:val="16"/>
                <w:szCs w:val="16"/>
              </w:rPr>
              <w:t xml:space="preserve">0.5</w:t>
            </w:r>
          </w:p>
        </w:tc>
        <w:tc>
          <w:tcPr>
            <w:tcW w:type="pct" w:w="13%"/>
            <w:shd w:fill="E2EFDA" w:color="E2EFDA" w:val="solid"/>
            <w:vAlign w:val="center"/>
          </w:tcPr>
          <w:p>
            <w:pPr>
              <w:jc w:val="center"/>
            </w:pPr>
            <w:r>
              <w:rPr>
                <w:b w:val="false"/>
                <w:bCs w:val="false"/>
                <w:sz w:val="16"/>
                <w:szCs w:val="16"/>
              </w:rPr>
              <w:t xml:space="preserve">4.6</w:t>
            </w:r>
          </w:p>
        </w:tc>
        <w:tc>
          <w:tcPr>
            <w:tcW w:type="pct" w:w="14%"/>
            <w:shd w:fill="E2EFDA" w:color="E2EFDA" w:val="solid"/>
            <w:vAlign w:val="center"/>
          </w:tcPr>
          <w:p>
            <w:pPr>
              <w:jc w:val="center"/>
            </w:pPr>
            <w:r>
              <w:rPr>
                <w:b w:val="false"/>
                <w:bCs w:val="false"/>
                <w:sz w:val="16"/>
                <w:szCs w:val="16"/>
              </w:rPr>
              <w:t xml:space="preserve">0</w:t>
            </w:r>
          </w:p>
        </w:tc>
        <w:tc>
          <w:tcPr>
            <w:tcW w:type="pct" w:w="30%"/>
            <w:shd w:fill="E2EFDA" w:color="E2EFDA" w:val="solid"/>
            <w:vAlign w:val="center"/>
          </w:tcPr>
          <w:p>
            <w:pPr>
              <w:jc w:val="center"/>
            </w:pPr>
            <w:r>
              <w:rPr>
                <w:b/>
                <w:bCs/>
                <w:sz w:val="16"/>
                <w:szCs w:val="16"/>
              </w:rPr>
              <w:t xml:space="preserve">5.1</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Sequencing question: should this run before the Step 1-3 feature changes (cleaner base to build on, but delays visible feature progress) or interleaved with them (faster visible progress, but risks new feature work landing in files about to be split/cleaned)?</w:t>
      </w:r>
    </w:p>
    <w:p>
      <w:pPr>
        <w:spacing w:after="80" w:before="240"/>
      </w:pPr>
      <w:r>
        <w:rPr>
          <w:b/>
          <w:bCs/>
          <w:color w:val="2E5395"/>
          <w:sz w:val="23"/>
          <w:szCs w:val="23"/>
        </w:rPr>
        <w:t xml:space="preserve">F.2  Auth-aware UI states</w:t>
      </w:r>
    </w:p>
    <w:p>
      <w:pPr>
        <w:spacing w:after="60"/>
      </w:pPr>
      <w:r>
        <w:rPr>
          <w:b/>
          <w:bCs/>
          <w:sz w:val="19"/>
          <w:szCs w:val="19"/>
        </w:rPr>
        <w:t xml:space="preserve">Why it's needed: </w:t>
      </w:r>
      <w:r>
        <w:rPr>
          <w:sz w:val="19"/>
          <w:szCs w:val="19"/>
        </w:rPr>
        <w:t xml:space="preserve">Not assessed in the original code review — no permission-gated UI or auth-error handling was observed in this feature.</w:t>
      </w:r>
    </w:p>
    <w:p>
      <w:pPr>
        <w:spacing w:after="100"/>
      </w:pPr>
      <w:r>
        <w:rPr>
          <w:b/>
          <w:bCs/>
          <w:sz w:val="19"/>
          <w:szCs w:val="19"/>
        </w:rPr>
        <w:t xml:space="preserve">Scope: </w:t>
      </w:r>
      <w:r>
        <w:rPr>
          <w:sz w:val="19"/>
          <w:szCs w:val="19"/>
        </w:rPr>
        <w:t xml:space="preserve">FE-only slice of auth: permission-gated rendering (e.g. who can Save/Accept a scenario), auth-token wiring into the ready API calls, and 401/expired-session UI handling. Backend auth/permissions design and infra are excluded — assumed ready.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4%"/>
            <w:shd w:fill="1F3864" w:color="1F3864" w:val="solid"/>
            <w:vAlign w:val="center"/>
          </w:tcPr>
          <w:p>
            <w:pPr>
              <w:jc w:val="center"/>
            </w:pPr>
            <w:r>
              <w:rPr>
                <w:b/>
                <w:bCs/>
                <w:color w:val="FFFFFF"/>
                <w:sz w:val="16"/>
                <w:szCs w:val="16"/>
              </w:rPr>
              <w:t xml:space="preserve">FE Integration</w:t>
            </w:r>
          </w:p>
        </w:tc>
        <w:tc>
          <w:tcPr>
            <w:tcW w:type="pct" w:w="30%"/>
            <w:shd w:fill="1F3864" w:color="1F3864" w:val="solid"/>
            <w:vAlign w:val="center"/>
          </w:tcPr>
          <w:p>
            <w:pPr>
              <w:jc w:val="center"/>
            </w:pPr>
            <w:r>
              <w:rPr>
                <w:b/>
                <w:bCs/>
                <w:color w:val="FFFFFF"/>
                <w:sz w:val="16"/>
                <w:szCs w:val="16"/>
              </w:rPr>
              <w:t xml:space="preserve">Total (person-days)</w:t>
            </w:r>
          </w:p>
        </w:tc>
      </w:tr>
      <w:tr>
        <w:tc>
          <w:tcPr>
            <w:tcW w:type="pct" w:w="30%"/>
            <w:shd w:fill="F2F2F2" w:color="F2F2F2" w:val="solid"/>
            <w:vAlign w:val="center"/>
          </w:tcPr>
          <w:p>
            <w:pPr>
              <w:jc w:val="left"/>
            </w:pPr>
            <w:r>
              <w:rPr>
                <w:b/>
                <w:bCs/>
                <w:sz w:val="16"/>
                <w:szCs w:val="16"/>
              </w:rPr>
              <w:t xml:space="preserve">No GenAI</w:t>
            </w:r>
          </w:p>
        </w:tc>
        <w:tc>
          <w:tcPr>
            <w:tcW w:type="pct" w:w="13%"/>
            <w:shd w:fill="F2F2F2" w:color="F2F2F2" w:val="solid"/>
            <w:vAlign w:val="center"/>
          </w:tcPr>
          <w:p>
            <w:pPr>
              <w:jc w:val="center"/>
            </w:pPr>
            <w:r>
              <w:rPr>
                <w:b w:val="false"/>
                <w:bCs w:val="false"/>
                <w:sz w:val="16"/>
                <w:szCs w:val="16"/>
              </w:rPr>
              <w:t xml:space="preserve">1</w:t>
            </w:r>
          </w:p>
        </w:tc>
        <w:tc>
          <w:tcPr>
            <w:tcW w:type="pct" w:w="13%"/>
            <w:shd w:fill="F2F2F2" w:color="F2F2F2" w:val="solid"/>
            <w:vAlign w:val="center"/>
          </w:tcPr>
          <w:p>
            <w:pPr>
              <w:jc w:val="center"/>
            </w:pPr>
            <w:r>
              <w:rPr>
                <w:b w:val="false"/>
                <w:bCs w:val="false"/>
                <w:sz w:val="16"/>
                <w:szCs w:val="16"/>
              </w:rPr>
              <w:t xml:space="preserve">1</w:t>
            </w:r>
          </w:p>
        </w:tc>
        <w:tc>
          <w:tcPr>
            <w:tcW w:type="pct" w:w="14%"/>
            <w:shd w:fill="F2F2F2" w:color="F2F2F2" w:val="solid"/>
            <w:vAlign w:val="center"/>
          </w:tcPr>
          <w:p>
            <w:pPr>
              <w:jc w:val="center"/>
            </w:pPr>
            <w:r>
              <w:rPr>
                <w:b w:val="false"/>
                <w:bCs w:val="false"/>
                <w:sz w:val="16"/>
                <w:szCs w:val="16"/>
              </w:rPr>
              <w:t xml:space="preserve">0.5</w:t>
            </w:r>
          </w:p>
        </w:tc>
        <w:tc>
          <w:tcPr>
            <w:tcW w:type="pct" w:w="30%"/>
            <w:shd w:fill="F2F2F2" w:color="F2F2F2" w:val="solid"/>
            <w:vAlign w:val="center"/>
          </w:tcPr>
          <w:p>
            <w:pPr>
              <w:jc w:val="center"/>
            </w:pPr>
            <w:r>
              <w:rPr>
                <w:b/>
                <w:bCs/>
                <w:sz w:val="16"/>
                <w:szCs w:val="16"/>
              </w:rPr>
              <w:t xml:space="preserve">2.5</w:t>
            </w:r>
          </w:p>
        </w:tc>
      </w:tr>
      <w:tr>
        <w:tc>
          <w:tcPr>
            <w:tcW w:type="pct" w:w="30%"/>
            <w:shd w:fill="E2EFDA" w:color="E2EFDA" w:val="solid"/>
            <w:vAlign w:val="center"/>
          </w:tcPr>
          <w:p>
            <w:pPr>
              <w:jc w:val="left"/>
            </w:pPr>
            <w:r>
              <w:rPr>
                <w:b/>
                <w:bCs/>
                <w:sz w:val="16"/>
                <w:szCs w:val="16"/>
              </w:rPr>
              <w:t xml:space="preserve">With GenAI</w:t>
            </w:r>
          </w:p>
        </w:tc>
        <w:tc>
          <w:tcPr>
            <w:tcW w:type="pct" w:w="13%"/>
            <w:shd w:fill="E2EFDA" w:color="E2EFDA" w:val="solid"/>
            <w:vAlign w:val="center"/>
          </w:tcPr>
          <w:p>
            <w:pPr>
              <w:jc w:val="center"/>
            </w:pPr>
            <w:r>
              <w:rPr>
                <w:b w:val="false"/>
                <w:bCs w:val="false"/>
                <w:sz w:val="16"/>
                <w:szCs w:val="16"/>
              </w:rPr>
              <w:t xml:space="preserve">0.5</w:t>
            </w:r>
          </w:p>
        </w:tc>
        <w:tc>
          <w:tcPr>
            <w:tcW w:type="pct" w:w="13%"/>
            <w:shd w:fill="E2EFDA" w:color="E2EFDA" w:val="solid"/>
            <w:vAlign w:val="center"/>
          </w:tcPr>
          <w:p>
            <w:pPr>
              <w:jc w:val="center"/>
            </w:pPr>
            <w:r>
              <w:rPr>
                <w:b w:val="false"/>
                <w:bCs w:val="false"/>
                <w:sz w:val="16"/>
                <w:szCs w:val="16"/>
              </w:rPr>
              <w:t xml:space="preserve">0.7</w:t>
            </w:r>
          </w:p>
        </w:tc>
        <w:tc>
          <w:tcPr>
            <w:tcW w:type="pct" w:w="14%"/>
            <w:shd w:fill="E2EFDA" w:color="E2EFDA" w:val="solid"/>
            <w:vAlign w:val="center"/>
          </w:tcPr>
          <w:p>
            <w:pPr>
              <w:jc w:val="center"/>
            </w:pPr>
            <w:r>
              <w:rPr>
                <w:b w:val="false"/>
                <w:bCs w:val="false"/>
                <w:sz w:val="16"/>
                <w:szCs w:val="16"/>
              </w:rPr>
              <w:t xml:space="preserve">0.4</w:t>
            </w:r>
          </w:p>
        </w:tc>
        <w:tc>
          <w:tcPr>
            <w:tcW w:type="pct" w:w="30%"/>
            <w:shd w:fill="E2EFDA" w:color="E2EFDA" w:val="solid"/>
            <w:vAlign w:val="center"/>
          </w:tcPr>
          <w:p>
            <w:pPr>
              <w:jc w:val="center"/>
            </w:pPr>
            <w:r>
              <w:rPr>
                <w:b/>
                <w:bCs/>
                <w:sz w:val="16"/>
                <w:szCs w:val="16"/>
              </w:rPr>
              <w:t xml:space="preserve">1.6</w:t>
            </w:r>
          </w:p>
        </w:tc>
      </w:tr>
    </w:tbl>
    <w:p>
      <w:pPr>
        <w:spacing w:after="80" w:before="240"/>
      </w:pPr>
      <w:r>
        <w:rPr>
          <w:b/>
          <w:bCs/>
          <w:color w:val="2E5395"/>
          <w:sz w:val="23"/>
          <w:szCs w:val="23"/>
        </w:rPr>
        <w:t xml:space="preserve">F.3  FE testing (component / E2E)</w:t>
      </w:r>
    </w:p>
    <w:p>
      <w:pPr>
        <w:spacing w:after="60"/>
      </w:pPr>
      <w:r>
        <w:rPr>
          <w:b/>
          <w:bCs/>
          <w:sz w:val="19"/>
          <w:szCs w:val="19"/>
        </w:rPr>
        <w:t xml:space="preserve">Why it's needed: </w:t>
      </w:r>
      <w:r>
        <w:rPr>
          <w:sz w:val="19"/>
          <w:szCs w:val="19"/>
        </w:rPr>
        <w:t xml:space="preserve">No automated test coverage was observed for this feature during the review.</w:t>
      </w:r>
    </w:p>
    <w:p>
      <w:pPr>
        <w:spacing w:after="100"/>
      </w:pPr>
      <w:r>
        <w:rPr>
          <w:b/>
          <w:bCs/>
          <w:sz w:val="19"/>
          <w:szCs w:val="19"/>
        </w:rPr>
        <w:t xml:space="preserve">Scope: </w:t>
      </w:r>
      <w:r>
        <w:rPr>
          <w:sz w:val="19"/>
          <w:szCs w:val="19"/>
        </w:rPr>
        <w:t xml:space="preserve">FE-only slice: component tests for the reworked tables/forms, and end-to-end flows across the 3 steps once bound to real (ready) APIs. Backend/API contract test-suite ownership is excluded — assumed covered by the API-owning 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4%"/>
            <w:shd w:fill="1F3864" w:color="1F3864" w:val="solid"/>
            <w:vAlign w:val="center"/>
          </w:tcPr>
          <w:p>
            <w:pPr>
              <w:jc w:val="center"/>
            </w:pPr>
            <w:r>
              <w:rPr>
                <w:b/>
                <w:bCs/>
                <w:color w:val="FFFFFF"/>
                <w:sz w:val="16"/>
                <w:szCs w:val="16"/>
              </w:rPr>
              <w:t xml:space="preserve">FE Integration</w:t>
            </w:r>
          </w:p>
        </w:tc>
        <w:tc>
          <w:tcPr>
            <w:tcW w:type="pct" w:w="30%"/>
            <w:shd w:fill="1F3864" w:color="1F3864" w:val="solid"/>
            <w:vAlign w:val="center"/>
          </w:tcPr>
          <w:p>
            <w:pPr>
              <w:jc w:val="center"/>
            </w:pPr>
            <w:r>
              <w:rPr>
                <w:b/>
                <w:bCs/>
                <w:color w:val="FFFFFF"/>
                <w:sz w:val="16"/>
                <w:szCs w:val="16"/>
              </w:rPr>
              <w:t xml:space="preserve">Total (person-days)</w:t>
            </w:r>
          </w:p>
        </w:tc>
      </w:tr>
      <w:tr>
        <w:tc>
          <w:tcPr>
            <w:tcW w:type="pct" w:w="30%"/>
            <w:shd w:fill="F2F2F2" w:color="F2F2F2" w:val="solid"/>
            <w:vAlign w:val="center"/>
          </w:tcPr>
          <w:p>
            <w:pPr>
              <w:jc w:val="left"/>
            </w:pPr>
            <w:r>
              <w:rPr>
                <w:b/>
                <w:bCs/>
                <w:sz w:val="16"/>
                <w:szCs w:val="16"/>
              </w:rPr>
              <w:t xml:space="preserve">No GenAI</w:t>
            </w:r>
          </w:p>
        </w:tc>
        <w:tc>
          <w:tcPr>
            <w:tcW w:type="pct" w:w="13%"/>
            <w:shd w:fill="F2F2F2" w:color="F2F2F2" w:val="solid"/>
            <w:vAlign w:val="center"/>
          </w:tcPr>
          <w:p>
            <w:pPr>
              <w:jc w:val="center"/>
            </w:pPr>
            <w:r>
              <w:rPr>
                <w:b w:val="false"/>
                <w:bCs w:val="false"/>
                <w:sz w:val="16"/>
                <w:szCs w:val="16"/>
              </w:rPr>
              <w:t xml:space="preserve">2</w:t>
            </w:r>
          </w:p>
        </w:tc>
        <w:tc>
          <w:tcPr>
            <w:tcW w:type="pct" w:w="13%"/>
            <w:shd w:fill="F2F2F2" w:color="F2F2F2" w:val="solid"/>
            <w:vAlign w:val="center"/>
          </w:tcPr>
          <w:p>
            <w:pPr>
              <w:jc w:val="center"/>
            </w:pPr>
            <w:r>
              <w:rPr>
                <w:b w:val="false"/>
                <w:bCs w:val="false"/>
                <w:sz w:val="16"/>
                <w:szCs w:val="16"/>
              </w:rPr>
              <w:t xml:space="preserve">1</w:t>
            </w:r>
          </w:p>
        </w:tc>
        <w:tc>
          <w:tcPr>
            <w:tcW w:type="pct" w:w="14%"/>
            <w:shd w:fill="F2F2F2" w:color="F2F2F2" w:val="solid"/>
            <w:vAlign w:val="center"/>
          </w:tcPr>
          <w:p>
            <w:pPr>
              <w:jc w:val="center"/>
            </w:pPr>
            <w:r>
              <w:rPr>
                <w:b w:val="false"/>
                <w:bCs w:val="false"/>
                <w:sz w:val="16"/>
                <w:szCs w:val="16"/>
              </w:rPr>
              <w:t xml:space="preserve">0.5</w:t>
            </w:r>
          </w:p>
        </w:tc>
        <w:tc>
          <w:tcPr>
            <w:tcW w:type="pct" w:w="30%"/>
            <w:shd w:fill="F2F2F2" w:color="F2F2F2" w:val="solid"/>
            <w:vAlign w:val="center"/>
          </w:tcPr>
          <w:p>
            <w:pPr>
              <w:jc w:val="center"/>
            </w:pPr>
            <w:r>
              <w:rPr>
                <w:b/>
                <w:bCs/>
                <w:sz w:val="16"/>
                <w:szCs w:val="16"/>
              </w:rPr>
              <w:t xml:space="preserve">3.5</w:t>
            </w:r>
          </w:p>
        </w:tc>
      </w:tr>
      <w:tr>
        <w:tc>
          <w:tcPr>
            <w:tcW w:type="pct" w:w="30%"/>
            <w:shd w:fill="E2EFDA" w:color="E2EFDA" w:val="solid"/>
            <w:vAlign w:val="center"/>
          </w:tcPr>
          <w:p>
            <w:pPr>
              <w:jc w:val="left"/>
            </w:pPr>
            <w:r>
              <w:rPr>
                <w:b/>
                <w:bCs/>
                <w:sz w:val="16"/>
                <w:szCs w:val="16"/>
              </w:rPr>
              <w:t xml:space="preserve">With GenAI</w:t>
            </w:r>
          </w:p>
        </w:tc>
        <w:tc>
          <w:tcPr>
            <w:tcW w:type="pct" w:w="13%"/>
            <w:shd w:fill="E2EFDA" w:color="E2EFDA" w:val="solid"/>
            <w:vAlign w:val="center"/>
          </w:tcPr>
          <w:p>
            <w:pPr>
              <w:jc w:val="center"/>
            </w:pPr>
            <w:r>
              <w:rPr>
                <w:b w:val="false"/>
                <w:bCs w:val="false"/>
                <w:sz w:val="16"/>
                <w:szCs w:val="16"/>
              </w:rPr>
              <w:t xml:space="preserve">1</w:t>
            </w:r>
          </w:p>
        </w:tc>
        <w:tc>
          <w:tcPr>
            <w:tcW w:type="pct" w:w="13%"/>
            <w:shd w:fill="E2EFDA" w:color="E2EFDA" w:val="solid"/>
            <w:vAlign w:val="center"/>
          </w:tcPr>
          <w:p>
            <w:pPr>
              <w:jc w:val="center"/>
            </w:pPr>
            <w:r>
              <w:rPr>
                <w:b w:val="false"/>
                <w:bCs w:val="false"/>
                <w:sz w:val="16"/>
                <w:szCs w:val="16"/>
              </w:rPr>
              <w:t xml:space="preserve">0.7</w:t>
            </w:r>
          </w:p>
        </w:tc>
        <w:tc>
          <w:tcPr>
            <w:tcW w:type="pct" w:w="14%"/>
            <w:shd w:fill="E2EFDA" w:color="E2EFDA" w:val="solid"/>
            <w:vAlign w:val="center"/>
          </w:tcPr>
          <w:p>
            <w:pPr>
              <w:jc w:val="center"/>
            </w:pPr>
            <w:r>
              <w:rPr>
                <w:b w:val="false"/>
                <w:bCs w:val="false"/>
                <w:sz w:val="16"/>
                <w:szCs w:val="16"/>
              </w:rPr>
              <w:t xml:space="preserve">0.4</w:t>
            </w:r>
          </w:p>
        </w:tc>
        <w:tc>
          <w:tcPr>
            <w:tcW w:type="pct" w:w="30%"/>
            <w:shd w:fill="E2EFDA" w:color="E2EFDA" w:val="solid"/>
            <w:vAlign w:val="center"/>
          </w:tcPr>
          <w:p>
            <w:pPr>
              <w:jc w:val="center"/>
            </w:pPr>
            <w:r>
              <w:rPr>
                <w:b/>
                <w:bCs/>
                <w:sz w:val="16"/>
                <w:szCs w:val="16"/>
              </w:rPr>
              <w:t xml:space="preserve">2.1</w:t>
            </w:r>
          </w:p>
        </w:tc>
      </w:tr>
    </w:tbl>
    <w:p>
      <w:pPr>
        <w:pageBreakBefore/>
        <w:spacing w:after="200"/>
      </w:pPr>
      <w:r>
        <w:rPr>
          <w:b/>
          <w:bCs/>
          <w:color w:val="1F3864"/>
          <w:sz w:val="30"/>
          <w:szCs w:val="30"/>
        </w:rPr>
        <w:t xml:space="preserve">Consolidated Open Questions &amp; Functional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1F3864" w:color="1F3864" w:val="solid"/>
            <w:vAlign w:val="center"/>
          </w:tcPr>
          <w:p>
            <w:pPr>
              <w:jc w:val="center"/>
            </w:pPr>
            <w:r>
              <w:rPr>
                <w:b/>
                <w:bCs/>
                <w:color w:val="FFFFFF"/>
                <w:sz w:val="16"/>
                <w:szCs w:val="16"/>
              </w:rPr>
              <w:t xml:space="preserve">#</w:t>
            </w:r>
          </w:p>
        </w:tc>
        <w:tc>
          <w:tcPr>
            <w:tcW w:type="pct" w:w="18%"/>
            <w:shd w:fill="1F3864" w:color="1F3864" w:val="solid"/>
            <w:vAlign w:val="center"/>
          </w:tcPr>
          <w:p>
            <w:pPr>
              <w:jc w:val="center"/>
            </w:pPr>
            <w:r>
              <w:rPr>
                <w:b/>
                <w:bCs/>
                <w:color w:val="FFFFFF"/>
                <w:sz w:val="16"/>
                <w:szCs w:val="16"/>
              </w:rPr>
              <w:t xml:space="preserve">Area</w:t>
            </w:r>
          </w:p>
        </w:tc>
        <w:tc>
          <w:tcPr>
            <w:tcW w:type="pct" w:w="42%"/>
            <w:shd w:fill="1F3864" w:color="1F3864" w:val="solid"/>
            <w:vAlign w:val="center"/>
          </w:tcPr>
          <w:p>
            <w:pPr>
              <w:jc w:val="center"/>
            </w:pPr>
            <w:r>
              <w:rPr>
                <w:b/>
                <w:bCs/>
                <w:color w:val="FFFFFF"/>
                <w:sz w:val="16"/>
                <w:szCs w:val="16"/>
              </w:rPr>
              <w:t xml:space="preserve">Open Question / Gap</w:t>
            </w:r>
          </w:p>
        </w:tc>
        <w:tc>
          <w:tcPr>
            <w:tcW w:type="pct" w:w="34%"/>
            <w:shd w:fill="1F3864" w:color="1F3864" w:val="solid"/>
            <w:vAlign w:val="center"/>
          </w:tcPr>
          <w:p>
            <w:pPr>
              <w:jc w:val="center"/>
            </w:pPr>
            <w:r>
              <w:rPr>
                <w:b/>
                <w:bCs/>
                <w:color w:val="FFFFFF"/>
                <w:sz w:val="16"/>
                <w:szCs w:val="16"/>
              </w:rPr>
              <w:t xml:space="preserve">Why it matters</w:t>
            </w:r>
          </w:p>
        </w:tc>
      </w:tr>
      <w:tr>
        <w:tc>
          <w:tcPr>
            <w:tcW w:type="pct" w:w="6%"/>
            <w:vAlign w:val="center"/>
          </w:tcPr>
          <w:p>
            <w:pPr>
              <w:jc w:val="center"/>
            </w:pPr>
            <w:r>
              <w:rPr>
                <w:b w:val="false"/>
                <w:bCs w:val="false"/>
                <w:sz w:val="16"/>
                <w:szCs w:val="16"/>
              </w:rPr>
              <w:t xml:space="preserve">1</w:t>
            </w:r>
          </w:p>
        </w:tc>
        <w:tc>
          <w:tcPr>
            <w:tcW w:type="pct" w:w="18%"/>
            <w:vAlign w:val="center"/>
          </w:tcPr>
          <w:p>
            <w:pPr>
              <w:jc w:val="left"/>
            </w:pPr>
            <w:r>
              <w:rPr>
                <w:b/>
                <w:bCs/>
                <w:sz w:val="16"/>
                <w:szCs w:val="16"/>
              </w:rPr>
              <w:t xml:space="preserve">Sequencing</w:t>
            </w:r>
          </w:p>
        </w:tc>
        <w:tc>
          <w:tcPr>
            <w:tcW w:type="pct" w:w="42%"/>
            <w:vAlign w:val="center"/>
          </w:tcPr>
          <w:p>
            <w:pPr>
              <w:jc w:val="left"/>
            </w:pPr>
            <w:r>
              <w:rPr>
                <w:b w:val="false"/>
                <w:bCs w:val="false"/>
                <w:sz w:val="16"/>
                <w:szCs w:val="16"/>
              </w:rPr>
              <w:t xml:space="preserve">Should the Code Optimization &amp; Refactor pass run before the Step 1-3 feature changes, or interleaved with them?</w:t>
            </w:r>
          </w:p>
        </w:tc>
        <w:tc>
          <w:tcPr>
            <w:tcW w:type="pct" w:w="34%"/>
            <w:vAlign w:val="center"/>
          </w:tcPr>
          <w:p>
            <w:pPr>
              <w:jc w:val="left"/>
            </w:pPr>
            <w:r>
              <w:rPr>
                <w:b w:val="false"/>
                <w:bCs w:val="false"/>
                <w:sz w:val="16"/>
                <w:szCs w:val="16"/>
              </w:rPr>
              <w:t xml:space="preserve">Running it first gives a cleaner base (especially for the ScenarioComparisonStep.tsx split, which S3.1-S3.4 all touch) but delays visible feature progress; interleaving risks feature work landing in files that are about to move.</w:t>
            </w:r>
          </w:p>
        </w:tc>
      </w:tr>
      <w:tr>
        <w:tc>
          <w:tcPr>
            <w:tcW w:type="pct" w:w="6%"/>
            <w:vAlign w:val="center"/>
          </w:tcPr>
          <w:p>
            <w:pPr>
              <w:jc w:val="center"/>
            </w:pPr>
            <w:r>
              <w:rPr>
                <w:b w:val="false"/>
                <w:bCs w:val="false"/>
                <w:sz w:val="16"/>
                <w:szCs w:val="16"/>
              </w:rPr>
              <w:t xml:space="preserve">2</w:t>
            </w:r>
          </w:p>
        </w:tc>
        <w:tc>
          <w:tcPr>
            <w:tcW w:type="pct" w:w="18%"/>
            <w:vAlign w:val="center"/>
          </w:tcPr>
          <w:p>
            <w:pPr>
              <w:jc w:val="left"/>
            </w:pPr>
            <w:r>
              <w:rPr>
                <w:b/>
                <w:bCs/>
                <w:sz w:val="16"/>
                <w:szCs w:val="16"/>
              </w:rPr>
              <w:t xml:space="preserve">Confidence scores (IUT &amp; MOQ)</w:t>
            </w:r>
          </w:p>
        </w:tc>
        <w:tc>
          <w:tcPr>
            <w:tcW w:type="pct" w:w="42%"/>
            <w:vAlign w:val="center"/>
          </w:tcPr>
          <w:p>
            <w:pPr>
              <w:jc w:val="left"/>
            </w:pPr>
            <w:r>
              <w:rPr>
                <w:b w:val="false"/>
                <w:bCs w:val="false"/>
                <w:sz w:val="16"/>
                <w:szCs w:val="16"/>
              </w:rPr>
              <w:t xml:space="preserve">Does the ready API return a precomputed 12-month count for 'number of times IUT is done' and 'number of times MOQ has been broken', or raw history the FE must aggregate itself?</w:t>
            </w:r>
          </w:p>
        </w:tc>
        <w:tc>
          <w:tcPr>
            <w:tcW w:type="pct" w:w="34%"/>
            <w:vAlign w:val="center"/>
          </w:tcPr>
          <w:p>
            <w:pPr>
              <w:jc w:val="left"/>
            </w:pPr>
            <w:r>
              <w:rPr>
                <w:b w:val="false"/>
                <w:bCs w:val="false"/>
                <w:sz w:val="16"/>
                <w:szCs w:val="16"/>
              </w:rPr>
              <w:t xml:space="preserve">This document's Logic estimates for S2.6 and S2.8 assume a precomputed count. If the FE must aggregate raw history client-side, both rows grow.</w:t>
            </w:r>
          </w:p>
        </w:tc>
      </w:tr>
      <w:tr>
        <w:tc>
          <w:tcPr>
            <w:tcW w:type="pct" w:w="6%"/>
            <w:vAlign w:val="center"/>
          </w:tcPr>
          <w:p>
            <w:pPr>
              <w:jc w:val="center"/>
            </w:pPr>
            <w:r>
              <w:rPr>
                <w:b w:val="false"/>
                <w:bCs w:val="false"/>
                <w:sz w:val="16"/>
                <w:szCs w:val="16"/>
              </w:rPr>
              <w:t xml:space="preserve">3</w:t>
            </w:r>
          </w:p>
        </w:tc>
        <w:tc>
          <w:tcPr>
            <w:tcW w:type="pct" w:w="18%"/>
            <w:vAlign w:val="center"/>
          </w:tcPr>
          <w:p>
            <w:pPr>
              <w:jc w:val="left"/>
            </w:pPr>
            <w:r>
              <w:rPr>
                <w:b/>
                <w:bCs/>
                <w:sz w:val="16"/>
                <w:szCs w:val="16"/>
              </w:rPr>
              <w:t xml:space="preserve">Scenario cost (Step 3)</w:t>
            </w:r>
          </w:p>
        </w:tc>
        <w:tc>
          <w:tcPr>
            <w:tcW w:type="pct" w:w="42%"/>
            <w:vAlign w:val="center"/>
          </w:tcPr>
          <w:p>
            <w:pPr>
              <w:jc w:val="left"/>
            </w:pPr>
            <w:r>
              <w:rPr>
                <w:b w:val="false"/>
                <w:bCs w:val="false"/>
                <w:sz w:val="16"/>
                <w:szCs w:val="16"/>
              </w:rPr>
              <w:t xml:space="preserve">Does the ready scenario API return a distinct 'IUT cost' field separate from blended/total cost, for the 'Total cost' → 'IUT cost' relabel (S3.2)?</w:t>
            </w:r>
          </w:p>
        </w:tc>
        <w:tc>
          <w:tcPr>
            <w:tcW w:type="pct" w:w="34%"/>
            <w:vAlign w:val="center"/>
          </w:tcPr>
          <w:p>
            <w:pPr>
              <w:jc w:val="left"/>
            </w:pPr>
            <w:r>
              <w:rPr>
                <w:b w:val="false"/>
                <w:bCs w:val="false"/>
                <w:sz w:val="16"/>
                <w:szCs w:val="16"/>
              </w:rPr>
              <w:t xml:space="preserve">If only a blended total is available, the FE cannot correctly display 'IUT cost' without a backend change — this item would fall back to the full-scope (calculation-engine) estimate.</w:t>
            </w:r>
          </w:p>
        </w:tc>
      </w:tr>
      <w:tr>
        <w:tc>
          <w:tcPr>
            <w:tcW w:type="pct" w:w="6%"/>
            <w:vAlign w:val="center"/>
          </w:tcPr>
          <w:p>
            <w:pPr>
              <w:jc w:val="center"/>
            </w:pPr>
            <w:r>
              <w:rPr>
                <w:b w:val="false"/>
                <w:bCs w:val="false"/>
                <w:sz w:val="16"/>
                <w:szCs w:val="16"/>
              </w:rPr>
              <w:t xml:space="preserve">4</w:t>
            </w:r>
          </w:p>
        </w:tc>
        <w:tc>
          <w:tcPr>
            <w:tcW w:type="pct" w:w="18%"/>
            <w:vAlign w:val="center"/>
          </w:tcPr>
          <w:p>
            <w:pPr>
              <w:jc w:val="left"/>
            </w:pPr>
            <w:r>
              <w:rPr>
                <w:b/>
                <w:bCs/>
                <w:sz w:val="16"/>
                <w:szCs w:val="16"/>
              </w:rPr>
              <w:t xml:space="preserve">RMPM connectivity status</w:t>
            </w:r>
          </w:p>
        </w:tc>
        <w:tc>
          <w:tcPr>
            <w:tcW w:type="pct" w:w="42%"/>
            <w:vAlign w:val="center"/>
          </w:tcPr>
          <w:p>
            <w:pPr>
              <w:jc w:val="left"/>
            </w:pPr>
            <w:r>
              <w:rPr>
                <w:b w:val="false"/>
                <w:bCs w:val="false"/>
                <w:sz w:val="16"/>
                <w:szCs w:val="16"/>
              </w:rPr>
              <w:t xml:space="preserve">Does the ready API return a structured status enum the FE can map directly to 'Contract issues' / 'Contract not available' / 'Contract available, with issue', or raw BOM/PO/contract flags the FE must combine itself?</w:t>
            </w:r>
          </w:p>
        </w:tc>
        <w:tc>
          <w:tcPr>
            <w:tcW w:type="pct" w:w="34%"/>
            <w:vAlign w:val="center"/>
          </w:tcPr>
          <w:p>
            <w:pPr>
              <w:jc w:val="left"/>
            </w:pPr>
            <w:r>
              <w:rPr>
                <w:b w:val="false"/>
                <w:bCs w:val="false"/>
                <w:sz w:val="16"/>
                <w:szCs w:val="16"/>
              </w:rPr>
              <w:t xml:space="preserve">Directly affects S2.3's Logic estimate and its below-average reuse percentage — combining raw flags client-side is meaningfully more FE work than mapping a ready enum.</w:t>
            </w:r>
          </w:p>
        </w:tc>
      </w:tr>
      <w:tr>
        <w:tc>
          <w:tcPr>
            <w:tcW w:type="pct" w:w="6%"/>
            <w:vAlign w:val="center"/>
          </w:tcPr>
          <w:p>
            <w:pPr>
              <w:jc w:val="center"/>
            </w:pPr>
            <w:r>
              <w:rPr>
                <w:b w:val="false"/>
                <w:bCs w:val="false"/>
                <w:sz w:val="16"/>
                <w:szCs w:val="16"/>
              </w:rPr>
              <w:t xml:space="preserve">5</w:t>
            </w:r>
          </w:p>
        </w:tc>
        <w:tc>
          <w:tcPr>
            <w:tcW w:type="pct" w:w="18%"/>
            <w:vAlign w:val="center"/>
          </w:tcPr>
          <w:p>
            <w:pPr>
              <w:jc w:val="left"/>
            </w:pPr>
            <w:r>
              <w:rPr>
                <w:b/>
                <w:bCs/>
                <w:sz w:val="16"/>
                <w:szCs w:val="16"/>
              </w:rPr>
              <w:t xml:space="preserve">Lane availability (Step 3)</w:t>
            </w:r>
          </w:p>
        </w:tc>
        <w:tc>
          <w:tcPr>
            <w:tcW w:type="pct" w:w="42%"/>
            <w:vAlign w:val="center"/>
          </w:tcPr>
          <w:p>
            <w:pPr>
              <w:jc w:val="left"/>
            </w:pPr>
            <w:r>
              <w:rPr>
                <w:b w:val="false"/>
                <w:bCs w:val="false"/>
                <w:sz w:val="16"/>
                <w:szCs w:val="16"/>
              </w:rPr>
              <w:t xml:space="preserve">What does 'IUT lane availability' mean operationally, and what shape does the ready API return — real-time capacity, a binary flag, or a scheduled window?</w:t>
            </w:r>
          </w:p>
        </w:tc>
        <w:tc>
          <w:tcPr>
            <w:tcW w:type="pct" w:w="34%"/>
            <w:vAlign w:val="center"/>
          </w:tcPr>
          <w:p>
            <w:pPr>
              <w:jc w:val="left"/>
            </w:pPr>
            <w:r>
              <w:rPr>
                <w:b w:val="false"/>
                <w:bCs w:val="false"/>
                <w:sz w:val="16"/>
                <w:szCs w:val="16"/>
              </w:rPr>
              <w:t xml:space="preserve">Changes both the UI shape and the FE-integration effort in S3.4, which already has this assessment's lowest reuse percentage.</w:t>
            </w:r>
          </w:p>
        </w:tc>
      </w:tr>
      <w:tr>
        <w:tc>
          <w:tcPr>
            <w:tcW w:type="pct" w:w="6%"/>
            <w:vAlign w:val="center"/>
          </w:tcPr>
          <w:p>
            <w:pPr>
              <w:jc w:val="center"/>
            </w:pPr>
            <w:r>
              <w:rPr>
                <w:b w:val="false"/>
                <w:bCs w:val="false"/>
                <w:sz w:val="16"/>
                <w:szCs w:val="16"/>
              </w:rPr>
              <w:t xml:space="preserve">6</w:t>
            </w:r>
          </w:p>
        </w:tc>
        <w:tc>
          <w:tcPr>
            <w:tcW w:type="pct" w:w="18%"/>
            <w:vAlign w:val="center"/>
          </w:tcPr>
          <w:p>
            <w:pPr>
              <w:jc w:val="left"/>
            </w:pPr>
            <w:r>
              <w:rPr>
                <w:b/>
                <w:bCs/>
                <w:sz w:val="16"/>
                <w:szCs w:val="16"/>
              </w:rPr>
              <w:t xml:space="preserve">Customise Inputs (Step 2)</w:t>
            </w:r>
          </w:p>
        </w:tc>
        <w:tc>
          <w:tcPr>
            <w:tcW w:type="pct" w:w="42%"/>
            <w:vAlign w:val="center"/>
          </w:tcPr>
          <w:p>
            <w:pPr>
              <w:jc w:val="left"/>
            </w:pPr>
            <w:r>
              <w:rPr>
                <w:b w:val="false"/>
                <w:bCs w:val="false"/>
                <w:sz w:val="16"/>
                <w:szCs w:val="16"/>
              </w:rPr>
              <w:t xml:space="preserve">Should CBU be included as a dimension/filter in Customise Inputs?</w:t>
            </w:r>
          </w:p>
        </w:tc>
        <w:tc>
          <w:tcPr>
            <w:tcW w:type="pct" w:w="34%"/>
            <w:vAlign w:val="center"/>
          </w:tcPr>
          <w:p>
            <w:pPr>
              <w:jc w:val="left"/>
            </w:pPr>
            <w:r>
              <w:rPr>
                <w:b w:val="false"/>
                <w:bCs w:val="false"/>
                <w:sz w:val="16"/>
                <w:szCs w:val="16"/>
              </w:rPr>
              <w:t xml:space="preserve">Explicitly flagged as unresolved in the source review notes; no effort included pending scope.</w:t>
            </w:r>
          </w:p>
        </w:tc>
      </w:tr>
      <w:tr>
        <w:tc>
          <w:tcPr>
            <w:tcW w:type="pct" w:w="6%"/>
            <w:vAlign w:val="center"/>
          </w:tcPr>
          <w:p>
            <w:pPr>
              <w:jc w:val="center"/>
            </w:pPr>
            <w:r>
              <w:rPr>
                <w:b w:val="false"/>
                <w:bCs w:val="false"/>
                <w:sz w:val="16"/>
                <w:szCs w:val="16"/>
              </w:rPr>
              <w:t xml:space="preserve">7</w:t>
            </w:r>
          </w:p>
        </w:tc>
        <w:tc>
          <w:tcPr>
            <w:tcW w:type="pct" w:w="18%"/>
            <w:vAlign w:val="center"/>
          </w:tcPr>
          <w:p>
            <w:pPr>
              <w:jc w:val="left"/>
            </w:pPr>
            <w:r>
              <w:rPr>
                <w:b/>
                <w:bCs/>
                <w:sz w:val="16"/>
                <w:szCs w:val="16"/>
              </w:rPr>
              <w:t xml:space="preserve">RMPM connectivity</w:t>
            </w:r>
          </w:p>
        </w:tc>
        <w:tc>
          <w:tcPr>
            <w:tcW w:type="pct" w:w="42%"/>
            <w:vAlign w:val="center"/>
          </w:tcPr>
          <w:p>
            <w:pPr>
              <w:jc w:val="left"/>
            </w:pPr>
            <w:r>
              <w:rPr>
                <w:b w:val="false"/>
                <w:bCs w:val="false"/>
                <w:sz w:val="16"/>
                <w:szCs w:val="16"/>
              </w:rPr>
              <w:t xml:space="preserve">Does the 'Contract coverage page' referenced in the notes already exist elsewhere in the app (a link target), or is it new FE scope?</w:t>
            </w:r>
          </w:p>
        </w:tc>
        <w:tc>
          <w:tcPr>
            <w:tcW w:type="pct" w:w="34%"/>
            <w:vAlign w:val="center"/>
          </w:tcPr>
          <w:p>
            <w:pPr>
              <w:jc w:val="left"/>
            </w:pPr>
            <w:r>
              <w:rPr>
                <w:b w:val="false"/>
                <w:bCs w:val="false"/>
                <w:sz w:val="16"/>
                <w:szCs w:val="16"/>
              </w:rPr>
              <w:t xml:space="preserve">If new, adds a full page's worth of FE effort not currently counted anywhere in this document.</w:t>
            </w:r>
          </w:p>
        </w:tc>
      </w:tr>
      <w:tr>
        <w:tc>
          <w:tcPr>
            <w:tcW w:type="pct" w:w="6%"/>
            <w:vAlign w:val="center"/>
          </w:tcPr>
          <w:p>
            <w:pPr>
              <w:jc w:val="center"/>
            </w:pPr>
            <w:r>
              <w:rPr>
                <w:b w:val="false"/>
                <w:bCs w:val="false"/>
                <w:sz w:val="16"/>
                <w:szCs w:val="16"/>
              </w:rPr>
              <w:t xml:space="preserve">8</w:t>
            </w:r>
          </w:p>
        </w:tc>
        <w:tc>
          <w:tcPr>
            <w:tcW w:type="pct" w:w="18%"/>
            <w:vAlign w:val="center"/>
          </w:tcPr>
          <w:p>
            <w:pPr>
              <w:jc w:val="left"/>
            </w:pPr>
            <w:r>
              <w:rPr>
                <w:b/>
                <w:bCs/>
                <w:sz w:val="16"/>
                <w:szCs w:val="16"/>
              </w:rPr>
              <w:t xml:space="preserve">IUT Feasibility / Shelf life</w:t>
            </w:r>
          </w:p>
        </w:tc>
        <w:tc>
          <w:tcPr>
            <w:tcW w:type="pct" w:w="42%"/>
            <w:vAlign w:val="center"/>
          </w:tcPr>
          <w:p>
            <w:pPr>
              <w:jc w:val="left"/>
            </w:pPr>
            <w:r>
              <w:rPr>
                <w:b w:val="false"/>
                <w:bCs w:val="false"/>
                <w:sz w:val="16"/>
                <w:szCs w:val="16"/>
              </w:rPr>
              <w:t xml:space="preserve">Should Shelf Life Threshold remain its own tile (ShelfLifeContent.tsx exists but is disconnected/broken), or fully merge into the IUT Feasibility 'Lead time' section?</w:t>
            </w:r>
          </w:p>
        </w:tc>
        <w:tc>
          <w:tcPr>
            <w:tcW w:type="pct" w:w="34%"/>
            <w:vAlign w:val="center"/>
          </w:tcPr>
          <w:p>
            <w:pPr>
              <w:jc w:val="left"/>
            </w:pPr>
            <w:r>
              <w:rPr>
                <w:b w:val="false"/>
                <w:bCs w:val="false"/>
                <w:sz w:val="16"/>
                <w:szCs w:val="16"/>
              </w:rPr>
              <w:t xml:space="preserve">Determines which file absorbs the work, and whether the existing broken component is fixed, replaced, or deleted as part of the optimization pass.</w:t>
            </w:r>
          </w:p>
        </w:tc>
      </w:tr>
      <w:tr>
        <w:tc>
          <w:tcPr>
            <w:tcW w:type="pct" w:w="6%"/>
            <w:vAlign w:val="center"/>
          </w:tcPr>
          <w:p>
            <w:pPr>
              <w:jc w:val="center"/>
            </w:pPr>
            <w:r>
              <w:rPr>
                <w:b w:val="false"/>
                <w:bCs w:val="false"/>
                <w:sz w:val="16"/>
                <w:szCs w:val="16"/>
              </w:rPr>
              <w:t xml:space="preserve">9</w:t>
            </w:r>
          </w:p>
        </w:tc>
        <w:tc>
          <w:tcPr>
            <w:tcW w:type="pct" w:w="18%"/>
            <w:vAlign w:val="center"/>
          </w:tcPr>
          <w:p>
            <w:pPr>
              <w:jc w:val="left"/>
            </w:pPr>
            <w:r>
              <w:rPr>
                <w:b/>
                <w:bCs/>
                <w:sz w:val="16"/>
                <w:szCs w:val="16"/>
              </w:rPr>
              <w:t xml:space="preserve">Custom scenario detail</w:t>
            </w:r>
          </w:p>
        </w:tc>
        <w:tc>
          <w:tcPr>
            <w:tcW w:type="pct" w:w="42%"/>
            <w:vAlign w:val="center"/>
          </w:tcPr>
          <w:p>
            <w:pPr>
              <w:jc w:val="left"/>
            </w:pPr>
            <w:r>
              <w:rPr>
                <w:b w:val="false"/>
                <w:bCs w:val="false"/>
                <w:sz w:val="16"/>
                <w:szCs w:val="16"/>
              </w:rPr>
              <w:t xml:space="preserve">A 1,454-line alternate build of 'summary + component breakdown' (CustomScenarioDetailPage.tsx) is fully coded but unreachable. Revive/adapt it, or build fresh against CustomScenarioDetailView.tsx as scoped in S3.5?</w:t>
            </w:r>
          </w:p>
        </w:tc>
        <w:tc>
          <w:tcPr>
            <w:tcW w:type="pct" w:w="34%"/>
            <w:vAlign w:val="center"/>
          </w:tcPr>
          <w:p>
            <w:pPr>
              <w:jc w:val="left"/>
            </w:pPr>
            <w:r>
              <w:rPr>
                <w:b w:val="false"/>
                <w:bCs w:val="false"/>
                <w:sz w:val="16"/>
                <w:szCs w:val="16"/>
              </w:rPr>
              <w:t xml:space="preserve">Reviving it could cut S3.5's effort further and change the Code Optimization item's dead-code disposition decision.</w:t>
            </w:r>
          </w:p>
        </w:tc>
      </w:tr>
      <w:tr>
        <w:tc>
          <w:tcPr>
            <w:tcW w:type="pct" w:w="6%"/>
            <w:vAlign w:val="center"/>
          </w:tcPr>
          <w:p>
            <w:pPr>
              <w:jc w:val="center"/>
            </w:pPr>
            <w:r>
              <w:rPr>
                <w:b w:val="false"/>
                <w:bCs w:val="false"/>
                <w:sz w:val="16"/>
                <w:szCs w:val="16"/>
              </w:rPr>
              <w:t xml:space="preserve">10</w:t>
            </w:r>
          </w:p>
        </w:tc>
        <w:tc>
          <w:tcPr>
            <w:tcW w:type="pct" w:w="18%"/>
            <w:vAlign w:val="center"/>
          </w:tcPr>
          <w:p>
            <w:pPr>
              <w:jc w:val="left"/>
            </w:pPr>
            <w:r>
              <w:rPr>
                <w:b/>
                <w:bCs/>
                <w:sz w:val="16"/>
                <w:szCs w:val="16"/>
              </w:rPr>
              <w:t xml:space="preserve">Naming</w:t>
            </w:r>
          </w:p>
        </w:tc>
        <w:tc>
          <w:tcPr>
            <w:tcW w:type="pct" w:w="42%"/>
            <w:vAlign w:val="center"/>
          </w:tcPr>
          <w:p>
            <w:pPr>
              <w:jc w:val="left"/>
            </w:pPr>
            <w:r>
              <w:rPr>
                <w:b w:val="false"/>
                <w:bCs w:val="false"/>
                <w:sz w:val="16"/>
                <w:szCs w:val="16"/>
              </w:rPr>
              <w:t xml:space="preserve">When 'Procurement' becomes 'Procure', does that apply only to the standalone scenario name, or also to compound labels ('IUT + Procurement'), table headers, and downstream/report labels?</w:t>
            </w:r>
          </w:p>
        </w:tc>
        <w:tc>
          <w:tcPr>
            <w:tcW w:type="pct" w:w="34%"/>
            <w:vAlign w:val="center"/>
          </w:tcPr>
          <w:p>
            <w:pPr>
              <w:jc w:val="left"/>
            </w:pPr>
            <w:r>
              <w:rPr>
                <w:b w:val="false"/>
                <w:bCs w:val="false"/>
                <w:sz w:val="16"/>
                <w:szCs w:val="16"/>
              </w:rPr>
              <w:t xml:space="preserve">Small effort either way, but ambiguous scope risks missed spots without a single source-of-truth string list.</w:t>
            </w:r>
          </w:p>
        </w:tc>
      </w:tr>
      <w:tr>
        <w:tc>
          <w:tcPr>
            <w:tcW w:type="pct" w:w="6%"/>
            <w:vAlign w:val="center"/>
          </w:tcPr>
          <w:p>
            <w:pPr>
              <w:jc w:val="center"/>
            </w:pPr>
            <w:r>
              <w:rPr>
                <w:b w:val="false"/>
                <w:bCs w:val="false"/>
                <w:sz w:val="16"/>
                <w:szCs w:val="16"/>
              </w:rPr>
              <w:t xml:space="preserve">11</w:t>
            </w:r>
          </w:p>
        </w:tc>
        <w:tc>
          <w:tcPr>
            <w:tcW w:type="pct" w:w="18%"/>
            <w:vAlign w:val="center"/>
          </w:tcPr>
          <w:p>
            <w:pPr>
              <w:jc w:val="left"/>
            </w:pPr>
            <w:r>
              <w:rPr>
                <w:b/>
                <w:bCs/>
                <w:sz w:val="16"/>
                <w:szCs w:val="16"/>
              </w:rPr>
              <w:t xml:space="preserve">Supplier inventory &amp; feedstock</w:t>
            </w:r>
          </w:p>
        </w:tc>
        <w:tc>
          <w:tcPr>
            <w:tcW w:type="pct" w:w="42%"/>
            <w:vAlign w:val="center"/>
          </w:tcPr>
          <w:p>
            <w:pPr>
              <w:jc w:val="left"/>
            </w:pPr>
            <w:r>
              <w:rPr>
                <w:b w:val="false"/>
                <w:bCs w:val="false"/>
                <w:sz w:val="16"/>
                <w:szCs w:val="16"/>
              </w:rPr>
              <w:t xml:space="preserve">What is the ready API's exact response contract for supplier inventory and feedstock — per-material fields, and the convention for 'not available' (null vs. omitted)?</w:t>
            </w:r>
          </w:p>
        </w:tc>
        <w:tc>
          <w:tcPr>
            <w:tcW w:type="pct" w:w="34%"/>
            <w:vAlign w:val="center"/>
          </w:tcPr>
          <w:p>
            <w:pPr>
              <w:jc w:val="left"/>
            </w:pPr>
            <w:r>
              <w:rPr>
                <w:b w:val="false"/>
                <w:bCs w:val="false"/>
                <w:sz w:val="16"/>
                <w:szCs w:val="16"/>
              </w:rPr>
              <w:t xml:space="preserve">Determines how much auto-populate/conditional logic S2.2 actually needs.</w:t>
            </w:r>
          </w:p>
        </w:tc>
      </w:tr>
      <w:tr>
        <w:tc>
          <w:tcPr>
            <w:tcW w:type="pct" w:w="6%"/>
            <w:vAlign w:val="center"/>
          </w:tcPr>
          <w:p>
            <w:pPr>
              <w:jc w:val="center"/>
            </w:pPr>
            <w:r>
              <w:rPr>
                <w:b w:val="false"/>
                <w:bCs w:val="false"/>
                <w:sz w:val="16"/>
                <w:szCs w:val="16"/>
              </w:rPr>
              <w:t xml:space="preserve">12</w:t>
            </w:r>
          </w:p>
        </w:tc>
        <w:tc>
          <w:tcPr>
            <w:tcW w:type="pct" w:w="18%"/>
            <w:vAlign w:val="center"/>
          </w:tcPr>
          <w:p>
            <w:pPr>
              <w:jc w:val="left"/>
            </w:pPr>
            <w:r>
              <w:rPr>
                <w:b/>
                <w:bCs/>
                <w:sz w:val="16"/>
                <w:szCs w:val="16"/>
              </w:rPr>
              <w:t xml:space="preserve">Drafts / projects</w:t>
            </w:r>
          </w:p>
        </w:tc>
        <w:tc>
          <w:tcPr>
            <w:tcW w:type="pct" w:w="42%"/>
            <w:vAlign w:val="center"/>
          </w:tcPr>
          <w:p>
            <w:pPr>
              <w:jc w:val="left"/>
            </w:pPr>
            <w:r>
              <w:rPr>
                <w:b w:val="false"/>
                <w:bCs w:val="false"/>
                <w:sz w:val="16"/>
                <w:szCs w:val="16"/>
              </w:rPr>
              <w:t xml:space="preserve">What is the ready drafts API's data contract — single-owner autosave, versioned drafts, or shared multi-user projects?</w:t>
            </w:r>
          </w:p>
        </w:tc>
        <w:tc>
          <w:tcPr>
            <w:tcW w:type="pct" w:w="34%"/>
            <w:vAlign w:val="center"/>
          </w:tcPr>
          <w:p>
            <w:pPr>
              <w:jc w:val="left"/>
            </w:pPr>
            <w:r>
              <w:rPr>
                <w:b w:val="false"/>
                <w:bCs w:val="false"/>
                <w:sz w:val="16"/>
                <w:szCs w:val="16"/>
              </w:rPr>
              <w:t xml:space="preserve">S1.3's estimate assumes a simple single-owner draft; a versioned/multi-user contract would need additional UI (e.g. version history) not currently scoped.</w:t>
            </w:r>
          </w:p>
        </w:tc>
      </w:tr>
      <w:tr>
        <w:tc>
          <w:tcPr>
            <w:tcW w:type="pct" w:w="6%"/>
            <w:vAlign w:val="center"/>
          </w:tcPr>
          <w:p>
            <w:pPr>
              <w:jc w:val="center"/>
            </w:pPr>
            <w:r>
              <w:rPr>
                <w:b w:val="false"/>
                <w:bCs w:val="false"/>
                <w:sz w:val="16"/>
                <w:szCs w:val="16"/>
              </w:rPr>
              <w:t xml:space="preserve">13</w:t>
            </w:r>
          </w:p>
        </w:tc>
        <w:tc>
          <w:tcPr>
            <w:tcW w:type="pct" w:w="18%"/>
            <w:vAlign w:val="center"/>
          </w:tcPr>
          <w:p>
            <w:pPr>
              <w:jc w:val="left"/>
            </w:pPr>
            <w:r>
              <w:rPr>
                <w:b/>
                <w:bCs/>
                <w:sz w:val="16"/>
                <w:szCs w:val="16"/>
              </w:rPr>
              <w:t xml:space="preserve">Code health</w:t>
            </w:r>
          </w:p>
        </w:tc>
        <w:tc>
          <w:tcPr>
            <w:tcW w:type="pct" w:w="42%"/>
            <w:vAlign w:val="center"/>
          </w:tcPr>
          <w:p>
            <w:pPr>
              <w:jc w:val="left"/>
            </w:pPr>
            <w:r>
              <w:rPr>
                <w:b w:val="false"/>
                <w:bCs w:val="false"/>
                <w:sz w:val="16"/>
                <w:szCs w:val="16"/>
              </w:rPr>
              <w:t xml:space="preserve">Should the confirmed dead FE code (CustomScenarioDetailPage.tsx, scenarioMindMap/*, duplicate scenarioDetailModel files, broken ShelfLifeContent.tsx) be deleted, revived, or left as-is?</w:t>
            </w:r>
          </w:p>
        </w:tc>
        <w:tc>
          <w:tcPr>
            <w:tcW w:type="pct" w:w="34%"/>
            <w:vAlign w:val="center"/>
          </w:tcPr>
          <w:p>
            <w:pPr>
              <w:jc w:val="left"/>
            </w:pPr>
            <w:r>
              <w:rPr>
                <w:b w:val="false"/>
                <w:bCs w:val="false"/>
                <w:sz w:val="16"/>
                <w:szCs w:val="16"/>
              </w:rPr>
              <w:t xml:space="preserve">Directly determines the scope (and possibly the size) of the Code Optimization &amp; Refactor line item.</w:t>
            </w:r>
          </w:p>
        </w:tc>
      </w:tr>
    </w:tbl>
    <w:sectPr>
      <w:headerReference w:type="default" r:id="rId7"/>
      <w:footerReference w:type="default" r:id="rId8"/>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4"/>
        <w:szCs w:val="14"/>
      </w:rPr>
      <w:t xml:space="preserve">Network Down Stocking Agent Trial — Front-End Effort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2026-09-09T06:45:21.515Z</dcterms:created>
  <dcterms:modified xsi:type="dcterms:W3CDTF">2026-09-09T06:45:21.515Z</dcterms:modified>
</cp:coreProperties>
</file>

<file path=docProps/custom.xml><?xml version="1.0" encoding="utf-8"?>
<Properties xmlns="http://schemas.openxmlformats.org/officeDocument/2006/custom-properties" xmlns:vt="http://schemas.openxmlformats.org/officeDocument/2006/docPropsVTypes"/>
</file>