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Supplementary Information</w:t>
      </w:r>
    </w:p>
    <w:p>
      <w:pPr>
        <w:spacing w:after="120"/>
        <w:jc w:val="center"/>
      </w:pPr>
      <w:r>
        <w:rPr>
          <w:b w:val="0"/>
          <w:i/>
          <w:sz w:val="22"/>
        </w:rPr>
        <w:t>Antibodies read protein sequence conventionally and protein shape unconventionally: a matched comparison of antibody and co-evolved protein interfaces</w:t>
      </w:r>
    </w:p>
    <w:p>
      <w:pPr>
        <w:pStyle w:val="Heading1"/>
      </w:pPr>
      <w:r>
        <w:rPr>
          <w:rFonts w:ascii="Times New Roman" w:hAnsi="Times New Roman"/>
          <w:color w:val="000000"/>
        </w:rPr>
        <w:t>Contents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Section</w:t>
            </w:r>
          </w:p>
        </w:tc>
        <w:tc>
          <w:tcPr>
            <w:tcW w:type="dxa" w:w="3120"/>
          </w:tcPr>
          <w:p>
            <w:r/>
            <w:r>
              <w:rPr>
                <w:b/>
                <w:sz w:val="18"/>
              </w:rPr>
              <w:t>Contents</w:t>
            </w:r>
          </w:p>
        </w:tc>
        <w:tc>
          <w:tcPr>
            <w:tcW w:type="dxa" w:w="3120"/>
          </w:tcPr>
          <w:p>
            <w:r/>
            <w:r>
              <w:rPr>
                <w:b/>
                <w:sz w:val="18"/>
              </w:rPr>
              <w:t>Items</w:t>
            </w:r>
          </w:p>
        </w:tc>
      </w:tr>
      <w:tr>
        <w:tc>
          <w:tcPr>
            <w:tcW w:type="dxa" w:w="3120"/>
          </w:tcPr>
          <w:p>
            <w:r/>
            <w:r>
              <w:rPr>
                <w:b w:val="0"/>
                <w:sz w:val="18"/>
              </w:rPr>
              <w:t>S1</w:t>
            </w:r>
          </w:p>
        </w:tc>
        <w:tc>
          <w:tcPr>
            <w:tcW w:type="dxa" w:w="3120"/>
          </w:tcPr>
          <w:p>
            <w:r/>
            <w:r>
              <w:rPr>
                <w:b w:val="0"/>
                <w:sz w:val="18"/>
              </w:rPr>
              <w:t>Corpus composition and redundancy structure</w:t>
            </w:r>
          </w:p>
        </w:tc>
        <w:tc>
          <w:tcPr>
            <w:tcW w:type="dxa" w:w="3120"/>
          </w:tcPr>
          <w:p>
            <w:r/>
            <w:r>
              <w:rPr>
                <w:b w:val="0"/>
                <w:sz w:val="18"/>
              </w:rPr>
              <w:t>Table S1</w:t>
            </w:r>
          </w:p>
        </w:tc>
      </w:tr>
      <w:tr>
        <w:tc>
          <w:tcPr>
            <w:tcW w:type="dxa" w:w="3120"/>
          </w:tcPr>
          <w:p>
            <w:r/>
            <w:r>
              <w:rPr>
                <w:b w:val="0"/>
                <w:sz w:val="18"/>
              </w:rPr>
              <w:t>S2</w:t>
            </w:r>
          </w:p>
        </w:tc>
        <w:tc>
          <w:tcPr>
            <w:tcW w:type="dxa" w:w="3120"/>
          </w:tcPr>
          <w:p>
            <w:r/>
            <w:r>
              <w:rPr>
                <w:b w:val="0"/>
                <w:sz w:val="18"/>
              </w:rPr>
              <w:t>Antigen length floor sensitivity</w:t>
            </w:r>
          </w:p>
        </w:tc>
        <w:tc>
          <w:tcPr>
            <w:tcW w:type="dxa" w:w="3120"/>
          </w:tcPr>
          <w:p>
            <w:r/>
            <w:r>
              <w:rPr>
                <w:b w:val="0"/>
                <w:sz w:val="18"/>
              </w:rPr>
              <w:t>Table S2</w:t>
            </w:r>
          </w:p>
        </w:tc>
      </w:tr>
      <w:tr>
        <w:tc>
          <w:tcPr>
            <w:tcW w:type="dxa" w:w="3120"/>
          </w:tcPr>
          <w:p>
            <w:r/>
            <w:r>
              <w:rPr>
                <w:b w:val="0"/>
                <w:sz w:val="18"/>
              </w:rPr>
              <w:t>S3</w:t>
            </w:r>
          </w:p>
        </w:tc>
        <w:tc>
          <w:tcPr>
            <w:tcW w:type="dxa" w:w="3120"/>
          </w:tcPr>
          <w:p>
            <w:r/>
            <w:r>
              <w:rPr>
                <w:b w:val="0"/>
                <w:sz w:val="18"/>
              </w:rPr>
              <w:t>Interface physicochemistry, full comparison</w:t>
            </w:r>
          </w:p>
        </w:tc>
        <w:tc>
          <w:tcPr>
            <w:tcW w:type="dxa" w:w="3120"/>
          </w:tcPr>
          <w:p>
            <w:r/>
            <w:r>
              <w:rPr>
                <w:b w:val="0"/>
                <w:sz w:val="18"/>
              </w:rPr>
              <w:t>Table S3</w:t>
            </w:r>
          </w:p>
        </w:tc>
      </w:tr>
      <w:tr>
        <w:tc>
          <w:tcPr>
            <w:tcW w:type="dxa" w:w="3120"/>
          </w:tcPr>
          <w:p>
            <w:r/>
            <w:r>
              <w:rPr>
                <w:b w:val="0"/>
                <w:sz w:val="18"/>
              </w:rPr>
              <w:t>S4</w:t>
            </w:r>
          </w:p>
        </w:tc>
        <w:tc>
          <w:tcPr>
            <w:tcW w:type="dxa" w:w="3120"/>
          </w:tcPr>
          <w:p>
            <w:r/>
            <w:r>
              <w:rPr>
                <w:b w:val="0"/>
                <w:sz w:val="18"/>
              </w:rPr>
              <w:t>Confound controls with size-matched nulls</w:t>
            </w:r>
          </w:p>
        </w:tc>
        <w:tc>
          <w:tcPr>
            <w:tcW w:type="dxa" w:w="3120"/>
          </w:tcPr>
          <w:p>
            <w:r/>
            <w:r>
              <w:rPr>
                <w:b w:val="0"/>
                <w:sz w:val="18"/>
              </w:rPr>
              <w:t>Table S4</w:t>
            </w:r>
          </w:p>
        </w:tc>
      </w:tr>
      <w:tr>
        <w:tc>
          <w:tcPr>
            <w:tcW w:type="dxa" w:w="3120"/>
          </w:tcPr>
          <w:p>
            <w:r/>
            <w:r>
              <w:rPr>
                <w:b w:val="0"/>
                <w:sz w:val="18"/>
              </w:rPr>
              <w:t>S5</w:t>
            </w:r>
          </w:p>
        </w:tc>
        <w:tc>
          <w:tcPr>
            <w:tcW w:type="dxa" w:w="3120"/>
          </w:tcPr>
          <w:p>
            <w:r/>
            <w:r>
              <w:rPr>
                <w:b w:val="0"/>
                <w:sz w:val="18"/>
              </w:rPr>
              <w:t>Paratope composition against two backgrounds</w:t>
            </w:r>
          </w:p>
        </w:tc>
        <w:tc>
          <w:tcPr>
            <w:tcW w:type="dxa" w:w="3120"/>
          </w:tcPr>
          <w:p>
            <w:r/>
            <w:r>
              <w:rPr>
                <w:b w:val="0"/>
                <w:sz w:val="18"/>
              </w:rPr>
              <w:t>Table S5</w:t>
            </w:r>
          </w:p>
        </w:tc>
      </w:tr>
      <w:tr>
        <w:tc>
          <w:tcPr>
            <w:tcW w:type="dxa" w:w="3120"/>
          </w:tcPr>
          <w:p>
            <w:r/>
            <w:r>
              <w:rPr>
                <w:b w:val="0"/>
                <w:sz w:val="18"/>
              </w:rPr>
              <w:t>S6</w:t>
            </w:r>
          </w:p>
        </w:tc>
        <w:tc>
          <w:tcPr>
            <w:tcW w:type="dxa" w:w="3120"/>
          </w:tcPr>
          <w:p>
            <w:r/>
            <w:r>
              <w:rPr>
                <w:b w:val="0"/>
                <w:sz w:val="18"/>
              </w:rPr>
              <w:t>Burial thermodynamics</w:t>
            </w:r>
          </w:p>
        </w:tc>
        <w:tc>
          <w:tcPr>
            <w:tcW w:type="dxa" w:w="3120"/>
          </w:tcPr>
          <w:p>
            <w:r/>
            <w:r>
              <w:rPr>
                <w:b w:val="0"/>
                <w:sz w:val="18"/>
              </w:rPr>
              <w:t>Table S6</w:t>
            </w:r>
          </w:p>
        </w:tc>
      </w:tr>
      <w:tr>
        <w:tc>
          <w:tcPr>
            <w:tcW w:type="dxa" w:w="3120"/>
          </w:tcPr>
          <w:p>
            <w:r/>
            <w:r>
              <w:rPr>
                <w:b w:val="0"/>
                <w:sz w:val="18"/>
              </w:rPr>
              <w:t>S7</w:t>
            </w:r>
          </w:p>
        </w:tc>
        <w:tc>
          <w:tcPr>
            <w:tcW w:type="dxa" w:w="3120"/>
          </w:tcPr>
          <w:p>
            <w:r/>
            <w:r>
              <w:rPr>
                <w:b w:val="0"/>
                <w:sz w:val="18"/>
              </w:rPr>
              <w:t>Interface geometry</w:t>
            </w:r>
          </w:p>
        </w:tc>
        <w:tc>
          <w:tcPr>
            <w:tcW w:type="dxa" w:w="3120"/>
          </w:tcPr>
          <w:p>
            <w:r/>
            <w:r>
              <w:rPr>
                <w:b w:val="0"/>
                <w:sz w:val="18"/>
              </w:rPr>
              <w:t>Table S7</w:t>
            </w:r>
          </w:p>
        </w:tc>
      </w:tr>
      <w:tr>
        <w:tc>
          <w:tcPr>
            <w:tcW w:type="dxa" w:w="3120"/>
          </w:tcPr>
          <w:p>
            <w:r/>
            <w:r>
              <w:rPr>
                <w:b w:val="0"/>
                <w:sz w:val="18"/>
              </w:rPr>
              <w:t>S8</w:t>
            </w:r>
          </w:p>
        </w:tc>
        <w:tc>
          <w:tcPr>
            <w:tcW w:type="dxa" w:w="3120"/>
          </w:tcPr>
          <w:p>
            <w:r/>
            <w:r>
              <w:rPr>
                <w:b w:val="0"/>
                <w:sz w:val="18"/>
              </w:rPr>
              <w:t>Verification checks and corrected errors</w:t>
            </w:r>
          </w:p>
        </w:tc>
        <w:tc>
          <w:tcPr>
            <w:tcW w:type="dxa" w:w="3120"/>
          </w:tcPr>
          <w:p>
            <w:r/>
            <w:r>
              <w:rPr>
                <w:b w:val="0"/>
                <w:sz w:val="18"/>
              </w:rPr>
              <w:t>Text</w:t>
            </w:r>
          </w:p>
        </w:tc>
      </w:tr>
      <w:tr>
        <w:tc>
          <w:tcPr>
            <w:tcW w:type="dxa" w:w="3120"/>
          </w:tcPr>
          <w:p>
            <w:r/>
            <w:r>
              <w:rPr>
                <w:b w:val="0"/>
                <w:sz w:val="18"/>
              </w:rPr>
              <w:t>S9</w:t>
            </w:r>
          </w:p>
        </w:tc>
        <w:tc>
          <w:tcPr>
            <w:tcW w:type="dxa" w:w="3120"/>
          </w:tcPr>
          <w:p>
            <w:r/>
            <w:r>
              <w:rPr>
                <w:b w:val="0"/>
                <w:sz w:val="18"/>
              </w:rPr>
              <w:t>Analysis code and the purpose of each script</w:t>
            </w:r>
          </w:p>
        </w:tc>
        <w:tc>
          <w:tcPr>
            <w:tcW w:type="dxa" w:w="3120"/>
          </w:tcPr>
          <w:p>
            <w:r/>
            <w:r>
              <w:rPr>
                <w:b w:val="0"/>
                <w:sz w:val="18"/>
              </w:rPr>
              <w:t>Tables S8 to S10</w:t>
            </w:r>
          </w:p>
        </w:tc>
      </w:tr>
      <w:tr>
        <w:tc>
          <w:tcPr>
            <w:tcW w:type="dxa" w:w="3120"/>
          </w:tcPr>
          <w:p>
            <w:r/>
            <w:r>
              <w:rPr>
                <w:b w:val="0"/>
                <w:sz w:val="18"/>
              </w:rPr>
              <w:t>S10</w:t>
            </w:r>
          </w:p>
        </w:tc>
        <w:tc>
          <w:tcPr>
            <w:tcW w:type="dxa" w:w="3120"/>
          </w:tcPr>
          <w:p>
            <w:r/>
            <w:r>
              <w:rPr>
                <w:b w:val="0"/>
                <w:sz w:val="18"/>
              </w:rPr>
              <w:t>Supplementary figures</w:t>
            </w:r>
          </w:p>
        </w:tc>
        <w:tc>
          <w:tcPr>
            <w:tcW w:type="dxa" w:w="3120"/>
          </w:tcPr>
          <w:p>
            <w:r/>
            <w:r>
              <w:rPr>
                <w:b w:val="0"/>
                <w:sz w:val="18"/>
              </w:rPr>
              <w:t>Figs. S1 to S20</w:t>
            </w:r>
          </w:p>
        </w:tc>
      </w:tr>
      <w:tr>
        <w:tc>
          <w:tcPr>
            <w:tcW w:type="dxa" w:w="3120"/>
          </w:tcPr>
          <w:p>
            <w:r/>
            <w:r>
              <w:rPr>
                <w:b w:val="0"/>
                <w:sz w:val="18"/>
              </w:rPr>
              <w:t>S11</w:t>
            </w:r>
          </w:p>
        </w:tc>
        <w:tc>
          <w:tcPr>
            <w:tcW w:type="dxa" w:w="3120"/>
          </w:tcPr>
          <w:p>
            <w:r/>
            <w:r>
              <w:rPr>
                <w:b w:val="0"/>
                <w:sz w:val="18"/>
              </w:rPr>
              <w:t>Supplementary data files</w:t>
            </w:r>
          </w:p>
        </w:tc>
        <w:tc>
          <w:tcPr>
            <w:tcW w:type="dxa" w:w="3120"/>
          </w:tcPr>
          <w:p>
            <w:r/>
            <w:r>
              <w:rPr>
                <w:b w:val="0"/>
                <w:sz w:val="18"/>
              </w:rPr>
              <w:t>Table S11</w:t>
            </w:r>
          </w:p>
        </w:tc>
      </w:tr>
    </w:tbl>
    <w:p>
      <w:pPr>
        <w:spacing w:after="120"/>
      </w:pPr>
      <w:r>
        <w:rPr>
          <w:b w:val="0"/>
          <w:i w:val="0"/>
          <w:sz w:val="18"/>
        </w:rPr>
        <w:t>Table of contents for the supplementary information.</w:t>
      </w:r>
    </w:p>
    <w:p>
      <w:pPr>
        <w:pStyle w:val="Heading1"/>
      </w:pPr>
      <w:r>
        <w:rPr>
          <w:rFonts w:ascii="Times New Roman" w:hAnsi="Times New Roman"/>
          <w:color w:val="000000"/>
        </w:rPr>
        <w:t>S1. Corpus composition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Property</w:t>
            </w:r>
          </w:p>
        </w:tc>
        <w:tc>
          <w:tcPr>
            <w:tcW w:type="dxa" w:w="3120"/>
          </w:tcPr>
          <w:p>
            <w:r/>
            <w:r>
              <w:rPr>
                <w:b/>
                <w:sz w:val="18"/>
              </w:rPr>
              <w:t>Antibody-antigen</w:t>
            </w:r>
          </w:p>
        </w:tc>
        <w:tc>
          <w:tcPr>
            <w:tcW w:type="dxa" w:w="3120"/>
          </w:tcPr>
          <w:p>
            <w:r/>
            <w:r>
              <w:rPr>
                <w:b/>
                <w:sz w:val="18"/>
              </w:rPr>
              <w:t>Protein-protein</w:t>
            </w:r>
          </w:p>
        </w:tc>
      </w:tr>
      <w:tr>
        <w:tc>
          <w:tcPr>
            <w:tcW w:type="dxa" w:w="3120"/>
          </w:tcPr>
          <w:p>
            <w:r/>
            <w:r>
              <w:rPr>
                <w:b w:val="0"/>
                <w:sz w:val="18"/>
              </w:rPr>
              <w:t>Structures analysed</w:t>
            </w:r>
          </w:p>
        </w:tc>
        <w:tc>
          <w:tcPr>
            <w:tcW w:type="dxa" w:w="3120"/>
          </w:tcPr>
          <w:p>
            <w:r/>
            <w:r>
              <w:rPr>
                <w:b w:val="0"/>
                <w:sz w:val="18"/>
              </w:rPr>
              <w:t>512</w:t>
            </w:r>
          </w:p>
        </w:tc>
        <w:tc>
          <w:tcPr>
            <w:tcW w:type="dxa" w:w="3120"/>
          </w:tcPr>
          <w:p>
            <w:r/>
            <w:r>
              <w:rPr>
                <w:b w:val="0"/>
                <w:sz w:val="18"/>
              </w:rPr>
              <w:t>2,292</w:t>
            </w:r>
          </w:p>
        </w:tc>
      </w:tr>
      <w:tr>
        <w:tc>
          <w:tcPr>
            <w:tcW w:type="dxa" w:w="3120"/>
          </w:tcPr>
          <w:p>
            <w:r/>
            <w:r>
              <w:rPr>
                <w:b w:val="0"/>
                <w:sz w:val="18"/>
              </w:rPr>
              <w:t>cluster30 independence units</w:t>
            </w:r>
          </w:p>
        </w:tc>
        <w:tc>
          <w:tcPr>
            <w:tcW w:type="dxa" w:w="3120"/>
          </w:tcPr>
          <w:p>
            <w:r/>
            <w:r>
              <w:rPr>
                <w:b w:val="0"/>
                <w:sz w:val="18"/>
              </w:rPr>
              <w:t>233</w:t>
            </w:r>
          </w:p>
        </w:tc>
        <w:tc>
          <w:tcPr>
            <w:tcW w:type="dxa" w:w="3120"/>
          </w:tcPr>
          <w:p>
            <w:r/>
            <w:r>
              <w:rPr>
                <w:b w:val="0"/>
                <w:sz w:val="18"/>
              </w:rPr>
              <w:t>1,326</w:t>
            </w:r>
          </w:p>
        </w:tc>
      </w:tr>
      <w:tr>
        <w:tc>
          <w:tcPr>
            <w:tcW w:type="dxa" w:w="3120"/>
          </w:tcPr>
          <w:p>
            <w:r/>
            <w:r>
              <w:rPr>
                <w:b w:val="0"/>
                <w:sz w:val="18"/>
              </w:rPr>
              <w:t>Residue-pair contacts</w:t>
            </w:r>
          </w:p>
        </w:tc>
        <w:tc>
          <w:tcPr>
            <w:tcW w:type="dxa" w:w="3120"/>
          </w:tcPr>
          <w:p>
            <w:r/>
            <w:r>
              <w:rPr>
                <w:b w:val="0"/>
                <w:sz w:val="18"/>
              </w:rPr>
              <w:t>36,810</w:t>
            </w:r>
          </w:p>
        </w:tc>
        <w:tc>
          <w:tcPr>
            <w:tcW w:type="dxa" w:w="3120"/>
          </w:tcPr>
          <w:p>
            <w:r/>
            <w:r>
              <w:rPr>
                <w:b w:val="0"/>
                <w:sz w:val="18"/>
              </w:rPr>
              <w:t>406,397</w:t>
            </w:r>
          </w:p>
        </w:tc>
      </w:tr>
      <w:tr>
        <w:tc>
          <w:tcPr>
            <w:tcW w:type="dxa" w:w="3120"/>
          </w:tcPr>
          <w:p>
            <w:r/>
            <w:r>
              <w:rPr>
                <w:b w:val="0"/>
                <w:sz w:val="18"/>
              </w:rPr>
              <w:t>Atom-atom contacts mapped</w:t>
            </w:r>
          </w:p>
        </w:tc>
        <w:tc>
          <w:tcPr>
            <w:tcW w:type="dxa" w:w="3120"/>
          </w:tcPr>
          <w:p>
            <w:r/>
            <w:r>
              <w:rPr>
                <w:b w:val="0"/>
                <w:sz w:val="18"/>
              </w:rPr>
              <w:t>182,442</w:t>
            </w:r>
          </w:p>
        </w:tc>
        <w:tc>
          <w:tcPr>
            <w:tcW w:type="dxa" w:w="3120"/>
          </w:tcPr>
          <w:p>
            <w:r/>
            <w:r>
              <w:rPr>
                <w:b w:val="0"/>
                <w:sz w:val="18"/>
              </w:rPr>
              <w:t>1,767,916</w:t>
            </w:r>
          </w:p>
        </w:tc>
      </w:tr>
      <w:tr>
        <w:tc>
          <w:tcPr>
            <w:tcW w:type="dxa" w:w="3120"/>
          </w:tcPr>
          <w:p>
            <w:r/>
            <w:r>
              <w:rPr>
                <w:b w:val="0"/>
                <w:sz w:val="18"/>
              </w:rPr>
              <w:t>Median resolution (A)</w:t>
            </w:r>
          </w:p>
        </w:tc>
        <w:tc>
          <w:tcPr>
            <w:tcW w:type="dxa" w:w="3120"/>
          </w:tcPr>
          <w:p>
            <w:r/>
            <w:r>
              <w:rPr>
                <w:b w:val="0"/>
                <w:sz w:val="18"/>
              </w:rPr>
              <w:t>1.83</w:t>
            </w:r>
          </w:p>
        </w:tc>
        <w:tc>
          <w:tcPr>
            <w:tcW w:type="dxa" w:w="3120"/>
          </w:tcPr>
          <w:p>
            <w:r/>
            <w:r>
              <w:rPr>
                <w:b w:val="0"/>
                <w:sz w:val="18"/>
              </w:rPr>
              <w:t>1.80</w:t>
            </w:r>
          </w:p>
        </w:tc>
      </w:tr>
      <w:tr>
        <w:tc>
          <w:tcPr>
            <w:tcW w:type="dxa" w:w="3120"/>
          </w:tcPr>
          <w:p>
            <w:r/>
            <w:r>
              <w:rPr>
                <w:b w:val="0"/>
                <w:sz w:val="18"/>
              </w:rPr>
              <w:t>Experimental method</w:t>
            </w:r>
          </w:p>
        </w:tc>
        <w:tc>
          <w:tcPr>
            <w:tcW w:type="dxa" w:w="3120"/>
          </w:tcPr>
          <w:p>
            <w:r/>
            <w:r>
              <w:rPr>
                <w:b w:val="0"/>
                <w:sz w:val="18"/>
              </w:rPr>
              <w:t>100% X-ray</w:t>
            </w:r>
          </w:p>
        </w:tc>
        <w:tc>
          <w:tcPr>
            <w:tcW w:type="dxa" w:w="3120"/>
          </w:tcPr>
          <w:p>
            <w:r/>
            <w:r>
              <w:rPr>
                <w:b w:val="0"/>
                <w:sz w:val="18"/>
              </w:rPr>
              <w:t>predominantly X-ray</w:t>
            </w:r>
          </w:p>
        </w:tc>
      </w:tr>
      <w:tr>
        <w:tc>
          <w:tcPr>
            <w:tcW w:type="dxa" w:w="3120"/>
          </w:tcPr>
          <w:p>
            <w:r/>
            <w:r>
              <w:rPr>
                <w:b w:val="0"/>
                <w:sz w:val="18"/>
              </w:rPr>
              <w:t>Largest cluster share</w:t>
            </w:r>
          </w:p>
        </w:tc>
        <w:tc>
          <w:tcPr>
            <w:tcW w:type="dxa" w:w="3120"/>
          </w:tcPr>
          <w:p>
            <w:r/>
            <w:r>
              <w:rPr>
                <w:b w:val="0"/>
                <w:sz w:val="18"/>
              </w:rPr>
              <w:t>8.8%</w:t>
            </w:r>
          </w:p>
        </w:tc>
        <w:tc>
          <w:tcPr>
            <w:tcW w:type="dxa" w:w="3120"/>
          </w:tcPr>
          <w:p>
            <w:r/>
            <w:r>
              <w:rPr>
                <w:b w:val="0"/>
                <w:sz w:val="18"/>
              </w:rPr>
              <w:t>3.6%</w:t>
            </w:r>
          </w:p>
        </w:tc>
      </w:tr>
      <w:tr>
        <w:tc>
          <w:tcPr>
            <w:tcW w:type="dxa" w:w="3120"/>
          </w:tcPr>
          <w:p>
            <w:r/>
            <w:r>
              <w:rPr>
                <w:b w:val="0"/>
                <w:sz w:val="18"/>
              </w:rPr>
              <w:t>Singleton units</w:t>
            </w:r>
          </w:p>
        </w:tc>
        <w:tc>
          <w:tcPr>
            <w:tcW w:type="dxa" w:w="3120"/>
          </w:tcPr>
          <w:p>
            <w:r/>
            <w:r>
              <w:rPr>
                <w:b w:val="0"/>
                <w:sz w:val="18"/>
              </w:rPr>
              <w:t>149 of 233</w:t>
            </w:r>
          </w:p>
        </w:tc>
        <w:tc>
          <w:tcPr>
            <w:tcW w:type="dxa" w:w="3120"/>
          </w:tcPr>
          <w:p>
            <w:r/>
            <w:r>
              <w:rPr>
                <w:b w:val="0"/>
                <w:sz w:val="18"/>
              </w:rPr>
              <w:t>719 of 1,326</w:t>
            </w:r>
          </w:p>
        </w:tc>
      </w:tr>
    </w:tbl>
    <w:p>
      <w:pPr>
        <w:spacing w:after="120"/>
      </w:pPr>
      <w:r>
        <w:rPr>
          <w:b w:val="0"/>
          <w:i w:val="0"/>
          <w:sz w:val="18"/>
        </w:rPr>
        <w:t>Table S1 Corpus composition and redundancy structure.</w:t>
      </w:r>
    </w:p>
    <w:p>
      <w:pPr>
        <w:pStyle w:val="Heading1"/>
      </w:pPr>
      <w:r>
        <w:rPr>
          <w:rFonts w:ascii="Times New Roman" w:hAnsi="Times New Roman"/>
          <w:color w:val="000000"/>
        </w:rPr>
        <w:t>S2. Antigen length floor sensitivity</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Minimum antigen length (residues)</w:t>
            </w:r>
          </w:p>
        </w:tc>
        <w:tc>
          <w:tcPr>
            <w:tcW w:type="dxa" w:w="4680"/>
          </w:tcPr>
          <w:p>
            <w:r/>
            <w:r>
              <w:rPr>
                <w:b/>
                <w:sz w:val="18"/>
              </w:rPr>
              <w:t>Structures retained</w:t>
            </w:r>
          </w:p>
        </w:tc>
      </w:tr>
      <w:tr>
        <w:tc>
          <w:tcPr>
            <w:tcW w:type="dxa" w:w="4680"/>
          </w:tcPr>
          <w:p>
            <w:r/>
            <w:r>
              <w:rPr>
                <w:b w:val="0"/>
                <w:sz w:val="18"/>
              </w:rPr>
              <w:t>0</w:t>
            </w:r>
          </w:p>
        </w:tc>
        <w:tc>
          <w:tcPr>
            <w:tcW w:type="dxa" w:w="4680"/>
          </w:tcPr>
          <w:p>
            <w:r/>
            <w:r>
              <w:rPr>
                <w:b w:val="0"/>
                <w:sz w:val="18"/>
              </w:rPr>
              <w:t>774</w:t>
            </w:r>
          </w:p>
        </w:tc>
      </w:tr>
      <w:tr>
        <w:tc>
          <w:tcPr>
            <w:tcW w:type="dxa" w:w="4680"/>
          </w:tcPr>
          <w:p>
            <w:r/>
            <w:r>
              <w:rPr>
                <w:b w:val="0"/>
                <w:sz w:val="18"/>
              </w:rPr>
              <w:t>30</w:t>
            </w:r>
          </w:p>
        </w:tc>
        <w:tc>
          <w:tcPr>
            <w:tcW w:type="dxa" w:w="4680"/>
          </w:tcPr>
          <w:p>
            <w:r/>
            <w:r>
              <w:rPr>
                <w:b w:val="0"/>
                <w:sz w:val="18"/>
              </w:rPr>
              <w:t>530</w:t>
            </w:r>
          </w:p>
        </w:tc>
      </w:tr>
      <w:tr>
        <w:tc>
          <w:tcPr>
            <w:tcW w:type="dxa" w:w="4680"/>
          </w:tcPr>
          <w:p>
            <w:r/>
            <w:r>
              <w:rPr>
                <w:b w:val="0"/>
                <w:sz w:val="18"/>
              </w:rPr>
              <w:t>50 (adopted)</w:t>
            </w:r>
          </w:p>
        </w:tc>
        <w:tc>
          <w:tcPr>
            <w:tcW w:type="dxa" w:w="4680"/>
          </w:tcPr>
          <w:p>
            <w:r/>
            <w:r>
              <w:rPr>
                <w:b w:val="0"/>
                <w:sz w:val="18"/>
              </w:rPr>
              <w:t>512</w:t>
            </w:r>
          </w:p>
        </w:tc>
      </w:tr>
      <w:tr>
        <w:tc>
          <w:tcPr>
            <w:tcW w:type="dxa" w:w="4680"/>
          </w:tcPr>
          <w:p>
            <w:r/>
            <w:r>
              <w:rPr>
                <w:b w:val="0"/>
                <w:sz w:val="18"/>
              </w:rPr>
              <w:t>80</w:t>
            </w:r>
          </w:p>
        </w:tc>
        <w:tc>
          <w:tcPr>
            <w:tcW w:type="dxa" w:w="4680"/>
          </w:tcPr>
          <w:p>
            <w:r/>
            <w:r>
              <w:rPr>
                <w:b w:val="0"/>
                <w:sz w:val="18"/>
              </w:rPr>
              <w:t>481</w:t>
            </w:r>
          </w:p>
        </w:tc>
      </w:tr>
    </w:tbl>
    <w:p>
      <w:pPr>
        <w:spacing w:after="120"/>
      </w:pPr>
      <w:r>
        <w:rPr>
          <w:b w:val="0"/>
          <w:i w:val="0"/>
          <w:sz w:val="18"/>
        </w:rPr>
        <w:t>Table S2 Sensitivity of the antibody corpus to the antigen length floor.</w:t>
      </w:r>
    </w:p>
    <w:p>
      <w:pPr>
        <w:pStyle w:val="Heading1"/>
      </w:pPr>
      <w:r>
        <w:rPr>
          <w:rFonts w:ascii="Times New Roman" w:hAnsi="Times New Roman"/>
          <w:color w:val="000000"/>
        </w:rPr>
        <w:t>S3. Interface physicochemistry, full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Property</w:t>
            </w:r>
          </w:p>
        </w:tc>
        <w:tc>
          <w:tcPr>
            <w:tcW w:type="dxa" w:w="1872"/>
          </w:tcPr>
          <w:p>
            <w:r/>
            <w:r>
              <w:rPr>
                <w:b/>
                <w:sz w:val="18"/>
              </w:rPr>
              <w:t>Antibody median</w:t>
            </w:r>
          </w:p>
        </w:tc>
        <w:tc>
          <w:tcPr>
            <w:tcW w:type="dxa" w:w="1872"/>
          </w:tcPr>
          <w:p>
            <w:r/>
            <w:r>
              <w:rPr>
                <w:b/>
                <w:sz w:val="18"/>
              </w:rPr>
              <w:t>PPI median</w:t>
            </w:r>
          </w:p>
        </w:tc>
        <w:tc>
          <w:tcPr>
            <w:tcW w:type="dxa" w:w="1872"/>
          </w:tcPr>
          <w:p>
            <w:r/>
            <w:r>
              <w:rPr>
                <w:b/>
                <w:sz w:val="18"/>
              </w:rPr>
              <w:t>Effect</w:t>
            </w:r>
          </w:p>
        </w:tc>
        <w:tc>
          <w:tcPr>
            <w:tcW w:type="dxa" w:w="1872"/>
          </w:tcPr>
          <w:p>
            <w:r/>
            <w:r>
              <w:rPr>
                <w:b/>
                <w:sz w:val="18"/>
              </w:rPr>
              <w:t>p</w:t>
            </w:r>
          </w:p>
        </w:tc>
      </w:tr>
      <w:tr>
        <w:tc>
          <w:tcPr>
            <w:tcW w:type="dxa" w:w="1872"/>
          </w:tcPr>
          <w:p>
            <w:r/>
            <w:r>
              <w:rPr>
                <w:b w:val="0"/>
                <w:sz w:val="18"/>
              </w:rPr>
              <w:t>Residue pairs per interface</w:t>
            </w:r>
          </w:p>
        </w:tc>
        <w:tc>
          <w:tcPr>
            <w:tcW w:type="dxa" w:w="1872"/>
          </w:tcPr>
          <w:p>
            <w:r/>
            <w:r>
              <w:rPr>
                <w:b w:val="0"/>
                <w:sz w:val="18"/>
              </w:rPr>
              <w:t>59.000</w:t>
            </w:r>
          </w:p>
        </w:tc>
        <w:tc>
          <w:tcPr>
            <w:tcW w:type="dxa" w:w="1872"/>
          </w:tcPr>
          <w:p>
            <w:r/>
            <w:r>
              <w:rPr>
                <w:b w:val="0"/>
                <w:sz w:val="18"/>
              </w:rPr>
              <w:t>86.321</w:t>
            </w:r>
          </w:p>
        </w:tc>
        <w:tc>
          <w:tcPr>
            <w:tcW w:type="dxa" w:w="1872"/>
          </w:tcPr>
          <w:p>
            <w:r/>
            <w:r>
              <w:rPr>
                <w:b w:val="0"/>
                <w:sz w:val="18"/>
              </w:rPr>
              <w:t>-0.314</w:t>
            </w:r>
          </w:p>
        </w:tc>
        <w:tc>
          <w:tcPr>
            <w:tcW w:type="dxa" w:w="1872"/>
          </w:tcPr>
          <w:p>
            <w:r/>
            <w:r>
              <w:rPr>
                <w:b w:val="0"/>
                <w:sz w:val="18"/>
              </w:rPr>
              <w:t>2.81e-13</w:t>
            </w:r>
          </w:p>
        </w:tc>
      </w:tr>
      <w:tr>
        <w:tc>
          <w:tcPr>
            <w:tcW w:type="dxa" w:w="1872"/>
          </w:tcPr>
          <w:p>
            <w:r/>
            <w:r>
              <w:rPr>
                <w:b w:val="0"/>
                <w:sz w:val="18"/>
              </w:rPr>
              <w:t>Probe-side interface residues</w:t>
            </w:r>
          </w:p>
        </w:tc>
        <w:tc>
          <w:tcPr>
            <w:tcW w:type="dxa" w:w="1872"/>
          </w:tcPr>
          <w:p>
            <w:r/>
            <w:r>
              <w:rPr>
                <w:b w:val="0"/>
                <w:sz w:val="18"/>
              </w:rPr>
              <w:t>25.000</w:t>
            </w:r>
          </w:p>
        </w:tc>
        <w:tc>
          <w:tcPr>
            <w:tcW w:type="dxa" w:w="1872"/>
          </w:tcPr>
          <w:p>
            <w:r/>
            <w:r>
              <w:rPr>
                <w:b w:val="0"/>
                <w:sz w:val="18"/>
              </w:rPr>
              <w:t>37.417</w:t>
            </w:r>
          </w:p>
        </w:tc>
        <w:tc>
          <w:tcPr>
            <w:tcW w:type="dxa" w:w="1872"/>
          </w:tcPr>
          <w:p>
            <w:r/>
            <w:r>
              <w:rPr>
                <w:b w:val="0"/>
                <w:sz w:val="18"/>
              </w:rPr>
              <w:t>-0.330</w:t>
            </w:r>
          </w:p>
        </w:tc>
        <w:tc>
          <w:tcPr>
            <w:tcW w:type="dxa" w:w="1872"/>
          </w:tcPr>
          <w:p>
            <w:r/>
            <w:r>
              <w:rPr>
                <w:b w:val="0"/>
                <w:sz w:val="18"/>
              </w:rPr>
              <w:t>1.62e-14</w:t>
            </w:r>
          </w:p>
        </w:tc>
      </w:tr>
      <w:tr>
        <w:tc>
          <w:tcPr>
            <w:tcW w:type="dxa" w:w="1872"/>
          </w:tcPr>
          <w:p>
            <w:r/>
            <w:r>
              <w:rPr>
                <w:b w:val="0"/>
                <w:sz w:val="18"/>
              </w:rPr>
              <w:t>Target-side interface residues</w:t>
            </w:r>
          </w:p>
        </w:tc>
        <w:tc>
          <w:tcPr>
            <w:tcW w:type="dxa" w:w="1872"/>
          </w:tcPr>
          <w:p>
            <w:r/>
            <w:r>
              <w:rPr>
                <w:b w:val="0"/>
                <w:sz w:val="18"/>
              </w:rPr>
              <w:t>23.500</w:t>
            </w:r>
          </w:p>
        </w:tc>
        <w:tc>
          <w:tcPr>
            <w:tcW w:type="dxa" w:w="1872"/>
          </w:tcPr>
          <w:p>
            <w:r/>
            <w:r>
              <w:rPr>
                <w:b w:val="0"/>
                <w:sz w:val="18"/>
              </w:rPr>
              <w:t>33.000</w:t>
            </w:r>
          </w:p>
        </w:tc>
        <w:tc>
          <w:tcPr>
            <w:tcW w:type="dxa" w:w="1872"/>
          </w:tcPr>
          <w:p>
            <w:r/>
            <w:r>
              <w:rPr>
                <w:b w:val="0"/>
                <w:sz w:val="18"/>
              </w:rPr>
              <w:t>-0.269</w:t>
            </w:r>
          </w:p>
        </w:tc>
        <w:tc>
          <w:tcPr>
            <w:tcW w:type="dxa" w:w="1872"/>
          </w:tcPr>
          <w:p>
            <w:r/>
            <w:r>
              <w:rPr>
                <w:b w:val="0"/>
                <w:sz w:val="18"/>
              </w:rPr>
              <w:t>3.93e-10</w:t>
            </w:r>
          </w:p>
        </w:tc>
      </w:tr>
      <w:tr>
        <w:tc>
          <w:tcPr>
            <w:tcW w:type="dxa" w:w="1872"/>
          </w:tcPr>
          <w:p>
            <w:r/>
            <w:r>
              <w:rPr>
                <w:b w:val="0"/>
                <w:sz w:val="18"/>
              </w:rPr>
              <w:t>Atom contacts per interface</w:t>
            </w:r>
          </w:p>
        </w:tc>
        <w:tc>
          <w:tcPr>
            <w:tcW w:type="dxa" w:w="1872"/>
          </w:tcPr>
          <w:p>
            <w:r/>
            <w:r>
              <w:rPr>
                <w:b w:val="0"/>
                <w:sz w:val="18"/>
              </w:rPr>
              <w:t>350.000</w:t>
            </w:r>
          </w:p>
        </w:tc>
        <w:tc>
          <w:tcPr>
            <w:tcW w:type="dxa" w:w="1872"/>
          </w:tcPr>
          <w:p>
            <w:r/>
            <w:r>
              <w:rPr>
                <w:b w:val="0"/>
                <w:sz w:val="18"/>
              </w:rPr>
              <w:t>467.500</w:t>
            </w:r>
          </w:p>
        </w:tc>
        <w:tc>
          <w:tcPr>
            <w:tcW w:type="dxa" w:w="1872"/>
          </w:tcPr>
          <w:p>
            <w:r/>
            <w:r>
              <w:rPr>
                <w:b w:val="0"/>
                <w:sz w:val="18"/>
              </w:rPr>
              <w:t>-0.239</w:t>
            </w:r>
          </w:p>
        </w:tc>
        <w:tc>
          <w:tcPr>
            <w:tcW w:type="dxa" w:w="1872"/>
          </w:tcPr>
          <w:p>
            <w:r/>
            <w:r>
              <w:rPr>
                <w:b w:val="0"/>
                <w:sz w:val="18"/>
              </w:rPr>
              <w:t>2.46e-08</w:t>
            </w:r>
          </w:p>
        </w:tc>
      </w:tr>
      <w:tr>
        <w:tc>
          <w:tcPr>
            <w:tcW w:type="dxa" w:w="1872"/>
          </w:tcPr>
          <w:p>
            <w:r/>
            <w:r>
              <w:rPr>
                <w:b w:val="0"/>
                <w:sz w:val="18"/>
              </w:rPr>
              <w:t>Mean closest approach (A)</w:t>
            </w:r>
          </w:p>
        </w:tc>
        <w:tc>
          <w:tcPr>
            <w:tcW w:type="dxa" w:w="1872"/>
          </w:tcPr>
          <w:p>
            <w:r/>
            <w:r>
              <w:rPr>
                <w:b w:val="0"/>
                <w:sz w:val="18"/>
              </w:rPr>
              <w:t>3.587</w:t>
            </w:r>
          </w:p>
        </w:tc>
        <w:tc>
          <w:tcPr>
            <w:tcW w:type="dxa" w:w="1872"/>
          </w:tcPr>
          <w:p>
            <w:r/>
            <w:r>
              <w:rPr>
                <w:b w:val="0"/>
                <w:sz w:val="18"/>
              </w:rPr>
              <w:t>3.641</w:t>
            </w:r>
          </w:p>
        </w:tc>
        <w:tc>
          <w:tcPr>
            <w:tcW w:type="dxa" w:w="1872"/>
          </w:tcPr>
          <w:p>
            <w:r/>
            <w:r>
              <w:rPr>
                <w:b w:val="0"/>
                <w:sz w:val="18"/>
              </w:rPr>
              <w:t>-0.405</w:t>
            </w:r>
          </w:p>
        </w:tc>
        <w:tc>
          <w:tcPr>
            <w:tcW w:type="dxa" w:w="1872"/>
          </w:tcPr>
          <w:p>
            <w:r/>
            <w:r>
              <w:rPr>
                <w:b w:val="0"/>
                <w:sz w:val="18"/>
              </w:rPr>
              <w:t>3.53e-21</w:t>
            </w:r>
          </w:p>
        </w:tc>
      </w:tr>
      <w:tr>
        <w:tc>
          <w:tcPr>
            <w:tcW w:type="dxa" w:w="1872"/>
          </w:tcPr>
          <w:p>
            <w:r/>
            <w:r>
              <w:rPr>
                <w:b w:val="0"/>
                <w:sz w:val="18"/>
              </w:rPr>
              <w:t>Hydrogen bond fraction</w:t>
            </w:r>
          </w:p>
        </w:tc>
        <w:tc>
          <w:tcPr>
            <w:tcW w:type="dxa" w:w="1872"/>
          </w:tcPr>
          <w:p>
            <w:r/>
            <w:r>
              <w:rPr>
                <w:b w:val="0"/>
                <w:sz w:val="18"/>
              </w:rPr>
              <w:t>0.253</w:t>
            </w:r>
          </w:p>
        </w:tc>
        <w:tc>
          <w:tcPr>
            <w:tcW w:type="dxa" w:w="1872"/>
          </w:tcPr>
          <w:p>
            <w:r/>
            <w:r>
              <w:rPr>
                <w:b w:val="0"/>
                <w:sz w:val="18"/>
              </w:rPr>
              <w:t>0.200</w:t>
            </w:r>
          </w:p>
        </w:tc>
        <w:tc>
          <w:tcPr>
            <w:tcW w:type="dxa" w:w="1872"/>
          </w:tcPr>
          <w:p>
            <w:r/>
            <w:r>
              <w:rPr>
                <w:b w:val="0"/>
                <w:sz w:val="18"/>
              </w:rPr>
              <w:t>+0.436</w:t>
            </w:r>
          </w:p>
        </w:tc>
        <w:tc>
          <w:tcPr>
            <w:tcW w:type="dxa" w:w="1872"/>
          </w:tcPr>
          <w:p>
            <w:r/>
            <w:r>
              <w:rPr>
                <w:b w:val="0"/>
                <w:sz w:val="18"/>
              </w:rPr>
              <w:t>3.35e-24</w:t>
            </w:r>
          </w:p>
        </w:tc>
      </w:tr>
      <w:tr>
        <w:tc>
          <w:tcPr>
            <w:tcW w:type="dxa" w:w="1872"/>
          </w:tcPr>
          <w:p>
            <w:r/>
            <w:r>
              <w:rPr>
                <w:b w:val="0"/>
                <w:sz w:val="18"/>
              </w:rPr>
              <w:t>Salt bridge fraction</w:t>
            </w:r>
          </w:p>
        </w:tc>
        <w:tc>
          <w:tcPr>
            <w:tcW w:type="dxa" w:w="1872"/>
          </w:tcPr>
          <w:p>
            <w:r/>
            <w:r>
              <w:rPr>
                <w:b w:val="0"/>
                <w:sz w:val="18"/>
              </w:rPr>
              <w:t>0.033</w:t>
            </w:r>
          </w:p>
        </w:tc>
        <w:tc>
          <w:tcPr>
            <w:tcW w:type="dxa" w:w="1872"/>
          </w:tcPr>
          <w:p>
            <w:r/>
            <w:r>
              <w:rPr>
                <w:b w:val="0"/>
                <w:sz w:val="18"/>
              </w:rPr>
              <w:t>0.033</w:t>
            </w:r>
          </w:p>
        </w:tc>
        <w:tc>
          <w:tcPr>
            <w:tcW w:type="dxa" w:w="1872"/>
          </w:tcPr>
          <w:p>
            <w:r/>
            <w:r>
              <w:rPr>
                <w:b w:val="0"/>
                <w:sz w:val="18"/>
              </w:rPr>
              <w:t>-0.044</w:t>
            </w:r>
          </w:p>
        </w:tc>
        <w:tc>
          <w:tcPr>
            <w:tcW w:type="dxa" w:w="1872"/>
          </w:tcPr>
          <w:p>
            <w:r/>
            <w:r>
              <w:rPr>
                <w:b w:val="0"/>
                <w:sz w:val="18"/>
              </w:rPr>
              <w:t>3.00e-01</w:t>
            </w:r>
          </w:p>
        </w:tc>
      </w:tr>
      <w:tr>
        <w:tc>
          <w:tcPr>
            <w:tcW w:type="dxa" w:w="1872"/>
          </w:tcPr>
          <w:p>
            <w:r/>
            <w:r>
              <w:rPr>
                <w:b w:val="0"/>
                <w:sz w:val="18"/>
              </w:rPr>
              <w:t>van der Waals fraction</w:t>
            </w:r>
          </w:p>
        </w:tc>
        <w:tc>
          <w:tcPr>
            <w:tcW w:type="dxa" w:w="1872"/>
          </w:tcPr>
          <w:p>
            <w:r/>
            <w:r>
              <w:rPr>
                <w:b w:val="0"/>
                <w:sz w:val="18"/>
              </w:rPr>
              <w:t>0.652</w:t>
            </w:r>
          </w:p>
        </w:tc>
        <w:tc>
          <w:tcPr>
            <w:tcW w:type="dxa" w:w="1872"/>
          </w:tcPr>
          <w:p>
            <w:r/>
            <w:r>
              <w:rPr>
                <w:b w:val="0"/>
                <w:sz w:val="18"/>
              </w:rPr>
              <w:t>0.684</w:t>
            </w:r>
          </w:p>
        </w:tc>
        <w:tc>
          <w:tcPr>
            <w:tcW w:type="dxa" w:w="1872"/>
          </w:tcPr>
          <w:p>
            <w:r/>
            <w:r>
              <w:rPr>
                <w:b w:val="0"/>
                <w:sz w:val="18"/>
              </w:rPr>
              <w:t>-0.254</w:t>
            </w:r>
          </w:p>
        </w:tc>
        <w:tc>
          <w:tcPr>
            <w:tcW w:type="dxa" w:w="1872"/>
          </w:tcPr>
          <w:p>
            <w:r/>
            <w:r>
              <w:rPr>
                <w:b w:val="0"/>
                <w:sz w:val="18"/>
              </w:rPr>
              <w:t>3.43e-09</w:t>
            </w:r>
          </w:p>
        </w:tc>
      </w:tr>
      <w:tr>
        <w:tc>
          <w:tcPr>
            <w:tcW w:type="dxa" w:w="1872"/>
          </w:tcPr>
          <w:p>
            <w:r/>
            <w:r>
              <w:rPr>
                <w:b w:val="0"/>
                <w:sz w:val="18"/>
              </w:rPr>
              <w:t>Aromatic stacking fraction</w:t>
            </w:r>
          </w:p>
        </w:tc>
        <w:tc>
          <w:tcPr>
            <w:tcW w:type="dxa" w:w="1872"/>
          </w:tcPr>
          <w:p>
            <w:r/>
            <w:r>
              <w:rPr>
                <w:b w:val="0"/>
                <w:sz w:val="18"/>
              </w:rPr>
              <w:t>0.000</w:t>
            </w:r>
          </w:p>
        </w:tc>
        <w:tc>
          <w:tcPr>
            <w:tcW w:type="dxa" w:w="1872"/>
          </w:tcPr>
          <w:p>
            <w:r/>
            <w:r>
              <w:rPr>
                <w:b w:val="0"/>
                <w:sz w:val="18"/>
              </w:rPr>
              <w:t>0.000</w:t>
            </w:r>
          </w:p>
        </w:tc>
        <w:tc>
          <w:tcPr>
            <w:tcW w:type="dxa" w:w="1872"/>
          </w:tcPr>
          <w:p>
            <w:r/>
            <w:r>
              <w:rPr>
                <w:b w:val="0"/>
                <w:sz w:val="18"/>
              </w:rPr>
              <w:t>+0.015</w:t>
            </w:r>
          </w:p>
        </w:tc>
        <w:tc>
          <w:tcPr>
            <w:tcW w:type="dxa" w:w="1872"/>
          </w:tcPr>
          <w:p>
            <w:r/>
            <w:r>
              <w:rPr>
                <w:b w:val="0"/>
                <w:sz w:val="18"/>
              </w:rPr>
              <w:t>6.50e-01</w:t>
            </w:r>
          </w:p>
        </w:tc>
      </w:tr>
      <w:tr>
        <w:tc>
          <w:tcPr>
            <w:tcW w:type="dxa" w:w="1872"/>
          </w:tcPr>
          <w:p>
            <w:r/>
            <w:r>
              <w:rPr>
                <w:b w:val="0"/>
                <w:sz w:val="18"/>
              </w:rPr>
              <w:t>Opposite-charge pair fraction</w:t>
            </w:r>
          </w:p>
        </w:tc>
        <w:tc>
          <w:tcPr>
            <w:tcW w:type="dxa" w:w="1872"/>
          </w:tcPr>
          <w:p>
            <w:r/>
            <w:r>
              <w:rPr>
                <w:b w:val="0"/>
                <w:sz w:val="18"/>
              </w:rPr>
              <w:t>0.051</w:t>
            </w:r>
          </w:p>
        </w:tc>
        <w:tc>
          <w:tcPr>
            <w:tcW w:type="dxa" w:w="1872"/>
          </w:tcPr>
          <w:p>
            <w:r/>
            <w:r>
              <w:rPr>
                <w:b w:val="0"/>
                <w:sz w:val="18"/>
              </w:rPr>
              <w:t>0.051</w:t>
            </w:r>
          </w:p>
        </w:tc>
        <w:tc>
          <w:tcPr>
            <w:tcW w:type="dxa" w:w="1872"/>
          </w:tcPr>
          <w:p>
            <w:r/>
            <w:r>
              <w:rPr>
                <w:b w:val="0"/>
                <w:sz w:val="18"/>
              </w:rPr>
              <w:t>-0.040</w:t>
            </w:r>
          </w:p>
        </w:tc>
        <w:tc>
          <w:tcPr>
            <w:tcW w:type="dxa" w:w="1872"/>
          </w:tcPr>
          <w:p>
            <w:r/>
            <w:r>
              <w:rPr>
                <w:b w:val="0"/>
                <w:sz w:val="18"/>
              </w:rPr>
              <w:t>3.50e-01</w:t>
            </w:r>
          </w:p>
        </w:tc>
      </w:tr>
      <w:tr>
        <w:tc>
          <w:tcPr>
            <w:tcW w:type="dxa" w:w="1872"/>
          </w:tcPr>
          <w:p>
            <w:r/>
            <w:r>
              <w:rPr>
                <w:b w:val="0"/>
                <w:sz w:val="18"/>
              </w:rPr>
              <w:t>Like-charge pair fraction</w:t>
            </w:r>
          </w:p>
        </w:tc>
        <w:tc>
          <w:tcPr>
            <w:tcW w:type="dxa" w:w="1872"/>
          </w:tcPr>
          <w:p>
            <w:r/>
            <w:r>
              <w:rPr>
                <w:b w:val="0"/>
                <w:sz w:val="18"/>
              </w:rPr>
              <w:t>0.011</w:t>
            </w:r>
          </w:p>
        </w:tc>
        <w:tc>
          <w:tcPr>
            <w:tcW w:type="dxa" w:w="1872"/>
          </w:tcPr>
          <w:p>
            <w:r/>
            <w:r>
              <w:rPr>
                <w:b w:val="0"/>
                <w:sz w:val="18"/>
              </w:rPr>
              <w:t>0.016</w:t>
            </w:r>
          </w:p>
        </w:tc>
        <w:tc>
          <w:tcPr>
            <w:tcW w:type="dxa" w:w="1872"/>
          </w:tcPr>
          <w:p>
            <w:r/>
            <w:r>
              <w:rPr>
                <w:b w:val="0"/>
                <w:sz w:val="18"/>
              </w:rPr>
              <w:t>-0.163</w:t>
            </w:r>
          </w:p>
        </w:tc>
        <w:tc>
          <w:tcPr>
            <w:tcW w:type="dxa" w:w="1872"/>
          </w:tcPr>
          <w:p>
            <w:r/>
            <w:r>
              <w:rPr>
                <w:b w:val="0"/>
                <w:sz w:val="18"/>
              </w:rPr>
              <w:t>1.23e-04</w:t>
            </w:r>
          </w:p>
        </w:tc>
      </w:tr>
      <w:tr>
        <w:tc>
          <w:tcPr>
            <w:tcW w:type="dxa" w:w="1872"/>
          </w:tcPr>
          <w:p>
            <w:r/>
            <w:r>
              <w:rPr>
                <w:b w:val="0"/>
                <w:sz w:val="18"/>
              </w:rPr>
              <w:t>Apolar-apolar fraction</w:t>
            </w:r>
          </w:p>
        </w:tc>
        <w:tc>
          <w:tcPr>
            <w:tcW w:type="dxa" w:w="1872"/>
          </w:tcPr>
          <w:p>
            <w:r/>
            <w:r>
              <w:rPr>
                <w:b w:val="0"/>
                <w:sz w:val="18"/>
              </w:rPr>
              <w:t>0.145</w:t>
            </w:r>
          </w:p>
        </w:tc>
        <w:tc>
          <w:tcPr>
            <w:tcW w:type="dxa" w:w="1872"/>
          </w:tcPr>
          <w:p>
            <w:r/>
            <w:r>
              <w:rPr>
                <w:b w:val="0"/>
                <w:sz w:val="18"/>
              </w:rPr>
              <w:t>0.261</w:t>
            </w:r>
          </w:p>
        </w:tc>
        <w:tc>
          <w:tcPr>
            <w:tcW w:type="dxa" w:w="1872"/>
          </w:tcPr>
          <w:p>
            <w:r/>
            <w:r>
              <w:rPr>
                <w:b w:val="0"/>
                <w:sz w:val="18"/>
              </w:rPr>
              <w:t>-0.518</w:t>
            </w:r>
          </w:p>
        </w:tc>
        <w:tc>
          <w:tcPr>
            <w:tcW w:type="dxa" w:w="1872"/>
          </w:tcPr>
          <w:p>
            <w:r/>
            <w:r>
              <w:rPr>
                <w:b w:val="0"/>
                <w:sz w:val="18"/>
              </w:rPr>
              <w:t>1.38e-33</w:t>
            </w:r>
          </w:p>
        </w:tc>
      </w:tr>
      <w:tr>
        <w:tc>
          <w:tcPr>
            <w:tcW w:type="dxa" w:w="1872"/>
          </w:tcPr>
          <w:p>
            <w:r/>
            <w:r>
              <w:rPr>
                <w:b w:val="0"/>
                <w:sz w:val="18"/>
              </w:rPr>
              <w:t>Aromatic involvement</w:t>
            </w:r>
          </w:p>
        </w:tc>
        <w:tc>
          <w:tcPr>
            <w:tcW w:type="dxa" w:w="1872"/>
          </w:tcPr>
          <w:p>
            <w:r/>
            <w:r>
              <w:rPr>
                <w:b w:val="0"/>
                <w:sz w:val="18"/>
              </w:rPr>
              <w:t>0.431</w:t>
            </w:r>
          </w:p>
        </w:tc>
        <w:tc>
          <w:tcPr>
            <w:tcW w:type="dxa" w:w="1872"/>
          </w:tcPr>
          <w:p>
            <w:r/>
            <w:r>
              <w:rPr>
                <w:b w:val="0"/>
                <w:sz w:val="18"/>
              </w:rPr>
              <w:t>0.306</w:t>
            </w:r>
          </w:p>
        </w:tc>
        <w:tc>
          <w:tcPr>
            <w:tcW w:type="dxa" w:w="1872"/>
          </w:tcPr>
          <w:p>
            <w:r/>
            <w:r>
              <w:rPr>
                <w:b w:val="0"/>
                <w:sz w:val="18"/>
              </w:rPr>
              <w:t>+0.528</w:t>
            </w:r>
          </w:p>
        </w:tc>
        <w:tc>
          <w:tcPr>
            <w:tcW w:type="dxa" w:w="1872"/>
          </w:tcPr>
          <w:p>
            <w:r/>
            <w:r>
              <w:rPr>
                <w:b w:val="0"/>
                <w:sz w:val="18"/>
              </w:rPr>
              <w:t>8.12e-35</w:t>
            </w:r>
          </w:p>
        </w:tc>
      </w:tr>
      <w:tr>
        <w:tc>
          <w:tcPr>
            <w:tcW w:type="dxa" w:w="1872"/>
          </w:tcPr>
          <w:p>
            <w:r/>
            <w:r>
              <w:rPr>
                <w:b w:val="0"/>
                <w:sz w:val="18"/>
              </w:rPr>
              <w:t>Cation-pi fraction</w:t>
            </w:r>
          </w:p>
        </w:tc>
        <w:tc>
          <w:tcPr>
            <w:tcW w:type="dxa" w:w="1872"/>
          </w:tcPr>
          <w:p>
            <w:r/>
            <w:r>
              <w:rPr>
                <w:b w:val="0"/>
                <w:sz w:val="18"/>
              </w:rPr>
              <w:t>0.056</w:t>
            </w:r>
          </w:p>
        </w:tc>
        <w:tc>
          <w:tcPr>
            <w:tcW w:type="dxa" w:w="1872"/>
          </w:tcPr>
          <w:p>
            <w:r/>
            <w:r>
              <w:rPr>
                <w:b w:val="0"/>
                <w:sz w:val="18"/>
              </w:rPr>
              <w:t>0.032</w:t>
            </w:r>
          </w:p>
        </w:tc>
        <w:tc>
          <w:tcPr>
            <w:tcW w:type="dxa" w:w="1872"/>
          </w:tcPr>
          <w:p>
            <w:r/>
            <w:r>
              <w:rPr>
                <w:b w:val="0"/>
                <w:sz w:val="18"/>
              </w:rPr>
              <w:t>+0.339</w:t>
            </w:r>
          </w:p>
        </w:tc>
        <w:tc>
          <w:tcPr>
            <w:tcW w:type="dxa" w:w="1872"/>
          </w:tcPr>
          <w:p>
            <w:r/>
            <w:r>
              <w:rPr>
                <w:b w:val="0"/>
                <w:sz w:val="18"/>
              </w:rPr>
              <w:t>2.77e-15</w:t>
            </w:r>
          </w:p>
        </w:tc>
      </w:tr>
      <w:tr>
        <w:tc>
          <w:tcPr>
            <w:tcW w:type="dxa" w:w="1872"/>
          </w:tcPr>
          <w:p>
            <w:r/>
            <w:r>
              <w:rPr>
                <w:b w:val="0"/>
                <w:sz w:val="18"/>
              </w:rPr>
              <w:t>Read via target side chain</w:t>
            </w:r>
          </w:p>
        </w:tc>
        <w:tc>
          <w:tcPr>
            <w:tcW w:type="dxa" w:w="1872"/>
          </w:tcPr>
          <w:p>
            <w:r/>
            <w:r>
              <w:rPr>
                <w:b w:val="0"/>
                <w:sz w:val="18"/>
              </w:rPr>
              <w:t>0.731</w:t>
            </w:r>
          </w:p>
        </w:tc>
        <w:tc>
          <w:tcPr>
            <w:tcW w:type="dxa" w:w="1872"/>
          </w:tcPr>
          <w:p>
            <w:r/>
            <w:r>
              <w:rPr>
                <w:b w:val="0"/>
                <w:sz w:val="18"/>
              </w:rPr>
              <w:t>0.711</w:t>
            </w:r>
          </w:p>
        </w:tc>
        <w:tc>
          <w:tcPr>
            <w:tcW w:type="dxa" w:w="1872"/>
          </w:tcPr>
          <w:p>
            <w:r/>
            <w:r>
              <w:rPr>
                <w:b w:val="0"/>
                <w:sz w:val="18"/>
              </w:rPr>
              <w:t>+0.090</w:t>
            </w:r>
          </w:p>
        </w:tc>
        <w:tc>
          <w:tcPr>
            <w:tcW w:type="dxa" w:w="1872"/>
          </w:tcPr>
          <w:p>
            <w:r/>
            <w:r>
              <w:rPr>
                <w:b w:val="0"/>
                <w:sz w:val="18"/>
              </w:rPr>
              <w:t>3.69e-02</w:t>
            </w:r>
          </w:p>
        </w:tc>
      </w:tr>
    </w:tbl>
    <w:p>
      <w:pPr>
        <w:spacing w:after="120"/>
      </w:pPr>
      <w:r>
        <w:rPr>
          <w:b w:val="0"/>
          <w:i w:val="0"/>
          <w:sz w:val="18"/>
        </w:rPr>
        <w:t>Table S3 Interface properties compared across cluster30 units by Mann-Whitney U test. Effect is the rank-biserial correlation.</w:t>
      </w:r>
    </w:p>
    <w:p>
      <w:pPr>
        <w:pStyle w:val="Heading1"/>
      </w:pPr>
      <w:r>
        <w:rPr>
          <w:rFonts w:ascii="Times New Roman" w:hAnsi="Times New Roman"/>
          <w:color w:val="000000"/>
        </w:rPr>
        <w:t>S4. Confound controls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Confound</w:t>
            </w:r>
          </w:p>
        </w:tc>
        <w:tc>
          <w:tcPr>
            <w:tcW w:type="dxa" w:w="1872"/>
          </w:tcPr>
          <w:p>
            <w:r/>
            <w:r>
              <w:rPr>
                <w:b/>
                <w:sz w:val="18"/>
              </w:rPr>
              <w:t>Test</w:t>
            </w:r>
          </w:p>
        </w:tc>
        <w:tc>
          <w:tcPr>
            <w:tcW w:type="dxa" w:w="1872"/>
          </w:tcPr>
          <w:p>
            <w:r/>
            <w:r>
              <w:rPr>
                <w:b/>
                <w:sz w:val="18"/>
              </w:rPr>
              <w:t>Observed r</w:t>
            </w:r>
          </w:p>
        </w:tc>
        <w:tc>
          <w:tcPr>
            <w:tcW w:type="dxa" w:w="1872"/>
          </w:tcPr>
          <w:p>
            <w:r/>
            <w:r>
              <w:rPr>
                <w:b/>
                <w:sz w:val="18"/>
              </w:rPr>
              <w:t>Reference</w:t>
            </w:r>
          </w:p>
        </w:tc>
        <w:tc>
          <w:tcPr>
            <w:tcW w:type="dxa" w:w="1872"/>
          </w:tcPr>
          <w:p>
            <w:r/>
            <w:r>
              <w:rPr>
                <w:b/>
                <w:sz w:val="18"/>
              </w:rPr>
              <w:t>Verdict</w:t>
            </w:r>
          </w:p>
        </w:tc>
      </w:tr>
      <w:tr>
        <w:tc>
          <w:tcPr>
            <w:tcW w:type="dxa" w:w="1872"/>
          </w:tcPr>
          <w:p>
            <w:r/>
            <w:r>
              <w:rPr>
                <w:b w:val="0"/>
                <w:sz w:val="18"/>
              </w:rPr>
              <w:t>Secondary structure</w:t>
            </w:r>
          </w:p>
        </w:tc>
        <w:tc>
          <w:tcPr>
            <w:tcW w:type="dxa" w:w="1872"/>
          </w:tcPr>
          <w:p>
            <w:r/>
            <w:r>
              <w:rPr>
                <w:b w:val="0"/>
                <w:sz w:val="18"/>
              </w:rPr>
              <w:t>loop to loop</w:t>
            </w:r>
          </w:p>
        </w:tc>
        <w:tc>
          <w:tcPr>
            <w:tcW w:type="dxa" w:w="1872"/>
          </w:tcPr>
          <w:p>
            <w:r/>
            <w:r>
              <w:rPr>
                <w:b w:val="0"/>
                <w:sz w:val="18"/>
              </w:rPr>
              <w:t>0.185</w:t>
            </w:r>
          </w:p>
        </w:tc>
        <w:tc>
          <w:tcPr>
            <w:tcW w:type="dxa" w:w="1872"/>
          </w:tcPr>
          <w:p>
            <w:r/>
            <w:r>
              <w:rPr>
                <w:b w:val="0"/>
                <w:sz w:val="18"/>
              </w:rPr>
              <w:t>null 0.323 [0.247, 0.390]</w:t>
            </w:r>
          </w:p>
        </w:tc>
        <w:tc>
          <w:tcPr>
            <w:tcW w:type="dxa" w:w="1872"/>
          </w:tcPr>
          <w:p>
            <w:r/>
            <w:r>
              <w:rPr>
                <w:b w:val="0"/>
                <w:sz w:val="18"/>
              </w:rPr>
              <w:t>below null</w:t>
            </w:r>
          </w:p>
        </w:tc>
      </w:tr>
      <w:tr>
        <w:tc>
          <w:tcPr>
            <w:tcW w:type="dxa" w:w="1872"/>
          </w:tcPr>
          <w:p>
            <w:r/>
            <w:r>
              <w:rPr>
                <w:b w:val="0"/>
                <w:sz w:val="18"/>
              </w:rPr>
              <w:t>Secondary structure</w:t>
            </w:r>
          </w:p>
        </w:tc>
        <w:tc>
          <w:tcPr>
            <w:tcW w:type="dxa" w:w="1872"/>
          </w:tcPr>
          <w:p>
            <w:r/>
            <w:r>
              <w:rPr>
                <w:b w:val="0"/>
                <w:sz w:val="18"/>
              </w:rPr>
              <w:t>target strand</w:t>
            </w:r>
          </w:p>
        </w:tc>
        <w:tc>
          <w:tcPr>
            <w:tcW w:type="dxa" w:w="1872"/>
          </w:tcPr>
          <w:p>
            <w:r/>
            <w:r>
              <w:rPr>
                <w:b w:val="0"/>
                <w:sz w:val="18"/>
              </w:rPr>
              <w:t>0.134</w:t>
            </w:r>
          </w:p>
        </w:tc>
        <w:tc>
          <w:tcPr>
            <w:tcW w:type="dxa" w:w="1872"/>
          </w:tcPr>
          <w:p>
            <w:r/>
            <w:r>
              <w:rPr>
                <w:b w:val="0"/>
                <w:sz w:val="18"/>
              </w:rPr>
              <w:t>null 0.275 [0.177, 0.366]</w:t>
            </w:r>
          </w:p>
        </w:tc>
        <w:tc>
          <w:tcPr>
            <w:tcW w:type="dxa" w:w="1872"/>
          </w:tcPr>
          <w:p>
            <w:r/>
            <w:r>
              <w:rPr>
                <w:b w:val="0"/>
                <w:sz w:val="18"/>
              </w:rPr>
              <w:t>below null</w:t>
            </w:r>
          </w:p>
        </w:tc>
      </w:tr>
      <w:tr>
        <w:tc>
          <w:tcPr>
            <w:tcW w:type="dxa" w:w="1872"/>
          </w:tcPr>
          <w:p>
            <w:r/>
            <w:r>
              <w:rPr>
                <w:b w:val="0"/>
                <w:sz w:val="18"/>
              </w:rPr>
              <w:t>Fold class</w:t>
            </w:r>
          </w:p>
        </w:tc>
        <w:tc>
          <w:tcPr>
            <w:tcW w:type="dxa" w:w="1872"/>
          </w:tcPr>
          <w:p>
            <w:r/>
            <w:r>
              <w:rPr>
                <w:b w:val="0"/>
                <w:sz w:val="18"/>
              </w:rPr>
              <w:t>mainly alpha</w:t>
            </w:r>
          </w:p>
        </w:tc>
        <w:tc>
          <w:tcPr>
            <w:tcW w:type="dxa" w:w="1872"/>
          </w:tcPr>
          <w:p>
            <w:r/>
            <w:r>
              <w:rPr>
                <w:b w:val="0"/>
                <w:sz w:val="18"/>
              </w:rPr>
              <w:t>0.167</w:t>
            </w:r>
          </w:p>
        </w:tc>
        <w:tc>
          <w:tcPr>
            <w:tcW w:type="dxa" w:w="1872"/>
          </w:tcPr>
          <w:p>
            <w:r/>
            <w:r>
              <w:rPr>
                <w:b w:val="0"/>
                <w:sz w:val="18"/>
              </w:rPr>
              <w:t>null 0.242 [0.168, 0.336]</w:t>
            </w:r>
          </w:p>
        </w:tc>
        <w:tc>
          <w:tcPr>
            <w:tcW w:type="dxa" w:w="1872"/>
          </w:tcPr>
          <w:p>
            <w:r/>
            <w:r>
              <w:rPr>
                <w:b w:val="0"/>
                <w:sz w:val="18"/>
              </w:rPr>
              <w:t>not raised</w:t>
            </w:r>
          </w:p>
        </w:tc>
      </w:tr>
      <w:tr>
        <w:tc>
          <w:tcPr>
            <w:tcW w:type="dxa" w:w="1872"/>
          </w:tcPr>
          <w:p>
            <w:r/>
            <w:r>
              <w:rPr>
                <w:b w:val="0"/>
                <w:sz w:val="18"/>
              </w:rPr>
              <w:t>Fold class</w:t>
            </w:r>
          </w:p>
        </w:tc>
        <w:tc>
          <w:tcPr>
            <w:tcW w:type="dxa" w:w="1872"/>
          </w:tcPr>
          <w:p>
            <w:r/>
            <w:r>
              <w:rPr>
                <w:b w:val="0"/>
                <w:sz w:val="18"/>
              </w:rPr>
              <w:t>mainly beta</w:t>
            </w:r>
          </w:p>
        </w:tc>
        <w:tc>
          <w:tcPr>
            <w:tcW w:type="dxa" w:w="1872"/>
          </w:tcPr>
          <w:p>
            <w:r/>
            <w:r>
              <w:rPr>
                <w:b w:val="0"/>
                <w:sz w:val="18"/>
              </w:rPr>
              <w:t>0.260</w:t>
            </w:r>
          </w:p>
        </w:tc>
        <w:tc>
          <w:tcPr>
            <w:tcW w:type="dxa" w:w="1872"/>
          </w:tcPr>
          <w:p>
            <w:r/>
            <w:r>
              <w:rPr>
                <w:b w:val="0"/>
                <w:sz w:val="18"/>
              </w:rPr>
              <w:t>null 0.312 [0.214, 0.394]</w:t>
            </w:r>
          </w:p>
        </w:tc>
        <w:tc>
          <w:tcPr>
            <w:tcW w:type="dxa" w:w="1872"/>
          </w:tcPr>
          <w:p>
            <w:r/>
            <w:r>
              <w:rPr>
                <w:b w:val="0"/>
                <w:sz w:val="18"/>
              </w:rPr>
              <w:t>not raised</w:t>
            </w:r>
          </w:p>
        </w:tc>
      </w:tr>
      <w:tr>
        <w:tc>
          <w:tcPr>
            <w:tcW w:type="dxa" w:w="1872"/>
          </w:tcPr>
          <w:p>
            <w:r/>
            <w:r>
              <w:rPr>
                <w:b w:val="0"/>
                <w:sz w:val="18"/>
              </w:rPr>
              <w:t>Fold class</w:t>
            </w:r>
          </w:p>
        </w:tc>
        <w:tc>
          <w:tcPr>
            <w:tcW w:type="dxa" w:w="1872"/>
          </w:tcPr>
          <w:p>
            <w:r/>
            <w:r>
              <w:rPr>
                <w:b w:val="0"/>
                <w:sz w:val="18"/>
              </w:rPr>
              <w:t>alpha/beta</w:t>
            </w:r>
          </w:p>
        </w:tc>
        <w:tc>
          <w:tcPr>
            <w:tcW w:type="dxa" w:w="1872"/>
          </w:tcPr>
          <w:p>
            <w:r/>
            <w:r>
              <w:rPr>
                <w:b w:val="0"/>
                <w:sz w:val="18"/>
              </w:rPr>
              <w:t>0.172</w:t>
            </w:r>
          </w:p>
        </w:tc>
        <w:tc>
          <w:tcPr>
            <w:tcW w:type="dxa" w:w="1872"/>
          </w:tcPr>
          <w:p>
            <w:r/>
            <w:r>
              <w:rPr>
                <w:b w:val="0"/>
                <w:sz w:val="18"/>
              </w:rPr>
              <w:t>null 0.279 [0.175, 0.353]</w:t>
            </w:r>
          </w:p>
        </w:tc>
        <w:tc>
          <w:tcPr>
            <w:tcW w:type="dxa" w:w="1872"/>
          </w:tcPr>
          <w:p>
            <w:r/>
            <w:r>
              <w:rPr>
                <w:b w:val="0"/>
                <w:sz w:val="18"/>
              </w:rPr>
              <w:t>not raised</w:t>
            </w:r>
          </w:p>
        </w:tc>
      </w:tr>
      <w:tr>
        <w:tc>
          <w:tcPr>
            <w:tcW w:type="dxa" w:w="1872"/>
          </w:tcPr>
          <w:p>
            <w:r/>
            <w:r>
              <w:rPr>
                <w:b w:val="0"/>
                <w:sz w:val="18"/>
              </w:rPr>
              <w:t>Resolution</w:t>
            </w:r>
          </w:p>
        </w:tc>
        <w:tc>
          <w:tcPr>
            <w:tcW w:type="dxa" w:w="1872"/>
          </w:tcPr>
          <w:p>
            <w:r/>
            <w:r>
              <w:rPr>
                <w:b w:val="0"/>
                <w:sz w:val="18"/>
              </w:rPr>
              <w:t>better than 2.0 A</w:t>
            </w:r>
          </w:p>
        </w:tc>
        <w:tc>
          <w:tcPr>
            <w:tcW w:type="dxa" w:w="1872"/>
          </w:tcPr>
          <w:p>
            <w:r/>
            <w:r>
              <w:rPr>
                <w:b w:val="0"/>
                <w:sz w:val="18"/>
              </w:rPr>
              <w:t>0.356</w:t>
            </w:r>
          </w:p>
        </w:tc>
        <w:tc>
          <w:tcPr>
            <w:tcW w:type="dxa" w:w="1872"/>
          </w:tcPr>
          <w:p>
            <w:r/>
            <w:r>
              <w:rPr>
                <w:b w:val="0"/>
                <w:sz w:val="18"/>
              </w:rPr>
              <w:t>null 0.401 [0.373, 0.453]</w:t>
            </w:r>
          </w:p>
        </w:tc>
        <w:tc>
          <w:tcPr>
            <w:tcW w:type="dxa" w:w="1872"/>
          </w:tcPr>
          <w:p>
            <w:r/>
            <w:r>
              <w:rPr>
                <w:b w:val="0"/>
                <w:sz w:val="18"/>
              </w:rPr>
              <w:t>not raised</w:t>
            </w:r>
          </w:p>
        </w:tc>
      </w:tr>
      <w:tr>
        <w:tc>
          <w:tcPr>
            <w:tcW w:type="dxa" w:w="1872"/>
          </w:tcPr>
          <w:p>
            <w:r/>
            <w:r>
              <w:rPr>
                <w:b w:val="0"/>
                <w:sz w:val="18"/>
              </w:rPr>
              <w:t>Resolution</w:t>
            </w:r>
          </w:p>
        </w:tc>
        <w:tc>
          <w:tcPr>
            <w:tcW w:type="dxa" w:w="1872"/>
          </w:tcPr>
          <w:p>
            <w:r/>
            <w:r>
              <w:rPr>
                <w:b w:val="0"/>
                <w:sz w:val="18"/>
              </w:rPr>
              <w:t>2.0 A or worse</w:t>
            </w:r>
          </w:p>
        </w:tc>
        <w:tc>
          <w:tcPr>
            <w:tcW w:type="dxa" w:w="1872"/>
          </w:tcPr>
          <w:p>
            <w:r/>
            <w:r>
              <w:rPr>
                <w:b w:val="0"/>
                <w:sz w:val="18"/>
              </w:rPr>
              <w:t>0.230</w:t>
            </w:r>
          </w:p>
        </w:tc>
        <w:tc>
          <w:tcPr>
            <w:tcW w:type="dxa" w:w="1872"/>
          </w:tcPr>
          <w:p>
            <w:r/>
            <w:r>
              <w:rPr>
                <w:b w:val="0"/>
                <w:sz w:val="18"/>
              </w:rPr>
              <w:t>null 0.264 [0.171, 0.348]</w:t>
            </w:r>
          </w:p>
        </w:tc>
        <w:tc>
          <w:tcPr>
            <w:tcW w:type="dxa" w:w="1872"/>
          </w:tcPr>
          <w:p>
            <w:r/>
            <w:r>
              <w:rPr>
                <w:b w:val="0"/>
                <w:sz w:val="18"/>
              </w:rPr>
              <w:t>not raised</w:t>
            </w:r>
          </w:p>
        </w:tc>
      </w:tr>
      <w:tr>
        <w:tc>
          <w:tcPr>
            <w:tcW w:type="dxa" w:w="1872"/>
          </w:tcPr>
          <w:p>
            <w:r/>
            <w:r>
              <w:rPr>
                <w:b w:val="0"/>
                <w:sz w:val="18"/>
              </w:rPr>
              <w:t>Redundancy</w:t>
            </w:r>
          </w:p>
        </w:tc>
        <w:tc>
          <w:tcPr>
            <w:tcW w:type="dxa" w:w="1872"/>
          </w:tcPr>
          <w:p>
            <w:r/>
            <w:r>
              <w:rPr>
                <w:b w:val="0"/>
                <w:sz w:val="18"/>
              </w:rPr>
              <w:t>drop 5 largest clusters</w:t>
            </w:r>
          </w:p>
        </w:tc>
        <w:tc>
          <w:tcPr>
            <w:tcW w:type="dxa" w:w="1872"/>
          </w:tcPr>
          <w:p>
            <w:r/>
            <w:r>
              <w:rPr>
                <w:b w:val="0"/>
                <w:sz w:val="18"/>
              </w:rPr>
              <w:t>0.449</w:t>
            </w:r>
          </w:p>
        </w:tc>
        <w:tc>
          <w:tcPr>
            <w:tcW w:type="dxa" w:w="1872"/>
          </w:tcPr>
          <w:p>
            <w:r/>
            <w:r>
              <w:rPr>
                <w:b w:val="0"/>
                <w:sz w:val="18"/>
              </w:rPr>
              <w:t>baseline 0.406</w:t>
            </w:r>
          </w:p>
        </w:tc>
        <w:tc>
          <w:tcPr>
            <w:tcW w:type="dxa" w:w="1872"/>
          </w:tcPr>
          <w:p>
            <w:r/>
            <w:r>
              <w:rPr>
                <w:b w:val="0"/>
                <w:sz w:val="18"/>
              </w:rPr>
              <w:t>unchanged</w:t>
            </w:r>
          </w:p>
        </w:tc>
      </w:tr>
      <w:tr>
        <w:tc>
          <w:tcPr>
            <w:tcW w:type="dxa" w:w="1872"/>
          </w:tcPr>
          <w:p>
            <w:r/>
            <w:r>
              <w:rPr>
                <w:b w:val="0"/>
                <w:sz w:val="18"/>
              </w:rPr>
              <w:t>Redundancy</w:t>
            </w:r>
          </w:p>
        </w:tc>
        <w:tc>
          <w:tcPr>
            <w:tcW w:type="dxa" w:w="1872"/>
          </w:tcPr>
          <w:p>
            <w:r/>
            <w:r>
              <w:rPr>
                <w:b w:val="0"/>
                <w:sz w:val="18"/>
              </w:rPr>
              <w:t>leave one cluster out</w:t>
            </w:r>
          </w:p>
        </w:tc>
        <w:tc>
          <w:tcPr>
            <w:tcW w:type="dxa" w:w="1872"/>
          </w:tcPr>
          <w:p>
            <w:r/>
            <w:r>
              <w:rPr>
                <w:b w:val="0"/>
                <w:sz w:val="18"/>
              </w:rPr>
              <w:t>0.382 to 0.457</w:t>
            </w:r>
          </w:p>
        </w:tc>
        <w:tc>
          <w:tcPr>
            <w:tcW w:type="dxa" w:w="1872"/>
          </w:tcPr>
          <w:p>
            <w:r/>
            <w:r>
              <w:rPr>
                <w:b w:val="0"/>
                <w:sz w:val="18"/>
              </w:rPr>
              <w:t>baseline 0.406</w:t>
            </w:r>
          </w:p>
        </w:tc>
        <w:tc>
          <w:tcPr>
            <w:tcW w:type="dxa" w:w="1872"/>
          </w:tcPr>
          <w:p>
            <w:r/>
            <w:r>
              <w:rPr>
                <w:b w:val="0"/>
                <w:sz w:val="18"/>
              </w:rPr>
              <w:t>unchanged</w:t>
            </w:r>
          </w:p>
        </w:tc>
      </w:tr>
      <w:tr>
        <w:tc>
          <w:tcPr>
            <w:tcW w:type="dxa" w:w="1872"/>
          </w:tcPr>
          <w:p>
            <w:r/>
            <w:r>
              <w:rPr>
                <w:b w:val="0"/>
                <w:sz w:val="18"/>
              </w:rPr>
              <w:t>H-bond criterion</w:t>
            </w:r>
          </w:p>
        </w:tc>
        <w:tc>
          <w:tcPr>
            <w:tcW w:type="dxa" w:w="1872"/>
          </w:tcPr>
          <w:p>
            <w:r/>
            <w:r>
              <w:rPr>
                <w:b w:val="0"/>
                <w:sz w:val="18"/>
              </w:rPr>
              <w:t>3.0 / 3.2 / 3.5 A</w:t>
            </w:r>
          </w:p>
        </w:tc>
        <w:tc>
          <w:tcPr>
            <w:tcW w:type="dxa" w:w="1872"/>
          </w:tcPr>
          <w:p>
            <w:r/>
            <w:r>
              <w:rPr>
                <w:b w:val="0"/>
                <w:sz w:val="18"/>
              </w:rPr>
              <w:t>0.300 / 0.317 / 0.276</w:t>
            </w:r>
          </w:p>
        </w:tc>
        <w:tc>
          <w:tcPr>
            <w:tcW w:type="dxa" w:w="1872"/>
          </w:tcPr>
          <w:p>
            <w:r/>
            <w:r>
              <w:rPr>
                <w:b w:val="0"/>
                <w:sz w:val="18"/>
              </w:rPr>
              <w:t>-</w:t>
            </w:r>
          </w:p>
        </w:tc>
        <w:tc>
          <w:tcPr>
            <w:tcW w:type="dxa" w:w="1872"/>
          </w:tcPr>
          <w:p>
            <w:r/>
            <w:r>
              <w:rPr>
                <w:b w:val="0"/>
                <w:sz w:val="18"/>
              </w:rPr>
              <w:t>stable</w:t>
            </w:r>
          </w:p>
        </w:tc>
      </w:tr>
      <w:tr>
        <w:tc>
          <w:tcPr>
            <w:tcW w:type="dxa" w:w="1872"/>
          </w:tcPr>
          <w:p>
            <w:r/>
            <w:r>
              <w:rPr>
                <w:b w:val="0"/>
                <w:sz w:val="18"/>
              </w:rPr>
              <w:t>Antibody format</w:t>
            </w:r>
          </w:p>
        </w:tc>
        <w:tc>
          <w:tcPr>
            <w:tcW w:type="dxa" w:w="1872"/>
          </w:tcPr>
          <w:p>
            <w:r/>
            <w:r>
              <w:rPr>
                <w:b w:val="0"/>
                <w:sz w:val="18"/>
              </w:rPr>
              <w:t>Fab vs single domain</w:t>
            </w:r>
          </w:p>
        </w:tc>
        <w:tc>
          <w:tcPr>
            <w:tcW w:type="dxa" w:w="1872"/>
          </w:tcPr>
          <w:p>
            <w:r/>
            <w:r>
              <w:rPr>
                <w:b w:val="0"/>
                <w:sz w:val="18"/>
              </w:rPr>
              <w:t>0.179</w:t>
            </w:r>
          </w:p>
        </w:tc>
        <w:tc>
          <w:tcPr>
            <w:tcW w:type="dxa" w:w="1872"/>
          </w:tcPr>
          <w:p>
            <w:r/>
            <w:r>
              <w:rPr>
                <w:b w:val="0"/>
                <w:sz w:val="18"/>
              </w:rPr>
              <w:t>ceiling 0.253 [0.117, 0.370]</w:t>
            </w:r>
          </w:p>
        </w:tc>
        <w:tc>
          <w:tcPr>
            <w:tcW w:type="dxa" w:w="1872"/>
          </w:tcPr>
          <w:p>
            <w:r/>
            <w:r>
              <w:rPr>
                <w:b w:val="0"/>
                <w:sz w:val="18"/>
              </w:rPr>
              <w:t>within ceiling</w:t>
            </w:r>
          </w:p>
        </w:tc>
      </w:tr>
    </w:tbl>
    <w:p>
      <w:pPr>
        <w:spacing w:after="120"/>
      </w:pPr>
      <w:r>
        <w:rPr>
          <w:b w:val="0"/>
          <w:i w:val="0"/>
          <w:sz w:val="18"/>
        </w:rPr>
        <w:t>Table S4 Confound controls. Each stratified comparison is referenced to a null drawn at the same sample size, because restriction reduces sample size and attenuates correlation independently of biology.</w:t>
      </w:r>
    </w:p>
    <w:p>
      <w:pPr>
        <w:pStyle w:val="Heading1"/>
      </w:pPr>
      <w:r>
        <w:rPr>
          <w:rFonts w:ascii="Times New Roman" w:hAnsi="Times New Roman"/>
          <w:color w:val="000000"/>
        </w:rPr>
        <w:t>S5. Paratope composition against two backgrounds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Residue</w:t>
            </w:r>
          </w:p>
        </w:tc>
        <w:tc>
          <w:tcPr>
            <w:tcW w:type="dxa" w:w="3120"/>
          </w:tcPr>
          <w:p>
            <w:r/>
            <w:r>
              <w:rPr>
                <w:b/>
                <w:sz w:val="18"/>
              </w:rPr>
              <w:t>log2 vs PPI interface</w:t>
            </w:r>
          </w:p>
        </w:tc>
        <w:tc>
          <w:tcPr>
            <w:tcW w:type="dxa" w:w="3120"/>
          </w:tcPr>
          <w:p>
            <w:r/>
            <w:r>
              <w:rPr>
                <w:b/>
                <w:sz w:val="18"/>
              </w:rPr>
              <w:t>log2 vs antibody own surface</w:t>
            </w:r>
          </w:p>
        </w:tc>
      </w:tr>
      <w:tr>
        <w:tc>
          <w:tcPr>
            <w:tcW w:type="dxa" w:w="3120"/>
          </w:tcPr>
          <w:p>
            <w:r/>
            <w:r>
              <w:rPr>
                <w:b w:val="0"/>
                <w:sz w:val="18"/>
              </w:rPr>
              <w:t>R</w:t>
            </w:r>
          </w:p>
        </w:tc>
        <w:tc>
          <w:tcPr>
            <w:tcW w:type="dxa" w:w="3120"/>
          </w:tcPr>
          <w:p>
            <w:r/>
            <w:r>
              <w:rPr>
                <w:b w:val="0"/>
                <w:sz w:val="18"/>
              </w:rPr>
              <w:t>-0.12</w:t>
            </w:r>
          </w:p>
        </w:tc>
        <w:tc>
          <w:tcPr>
            <w:tcW w:type="dxa" w:w="3120"/>
          </w:tcPr>
          <w:p>
            <w:r/>
            <w:r>
              <w:rPr>
                <w:b w:val="0"/>
                <w:sz w:val="18"/>
              </w:rPr>
              <w:t>+0.74</w:t>
            </w:r>
          </w:p>
        </w:tc>
      </w:tr>
      <w:tr>
        <w:tc>
          <w:tcPr>
            <w:tcW w:type="dxa" w:w="3120"/>
          </w:tcPr>
          <w:p>
            <w:r/>
            <w:r>
              <w:rPr>
                <w:b w:val="0"/>
                <w:sz w:val="18"/>
              </w:rPr>
              <w:t>K</w:t>
            </w:r>
          </w:p>
        </w:tc>
        <w:tc>
          <w:tcPr>
            <w:tcW w:type="dxa" w:w="3120"/>
          </w:tcPr>
          <w:p>
            <w:r/>
            <w:r>
              <w:rPr>
                <w:b w:val="0"/>
                <w:sz w:val="18"/>
              </w:rPr>
              <w:t>-1.09</w:t>
            </w:r>
          </w:p>
        </w:tc>
        <w:tc>
          <w:tcPr>
            <w:tcW w:type="dxa" w:w="3120"/>
          </w:tcPr>
          <w:p>
            <w:r/>
            <w:r>
              <w:rPr>
                <w:b w:val="0"/>
                <w:sz w:val="18"/>
              </w:rPr>
              <w:t>-1.77</w:t>
            </w:r>
          </w:p>
        </w:tc>
      </w:tr>
      <w:tr>
        <w:tc>
          <w:tcPr>
            <w:tcW w:type="dxa" w:w="3120"/>
          </w:tcPr>
          <w:p>
            <w:r/>
            <w:r>
              <w:rPr>
                <w:b w:val="0"/>
                <w:sz w:val="18"/>
              </w:rPr>
              <w:t>H</w:t>
            </w:r>
          </w:p>
        </w:tc>
        <w:tc>
          <w:tcPr>
            <w:tcW w:type="dxa" w:w="3120"/>
          </w:tcPr>
          <w:p>
            <w:r/>
            <w:r>
              <w:rPr>
                <w:b w:val="0"/>
                <w:sz w:val="18"/>
              </w:rPr>
              <w:t>-0.64</w:t>
            </w:r>
          </w:p>
        </w:tc>
        <w:tc>
          <w:tcPr>
            <w:tcW w:type="dxa" w:w="3120"/>
          </w:tcPr>
          <w:p>
            <w:r/>
            <w:r>
              <w:rPr>
                <w:b w:val="0"/>
                <w:sz w:val="18"/>
              </w:rPr>
              <w:t>+0.98</w:t>
            </w:r>
          </w:p>
        </w:tc>
      </w:tr>
      <w:tr>
        <w:tc>
          <w:tcPr>
            <w:tcW w:type="dxa" w:w="3120"/>
          </w:tcPr>
          <w:p>
            <w:r/>
            <w:r>
              <w:rPr>
                <w:b w:val="0"/>
                <w:sz w:val="18"/>
              </w:rPr>
              <w:t>W</w:t>
            </w:r>
          </w:p>
        </w:tc>
        <w:tc>
          <w:tcPr>
            <w:tcW w:type="dxa" w:w="3120"/>
          </w:tcPr>
          <w:p>
            <w:r/>
            <w:r>
              <w:rPr>
                <w:b w:val="0"/>
                <w:sz w:val="18"/>
              </w:rPr>
              <w:t>+1.15</w:t>
            </w:r>
          </w:p>
        </w:tc>
        <w:tc>
          <w:tcPr>
            <w:tcW w:type="dxa" w:w="3120"/>
          </w:tcPr>
          <w:p>
            <w:r/>
            <w:r>
              <w:rPr>
                <w:b w:val="0"/>
                <w:sz w:val="18"/>
              </w:rPr>
              <w:t>+3.05</w:t>
            </w:r>
          </w:p>
        </w:tc>
      </w:tr>
      <w:tr>
        <w:tc>
          <w:tcPr>
            <w:tcW w:type="dxa" w:w="3120"/>
          </w:tcPr>
          <w:p>
            <w:r/>
            <w:r>
              <w:rPr>
                <w:b w:val="0"/>
                <w:sz w:val="18"/>
              </w:rPr>
              <w:t>Y</w:t>
            </w:r>
          </w:p>
        </w:tc>
        <w:tc>
          <w:tcPr>
            <w:tcW w:type="dxa" w:w="3120"/>
          </w:tcPr>
          <w:p>
            <w:r/>
            <w:r>
              <w:rPr>
                <w:b w:val="0"/>
                <w:sz w:val="18"/>
              </w:rPr>
              <w:t>+1.72</w:t>
            </w:r>
          </w:p>
        </w:tc>
        <w:tc>
          <w:tcPr>
            <w:tcW w:type="dxa" w:w="3120"/>
          </w:tcPr>
          <w:p>
            <w:r/>
            <w:r>
              <w:rPr>
                <w:b w:val="0"/>
                <w:sz w:val="18"/>
              </w:rPr>
              <w:t>+2.71</w:t>
            </w:r>
          </w:p>
        </w:tc>
      </w:tr>
      <w:tr>
        <w:tc>
          <w:tcPr>
            <w:tcW w:type="dxa" w:w="3120"/>
          </w:tcPr>
          <w:p>
            <w:r/>
            <w:r>
              <w:rPr>
                <w:b w:val="0"/>
                <w:sz w:val="18"/>
              </w:rPr>
              <w:t>F</w:t>
            </w:r>
          </w:p>
        </w:tc>
        <w:tc>
          <w:tcPr>
            <w:tcW w:type="dxa" w:w="3120"/>
          </w:tcPr>
          <w:p>
            <w:r/>
            <w:r>
              <w:rPr>
                <w:b w:val="0"/>
                <w:sz w:val="18"/>
              </w:rPr>
              <w:t>-0.17</w:t>
            </w:r>
          </w:p>
        </w:tc>
        <w:tc>
          <w:tcPr>
            <w:tcW w:type="dxa" w:w="3120"/>
          </w:tcPr>
          <w:p>
            <w:r/>
            <w:r>
              <w:rPr>
                <w:b w:val="0"/>
                <w:sz w:val="18"/>
              </w:rPr>
              <w:t>+1.86</w:t>
            </w:r>
          </w:p>
        </w:tc>
      </w:tr>
      <w:tr>
        <w:tc>
          <w:tcPr>
            <w:tcW w:type="dxa" w:w="3120"/>
          </w:tcPr>
          <w:p>
            <w:r/>
            <w:r>
              <w:rPr>
                <w:b w:val="0"/>
                <w:sz w:val="18"/>
              </w:rPr>
              <w:t>Q</w:t>
            </w:r>
          </w:p>
        </w:tc>
        <w:tc>
          <w:tcPr>
            <w:tcW w:type="dxa" w:w="3120"/>
          </w:tcPr>
          <w:p>
            <w:r/>
            <w:r>
              <w:rPr>
                <w:b w:val="0"/>
                <w:sz w:val="18"/>
              </w:rPr>
              <w:t>-0.70</w:t>
            </w:r>
          </w:p>
        </w:tc>
        <w:tc>
          <w:tcPr>
            <w:tcW w:type="dxa" w:w="3120"/>
          </w:tcPr>
          <w:p>
            <w:r/>
            <w:r>
              <w:rPr>
                <w:b w:val="0"/>
                <w:sz w:val="18"/>
              </w:rPr>
              <w:t>-1.36</w:t>
            </w:r>
          </w:p>
        </w:tc>
      </w:tr>
      <w:tr>
        <w:tc>
          <w:tcPr>
            <w:tcW w:type="dxa" w:w="3120"/>
          </w:tcPr>
          <w:p>
            <w:r/>
            <w:r>
              <w:rPr>
                <w:b w:val="0"/>
                <w:sz w:val="18"/>
              </w:rPr>
              <w:t>N</w:t>
            </w:r>
          </w:p>
        </w:tc>
        <w:tc>
          <w:tcPr>
            <w:tcW w:type="dxa" w:w="3120"/>
          </w:tcPr>
          <w:p>
            <w:r/>
            <w:r>
              <w:rPr>
                <w:b w:val="0"/>
                <w:sz w:val="18"/>
              </w:rPr>
              <w:t>+0.42</w:t>
            </w:r>
          </w:p>
        </w:tc>
        <w:tc>
          <w:tcPr>
            <w:tcW w:type="dxa" w:w="3120"/>
          </w:tcPr>
          <w:p>
            <w:r/>
            <w:r>
              <w:rPr>
                <w:b w:val="0"/>
                <w:sz w:val="18"/>
              </w:rPr>
              <w:t>+0.47</w:t>
            </w:r>
          </w:p>
        </w:tc>
      </w:tr>
      <w:tr>
        <w:tc>
          <w:tcPr>
            <w:tcW w:type="dxa" w:w="3120"/>
          </w:tcPr>
          <w:p>
            <w:r/>
            <w:r>
              <w:rPr>
                <w:b w:val="0"/>
                <w:sz w:val="18"/>
              </w:rPr>
              <w:t>S</w:t>
            </w:r>
          </w:p>
        </w:tc>
        <w:tc>
          <w:tcPr>
            <w:tcW w:type="dxa" w:w="3120"/>
          </w:tcPr>
          <w:p>
            <w:r/>
            <w:r>
              <w:rPr>
                <w:b w:val="0"/>
                <w:sz w:val="18"/>
              </w:rPr>
              <w:t>+1.14</w:t>
            </w:r>
          </w:p>
        </w:tc>
        <w:tc>
          <w:tcPr>
            <w:tcW w:type="dxa" w:w="3120"/>
          </w:tcPr>
          <w:p>
            <w:r/>
            <w:r>
              <w:rPr>
                <w:b w:val="0"/>
                <w:sz w:val="18"/>
              </w:rPr>
              <w:t>-0.69</w:t>
            </w:r>
          </w:p>
        </w:tc>
      </w:tr>
      <w:tr>
        <w:tc>
          <w:tcPr>
            <w:tcW w:type="dxa" w:w="3120"/>
          </w:tcPr>
          <w:p>
            <w:r/>
            <w:r>
              <w:rPr>
                <w:b w:val="0"/>
                <w:sz w:val="18"/>
              </w:rPr>
              <w:t>T</w:t>
            </w:r>
          </w:p>
        </w:tc>
        <w:tc>
          <w:tcPr>
            <w:tcW w:type="dxa" w:w="3120"/>
          </w:tcPr>
          <w:p>
            <w:r/>
            <w:r>
              <w:rPr>
                <w:b w:val="0"/>
                <w:sz w:val="18"/>
              </w:rPr>
              <w:t>+0.22</w:t>
            </w:r>
          </w:p>
        </w:tc>
        <w:tc>
          <w:tcPr>
            <w:tcW w:type="dxa" w:w="3120"/>
          </w:tcPr>
          <w:p>
            <w:r/>
            <w:r>
              <w:rPr>
                <w:b w:val="0"/>
                <w:sz w:val="18"/>
              </w:rPr>
              <w:t>-0.93</w:t>
            </w:r>
          </w:p>
        </w:tc>
      </w:tr>
      <w:tr>
        <w:tc>
          <w:tcPr>
            <w:tcW w:type="dxa" w:w="3120"/>
          </w:tcPr>
          <w:p>
            <w:r/>
            <w:r>
              <w:rPr>
                <w:b w:val="0"/>
                <w:sz w:val="18"/>
              </w:rPr>
              <w:t>P</w:t>
            </w:r>
          </w:p>
        </w:tc>
        <w:tc>
          <w:tcPr>
            <w:tcW w:type="dxa" w:w="3120"/>
          </w:tcPr>
          <w:p>
            <w:r/>
            <w:r>
              <w:rPr>
                <w:b w:val="0"/>
                <w:sz w:val="18"/>
              </w:rPr>
              <w:t>-0.85</w:t>
            </w:r>
          </w:p>
        </w:tc>
        <w:tc>
          <w:tcPr>
            <w:tcW w:type="dxa" w:w="3120"/>
          </w:tcPr>
          <w:p>
            <w:r/>
            <w:r>
              <w:rPr>
                <w:b w:val="0"/>
                <w:sz w:val="18"/>
              </w:rPr>
              <w:t>-1.47</w:t>
            </w:r>
          </w:p>
        </w:tc>
      </w:tr>
      <w:tr>
        <w:tc>
          <w:tcPr>
            <w:tcW w:type="dxa" w:w="3120"/>
          </w:tcPr>
          <w:p>
            <w:r/>
            <w:r>
              <w:rPr>
                <w:b w:val="0"/>
                <w:sz w:val="18"/>
              </w:rPr>
              <w:t>G</w:t>
            </w:r>
          </w:p>
        </w:tc>
        <w:tc>
          <w:tcPr>
            <w:tcW w:type="dxa" w:w="3120"/>
          </w:tcPr>
          <w:p>
            <w:r/>
            <w:r>
              <w:rPr>
                <w:b w:val="0"/>
                <w:sz w:val="18"/>
              </w:rPr>
              <w:t>+0.44</w:t>
            </w:r>
          </w:p>
        </w:tc>
        <w:tc>
          <w:tcPr>
            <w:tcW w:type="dxa" w:w="3120"/>
          </w:tcPr>
          <w:p>
            <w:r/>
            <w:r>
              <w:rPr>
                <w:b w:val="0"/>
                <w:sz w:val="18"/>
              </w:rPr>
              <w:t>-0.45</w:t>
            </w:r>
          </w:p>
        </w:tc>
      </w:tr>
      <w:tr>
        <w:tc>
          <w:tcPr>
            <w:tcW w:type="dxa" w:w="3120"/>
          </w:tcPr>
          <w:p>
            <w:r/>
            <w:r>
              <w:rPr>
                <w:b w:val="0"/>
                <w:sz w:val="18"/>
              </w:rPr>
              <w:t>A</w:t>
            </w:r>
          </w:p>
        </w:tc>
        <w:tc>
          <w:tcPr>
            <w:tcW w:type="dxa" w:w="3120"/>
          </w:tcPr>
          <w:p>
            <w:r/>
            <w:r>
              <w:rPr>
                <w:b w:val="0"/>
                <w:sz w:val="18"/>
              </w:rPr>
              <w:t>-0.75</w:t>
            </w:r>
          </w:p>
        </w:tc>
        <w:tc>
          <w:tcPr>
            <w:tcW w:type="dxa" w:w="3120"/>
          </w:tcPr>
          <w:p>
            <w:r/>
            <w:r>
              <w:rPr>
                <w:b w:val="0"/>
                <w:sz w:val="18"/>
              </w:rPr>
              <w:t>-0.52</w:t>
            </w:r>
          </w:p>
        </w:tc>
      </w:tr>
      <w:tr>
        <w:tc>
          <w:tcPr>
            <w:tcW w:type="dxa" w:w="3120"/>
          </w:tcPr>
          <w:p>
            <w:r/>
            <w:r>
              <w:rPr>
                <w:b w:val="0"/>
                <w:sz w:val="18"/>
              </w:rPr>
              <w:t>M</w:t>
            </w:r>
          </w:p>
        </w:tc>
        <w:tc>
          <w:tcPr>
            <w:tcW w:type="dxa" w:w="3120"/>
          </w:tcPr>
          <w:p>
            <w:r/>
            <w:r>
              <w:rPr>
                <w:b w:val="0"/>
                <w:sz w:val="18"/>
              </w:rPr>
              <w:t>-2.35</w:t>
            </w:r>
          </w:p>
        </w:tc>
        <w:tc>
          <w:tcPr>
            <w:tcW w:type="dxa" w:w="3120"/>
          </w:tcPr>
          <w:p>
            <w:r/>
            <w:r>
              <w:rPr>
                <w:b w:val="0"/>
                <w:sz w:val="18"/>
              </w:rPr>
              <w:t>+0.99</w:t>
            </w:r>
          </w:p>
        </w:tc>
      </w:tr>
      <w:tr>
        <w:tc>
          <w:tcPr>
            <w:tcW w:type="dxa" w:w="3120"/>
          </w:tcPr>
          <w:p>
            <w:r/>
            <w:r>
              <w:rPr>
                <w:b w:val="0"/>
                <w:sz w:val="18"/>
              </w:rPr>
              <w:t>I</w:t>
            </w:r>
          </w:p>
        </w:tc>
        <w:tc>
          <w:tcPr>
            <w:tcW w:type="dxa" w:w="3120"/>
          </w:tcPr>
          <w:p>
            <w:r/>
            <w:r>
              <w:rPr>
                <w:b w:val="0"/>
                <w:sz w:val="18"/>
              </w:rPr>
              <w:t>-1.19</w:t>
            </w:r>
          </w:p>
        </w:tc>
        <w:tc>
          <w:tcPr>
            <w:tcW w:type="dxa" w:w="3120"/>
          </w:tcPr>
          <w:p>
            <w:r/>
            <w:r>
              <w:rPr>
                <w:b w:val="0"/>
                <w:sz w:val="18"/>
              </w:rPr>
              <w:t>+1.09</w:t>
            </w:r>
          </w:p>
        </w:tc>
      </w:tr>
      <w:tr>
        <w:tc>
          <w:tcPr>
            <w:tcW w:type="dxa" w:w="3120"/>
          </w:tcPr>
          <w:p>
            <w:r/>
            <w:r>
              <w:rPr>
                <w:b w:val="0"/>
                <w:sz w:val="18"/>
              </w:rPr>
              <w:t>L</w:t>
            </w:r>
          </w:p>
        </w:tc>
        <w:tc>
          <w:tcPr>
            <w:tcW w:type="dxa" w:w="3120"/>
          </w:tcPr>
          <w:p>
            <w:r/>
            <w:r>
              <w:rPr>
                <w:b w:val="0"/>
                <w:sz w:val="18"/>
              </w:rPr>
              <w:t>-1.18</w:t>
            </w:r>
          </w:p>
        </w:tc>
        <w:tc>
          <w:tcPr>
            <w:tcW w:type="dxa" w:w="3120"/>
          </w:tcPr>
          <w:p>
            <w:r/>
            <w:r>
              <w:rPr>
                <w:b w:val="0"/>
                <w:sz w:val="18"/>
              </w:rPr>
              <w:t>-0.02</w:t>
            </w:r>
          </w:p>
        </w:tc>
      </w:tr>
      <w:tr>
        <w:tc>
          <w:tcPr>
            <w:tcW w:type="dxa" w:w="3120"/>
          </w:tcPr>
          <w:p>
            <w:r/>
            <w:r>
              <w:rPr>
                <w:b w:val="0"/>
                <w:sz w:val="18"/>
              </w:rPr>
              <w:t>V</w:t>
            </w:r>
          </w:p>
        </w:tc>
        <w:tc>
          <w:tcPr>
            <w:tcW w:type="dxa" w:w="3120"/>
          </w:tcPr>
          <w:p>
            <w:r/>
            <w:r>
              <w:rPr>
                <w:b w:val="0"/>
                <w:sz w:val="18"/>
              </w:rPr>
              <w:t>-0.85</w:t>
            </w:r>
          </w:p>
        </w:tc>
        <w:tc>
          <w:tcPr>
            <w:tcW w:type="dxa" w:w="3120"/>
          </w:tcPr>
          <w:p>
            <w:r/>
            <w:r>
              <w:rPr>
                <w:b w:val="0"/>
                <w:sz w:val="18"/>
              </w:rPr>
              <w:t>-0.65</w:t>
            </w:r>
          </w:p>
        </w:tc>
      </w:tr>
      <w:tr>
        <w:tc>
          <w:tcPr>
            <w:tcW w:type="dxa" w:w="3120"/>
          </w:tcPr>
          <w:p>
            <w:r/>
            <w:r>
              <w:rPr>
                <w:b w:val="0"/>
                <w:sz w:val="18"/>
              </w:rPr>
              <w:t>C</w:t>
            </w:r>
          </w:p>
        </w:tc>
        <w:tc>
          <w:tcPr>
            <w:tcW w:type="dxa" w:w="3120"/>
          </w:tcPr>
          <w:p>
            <w:r/>
            <w:r>
              <w:rPr>
                <w:b w:val="0"/>
                <w:sz w:val="18"/>
              </w:rPr>
              <w:t>-2.33</w:t>
            </w:r>
          </w:p>
        </w:tc>
        <w:tc>
          <w:tcPr>
            <w:tcW w:type="dxa" w:w="3120"/>
          </w:tcPr>
          <w:p>
            <w:r/>
            <w:r>
              <w:rPr>
                <w:b w:val="0"/>
                <w:sz w:val="18"/>
              </w:rPr>
              <w:t>+0.63</w:t>
            </w:r>
          </w:p>
        </w:tc>
      </w:tr>
      <w:tr>
        <w:tc>
          <w:tcPr>
            <w:tcW w:type="dxa" w:w="3120"/>
          </w:tcPr>
          <w:p>
            <w:r/>
            <w:r>
              <w:rPr>
                <w:b w:val="0"/>
                <w:sz w:val="18"/>
              </w:rPr>
              <w:t>D</w:t>
            </w:r>
          </w:p>
        </w:tc>
        <w:tc>
          <w:tcPr>
            <w:tcW w:type="dxa" w:w="3120"/>
          </w:tcPr>
          <w:p>
            <w:r/>
            <w:r>
              <w:rPr>
                <w:b w:val="0"/>
                <w:sz w:val="18"/>
              </w:rPr>
              <w:t>+0.30</w:t>
            </w:r>
          </w:p>
        </w:tc>
        <w:tc>
          <w:tcPr>
            <w:tcW w:type="dxa" w:w="3120"/>
          </w:tcPr>
          <w:p>
            <w:r/>
            <w:r>
              <w:rPr>
                <w:b w:val="0"/>
                <w:sz w:val="18"/>
              </w:rPr>
              <w:t>+0.29</w:t>
            </w:r>
          </w:p>
        </w:tc>
      </w:tr>
      <w:tr>
        <w:tc>
          <w:tcPr>
            <w:tcW w:type="dxa" w:w="3120"/>
          </w:tcPr>
          <w:p>
            <w:r/>
            <w:r>
              <w:rPr>
                <w:b w:val="0"/>
                <w:sz w:val="18"/>
              </w:rPr>
              <w:t>E</w:t>
            </w:r>
          </w:p>
        </w:tc>
        <w:tc>
          <w:tcPr>
            <w:tcW w:type="dxa" w:w="3120"/>
          </w:tcPr>
          <w:p>
            <w:r/>
            <w:r>
              <w:rPr>
                <w:b w:val="0"/>
                <w:sz w:val="18"/>
              </w:rPr>
              <w:t>-0.95</w:t>
            </w:r>
          </w:p>
        </w:tc>
        <w:tc>
          <w:tcPr>
            <w:tcW w:type="dxa" w:w="3120"/>
          </w:tcPr>
          <w:p>
            <w:r/>
            <w:r>
              <w:rPr>
                <w:b w:val="0"/>
                <w:sz w:val="18"/>
              </w:rPr>
              <w:t>-0.85</w:t>
            </w:r>
          </w:p>
        </w:tc>
      </w:tr>
    </w:tbl>
    <w:p>
      <w:pPr>
        <w:spacing w:after="120"/>
      </w:pPr>
      <w:r>
        <w:rPr>
          <w:b w:val="0"/>
          <w:i w:val="0"/>
          <w:sz w:val="18"/>
        </w:rPr>
        <w:t>Table S5 Paratope residue enrichment scored against two backgrounds. Residues whose sign differs between the two columns are enriched relative to other interfaces but not relative to what the antibody itself presents.</w:t>
      </w:r>
    </w:p>
    <w:p>
      <w:pPr>
        <w:pStyle w:val="Heading1"/>
      </w:pPr>
      <w:r>
        <w:rPr>
          <w:rFonts w:ascii="Times New Roman" w:hAnsi="Times New Roman"/>
          <w:color w:val="000000"/>
        </w:rPr>
        <w:t>S6. Burial thermodynamics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Quantity</w:t>
            </w:r>
          </w:p>
        </w:tc>
        <w:tc>
          <w:tcPr>
            <w:tcW w:type="dxa" w:w="1872"/>
          </w:tcPr>
          <w:p>
            <w:r/>
            <w:r>
              <w:rPr>
                <w:b/>
                <w:sz w:val="18"/>
              </w:rPr>
              <w:t>Antibody</w:t>
            </w:r>
          </w:p>
        </w:tc>
        <w:tc>
          <w:tcPr>
            <w:tcW w:type="dxa" w:w="1872"/>
          </w:tcPr>
          <w:p>
            <w:r/>
            <w:r>
              <w:rPr>
                <w:b/>
                <w:sz w:val="18"/>
              </w:rPr>
              <w:t>Protein-protein</w:t>
            </w:r>
          </w:p>
        </w:tc>
        <w:tc>
          <w:tcPr>
            <w:tcW w:type="dxa" w:w="1872"/>
          </w:tcPr>
          <w:p>
            <w:r/>
            <w:r>
              <w:rPr>
                <w:b/>
                <w:sz w:val="18"/>
              </w:rPr>
              <w:t>Effect</w:t>
            </w:r>
          </w:p>
        </w:tc>
        <w:tc>
          <w:tcPr>
            <w:tcW w:type="dxa" w:w="1872"/>
          </w:tcPr>
          <w:p>
            <w:r/>
            <w:r>
              <w:rPr>
                <w:b/>
                <w:sz w:val="18"/>
              </w:rPr>
              <w:t>p</w:t>
            </w:r>
          </w:p>
        </w:tc>
      </w:tr>
      <w:tr>
        <w:tc>
          <w:tcPr>
            <w:tcW w:type="dxa" w:w="1872"/>
          </w:tcPr>
          <w:p>
            <w:r/>
            <w:r>
              <w:rPr>
                <w:b w:val="0"/>
                <w:sz w:val="18"/>
              </w:rPr>
              <w:t>Total buried surface (A^2)</w:t>
            </w:r>
          </w:p>
        </w:tc>
        <w:tc>
          <w:tcPr>
            <w:tcW w:type="dxa" w:w="1872"/>
          </w:tcPr>
          <w:p>
            <w:r/>
            <w:r>
              <w:rPr>
                <w:b w:val="0"/>
                <w:sz w:val="18"/>
              </w:rPr>
              <w:t>1810.93</w:t>
            </w:r>
          </w:p>
        </w:tc>
        <w:tc>
          <w:tcPr>
            <w:tcW w:type="dxa" w:w="1872"/>
          </w:tcPr>
          <w:p>
            <w:r/>
            <w:r>
              <w:rPr>
                <w:b w:val="0"/>
                <w:sz w:val="18"/>
              </w:rPr>
              <w:t>2851.25</w:t>
            </w:r>
          </w:p>
        </w:tc>
        <w:tc>
          <w:tcPr>
            <w:tcW w:type="dxa" w:w="1872"/>
          </w:tcPr>
          <w:p>
            <w:r/>
            <w:r>
              <w:rPr>
                <w:b w:val="0"/>
                <w:sz w:val="18"/>
              </w:rPr>
              <w:t>-0.344</w:t>
            </w:r>
          </w:p>
        </w:tc>
        <w:tc>
          <w:tcPr>
            <w:tcW w:type="dxa" w:w="1872"/>
          </w:tcPr>
          <w:p>
            <w:r/>
            <w:r>
              <w:rPr>
                <w:b w:val="0"/>
                <w:sz w:val="18"/>
              </w:rPr>
              <w:t>1.29e-13</w:t>
            </w:r>
          </w:p>
        </w:tc>
      </w:tr>
      <w:tr>
        <w:tc>
          <w:tcPr>
            <w:tcW w:type="dxa" w:w="1872"/>
          </w:tcPr>
          <w:p>
            <w:r/>
            <w:r>
              <w:rPr>
                <w:b w:val="0"/>
                <w:sz w:val="18"/>
              </w:rPr>
              <w:t>Apolar fraction of buried surface</w:t>
            </w:r>
          </w:p>
        </w:tc>
        <w:tc>
          <w:tcPr>
            <w:tcW w:type="dxa" w:w="1872"/>
          </w:tcPr>
          <w:p>
            <w:r/>
            <w:r>
              <w:rPr>
                <w:b w:val="0"/>
                <w:sz w:val="18"/>
              </w:rPr>
              <w:t>0.50</w:t>
            </w:r>
          </w:p>
        </w:tc>
        <w:tc>
          <w:tcPr>
            <w:tcW w:type="dxa" w:w="1872"/>
          </w:tcPr>
          <w:p>
            <w:r/>
            <w:r>
              <w:rPr>
                <w:b w:val="0"/>
                <w:sz w:val="18"/>
              </w:rPr>
              <w:t>0.58</w:t>
            </w:r>
          </w:p>
        </w:tc>
        <w:tc>
          <w:tcPr>
            <w:tcW w:type="dxa" w:w="1872"/>
          </w:tcPr>
          <w:p>
            <w:r/>
            <w:r>
              <w:rPr>
                <w:b w:val="0"/>
                <w:sz w:val="18"/>
              </w:rPr>
              <w:t>-0.518</w:t>
            </w:r>
          </w:p>
        </w:tc>
        <w:tc>
          <w:tcPr>
            <w:tcW w:type="dxa" w:w="1872"/>
          </w:tcPr>
          <w:p>
            <w:r/>
            <w:r>
              <w:rPr>
                <w:b w:val="0"/>
                <w:sz w:val="18"/>
              </w:rPr>
              <w:t>5.90e-29</w:t>
            </w:r>
          </w:p>
        </w:tc>
      </w:tr>
      <w:tr>
        <w:tc>
          <w:tcPr>
            <w:tcW w:type="dxa" w:w="1872"/>
          </w:tcPr>
          <w:p>
            <w:r/>
            <w:r>
              <w:rPr>
                <w:b w:val="0"/>
                <w:sz w:val="18"/>
              </w:rPr>
              <w:t>dCp (cal/mol/K)</w:t>
            </w:r>
          </w:p>
        </w:tc>
        <w:tc>
          <w:tcPr>
            <w:tcW w:type="dxa" w:w="1872"/>
          </w:tcPr>
          <w:p>
            <w:r/>
            <w:r>
              <w:rPr>
                <w:b w:val="0"/>
                <w:sz w:val="18"/>
              </w:rPr>
              <w:t>-172.74</w:t>
            </w:r>
          </w:p>
        </w:tc>
        <w:tc>
          <w:tcPr>
            <w:tcW w:type="dxa" w:w="1872"/>
          </w:tcPr>
          <w:p>
            <w:r/>
            <w:r>
              <w:rPr>
                <w:b w:val="0"/>
                <w:sz w:val="18"/>
              </w:rPr>
              <w:t>-393.96</w:t>
            </w:r>
          </w:p>
        </w:tc>
        <w:tc>
          <w:tcPr>
            <w:tcW w:type="dxa" w:w="1872"/>
          </w:tcPr>
          <w:p>
            <w:r/>
            <w:r>
              <w:rPr>
                <w:b w:val="0"/>
                <w:sz w:val="18"/>
              </w:rPr>
              <w:t>+0.512</w:t>
            </w:r>
          </w:p>
        </w:tc>
        <w:tc>
          <w:tcPr>
            <w:tcW w:type="dxa" w:w="1872"/>
          </w:tcPr>
          <w:p>
            <w:r/>
            <w:r>
              <w:rPr>
                <w:b w:val="0"/>
                <w:sz w:val="18"/>
              </w:rPr>
              <w:t>2.78e-28</w:t>
            </w:r>
          </w:p>
        </w:tc>
      </w:tr>
      <w:tr>
        <w:tc>
          <w:tcPr>
            <w:tcW w:type="dxa" w:w="1872"/>
          </w:tcPr>
          <w:p>
            <w:r/>
            <w:r>
              <w:rPr>
                <w:b w:val="0"/>
                <w:sz w:val="18"/>
              </w:rPr>
              <w:t>dCp per 1000 A^2 (cal/mol/K)</w:t>
            </w:r>
          </w:p>
        </w:tc>
        <w:tc>
          <w:tcPr>
            <w:tcW w:type="dxa" w:w="1872"/>
          </w:tcPr>
          <w:p>
            <w:r/>
            <w:r>
              <w:rPr>
                <w:b w:val="0"/>
                <w:sz w:val="18"/>
              </w:rPr>
              <w:t>-93.64</w:t>
            </w:r>
          </w:p>
        </w:tc>
        <w:tc>
          <w:tcPr>
            <w:tcW w:type="dxa" w:w="1872"/>
          </w:tcPr>
          <w:p>
            <w:r/>
            <w:r>
              <w:rPr>
                <w:b w:val="0"/>
                <w:sz w:val="18"/>
              </w:rPr>
              <w:t>-151.28</w:t>
            </w:r>
          </w:p>
        </w:tc>
        <w:tc>
          <w:tcPr>
            <w:tcW w:type="dxa" w:w="1872"/>
          </w:tcPr>
          <w:p>
            <w:r/>
            <w:r>
              <w:rPr>
                <w:b w:val="0"/>
                <w:sz w:val="18"/>
              </w:rPr>
              <w:t>+0.518</w:t>
            </w:r>
          </w:p>
        </w:tc>
        <w:tc>
          <w:tcPr>
            <w:tcW w:type="dxa" w:w="1872"/>
          </w:tcPr>
          <w:p>
            <w:r/>
            <w:r>
              <w:rPr>
                <w:b w:val="0"/>
                <w:sz w:val="18"/>
              </w:rPr>
              <w:t>5.83e-29</w:t>
            </w:r>
          </w:p>
        </w:tc>
      </w:tr>
    </w:tbl>
    <w:p>
      <w:pPr>
        <w:spacing w:after="120"/>
      </w:pPr>
      <w:r>
        <w:rPr>
          <w:b w:val="0"/>
          <w:i w:val="0"/>
          <w:sz w:val="18"/>
        </w:rPr>
        <w:t>Table S6 Buried surface and heat-capacity change computed from atom-level solvent accessibility.</w:t>
      </w:r>
    </w:p>
    <w:p>
      <w:pPr>
        <w:pStyle w:val="Heading1"/>
      </w:pPr>
      <w:r>
        <w:rPr>
          <w:rFonts w:ascii="Times New Roman" w:hAnsi="Times New Roman"/>
          <w:color w:val="000000"/>
        </w:rPr>
        <w:t>S7. Interface geometry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Quantity</w:t>
            </w:r>
          </w:p>
        </w:tc>
        <w:tc>
          <w:tcPr>
            <w:tcW w:type="dxa" w:w="1872"/>
          </w:tcPr>
          <w:p>
            <w:r/>
            <w:r>
              <w:rPr>
                <w:b/>
                <w:sz w:val="18"/>
              </w:rPr>
              <w:t>Antibody</w:t>
            </w:r>
          </w:p>
        </w:tc>
        <w:tc>
          <w:tcPr>
            <w:tcW w:type="dxa" w:w="1872"/>
          </w:tcPr>
          <w:p>
            <w:r/>
            <w:r>
              <w:rPr>
                <w:b/>
                <w:sz w:val="18"/>
              </w:rPr>
              <w:t>Protein-protein</w:t>
            </w:r>
          </w:p>
        </w:tc>
        <w:tc>
          <w:tcPr>
            <w:tcW w:type="dxa" w:w="1872"/>
          </w:tcPr>
          <w:p>
            <w:r/>
            <w:r>
              <w:rPr>
                <w:b/>
                <w:sz w:val="18"/>
              </w:rPr>
              <w:t>Effect</w:t>
            </w:r>
          </w:p>
        </w:tc>
        <w:tc>
          <w:tcPr>
            <w:tcW w:type="dxa" w:w="1872"/>
          </w:tcPr>
          <w:p>
            <w:r/>
            <w:r>
              <w:rPr>
                <w:b/>
                <w:sz w:val="18"/>
              </w:rPr>
              <w:t>p</w:t>
            </w:r>
          </w:p>
        </w:tc>
      </w:tr>
      <w:tr>
        <w:tc>
          <w:tcPr>
            <w:tcW w:type="dxa" w:w="1872"/>
          </w:tcPr>
          <w:p>
            <w:r/>
            <w:r>
              <w:rPr>
                <w:b w:val="0"/>
                <w:sz w:val="18"/>
              </w:rPr>
              <w:t>Probe patch radius of gyration (A)</w:t>
            </w:r>
          </w:p>
        </w:tc>
        <w:tc>
          <w:tcPr>
            <w:tcW w:type="dxa" w:w="1872"/>
          </w:tcPr>
          <w:p>
            <w:r/>
            <w:r>
              <w:rPr>
                <w:b w:val="0"/>
                <w:sz w:val="18"/>
              </w:rPr>
              <w:t>10.66</w:t>
            </w:r>
          </w:p>
        </w:tc>
        <w:tc>
          <w:tcPr>
            <w:tcW w:type="dxa" w:w="1872"/>
          </w:tcPr>
          <w:p>
            <w:r/>
            <w:r>
              <w:rPr>
                <w:b w:val="0"/>
                <w:sz w:val="18"/>
              </w:rPr>
              <w:t>16.30</w:t>
            </w:r>
          </w:p>
        </w:tc>
        <w:tc>
          <w:tcPr>
            <w:tcW w:type="dxa" w:w="1872"/>
          </w:tcPr>
          <w:p>
            <w:r/>
            <w:r>
              <w:rPr>
                <w:b w:val="0"/>
                <w:sz w:val="18"/>
              </w:rPr>
              <w:t>-0.318</w:t>
            </w:r>
          </w:p>
        </w:tc>
        <w:tc>
          <w:tcPr>
            <w:tcW w:type="dxa" w:w="1872"/>
          </w:tcPr>
          <w:p>
            <w:r/>
            <w:r>
              <w:rPr>
                <w:b w:val="0"/>
                <w:sz w:val="18"/>
              </w:rPr>
              <w:t>4.17e-24</w:t>
            </w:r>
          </w:p>
        </w:tc>
      </w:tr>
      <w:tr>
        <w:tc>
          <w:tcPr>
            <w:tcW w:type="dxa" w:w="1872"/>
          </w:tcPr>
          <w:p>
            <w:r/>
            <w:r>
              <w:rPr>
                <w:b w:val="0"/>
                <w:sz w:val="18"/>
              </w:rPr>
              <w:t>Probe patch planarity</w:t>
            </w:r>
          </w:p>
        </w:tc>
        <w:tc>
          <w:tcPr>
            <w:tcW w:type="dxa" w:w="1872"/>
          </w:tcPr>
          <w:p>
            <w:r/>
            <w:r>
              <w:rPr>
                <w:b w:val="0"/>
                <w:sz w:val="18"/>
              </w:rPr>
              <w:t>0.85</w:t>
            </w:r>
          </w:p>
        </w:tc>
        <w:tc>
          <w:tcPr>
            <w:tcW w:type="dxa" w:w="1872"/>
          </w:tcPr>
          <w:p>
            <w:r/>
            <w:r>
              <w:rPr>
                <w:b w:val="0"/>
                <w:sz w:val="18"/>
              </w:rPr>
              <w:t>0.79</w:t>
            </w:r>
          </w:p>
        </w:tc>
        <w:tc>
          <w:tcPr>
            <w:tcW w:type="dxa" w:w="1872"/>
          </w:tcPr>
          <w:p>
            <w:r/>
            <w:r>
              <w:rPr>
                <w:b w:val="0"/>
                <w:sz w:val="18"/>
              </w:rPr>
              <w:t>+0.251</w:t>
            </w:r>
          </w:p>
        </w:tc>
        <w:tc>
          <w:tcPr>
            <w:tcW w:type="dxa" w:w="1872"/>
          </w:tcPr>
          <w:p>
            <w:r/>
            <w:r>
              <w:rPr>
                <w:b w:val="0"/>
                <w:sz w:val="18"/>
              </w:rPr>
              <w:t>1.24e-15</w:t>
            </w:r>
          </w:p>
        </w:tc>
      </w:tr>
      <w:tr>
        <w:tc>
          <w:tcPr>
            <w:tcW w:type="dxa" w:w="1872"/>
          </w:tcPr>
          <w:p>
            <w:r/>
            <w:r>
              <w:rPr>
                <w:b w:val="0"/>
                <w:sz w:val="18"/>
              </w:rPr>
              <w:t>Probe spatial sub-patches</w:t>
            </w:r>
          </w:p>
        </w:tc>
        <w:tc>
          <w:tcPr>
            <w:tcW w:type="dxa" w:w="1872"/>
          </w:tcPr>
          <w:p>
            <w:r/>
            <w:r>
              <w:rPr>
                <w:b w:val="0"/>
                <w:sz w:val="18"/>
              </w:rPr>
              <w:t>2.00</w:t>
            </w:r>
          </w:p>
        </w:tc>
        <w:tc>
          <w:tcPr>
            <w:tcW w:type="dxa" w:w="1872"/>
          </w:tcPr>
          <w:p>
            <w:r/>
            <w:r>
              <w:rPr>
                <w:b w:val="0"/>
                <w:sz w:val="18"/>
              </w:rPr>
              <w:t>2.00</w:t>
            </w:r>
          </w:p>
        </w:tc>
        <w:tc>
          <w:tcPr>
            <w:tcW w:type="dxa" w:w="1872"/>
          </w:tcPr>
          <w:p>
            <w:r/>
            <w:r>
              <w:rPr>
                <w:b w:val="0"/>
                <w:sz w:val="18"/>
              </w:rPr>
              <w:t>-0.227</w:t>
            </w:r>
          </w:p>
        </w:tc>
        <w:tc>
          <w:tcPr>
            <w:tcW w:type="dxa" w:w="1872"/>
          </w:tcPr>
          <w:p>
            <w:r/>
            <w:r>
              <w:rPr>
                <w:b w:val="0"/>
                <w:sz w:val="18"/>
              </w:rPr>
              <w:t>8.05e-14</w:t>
            </w:r>
          </w:p>
        </w:tc>
      </w:tr>
      <w:tr>
        <w:tc>
          <w:tcPr>
            <w:tcW w:type="dxa" w:w="1872"/>
          </w:tcPr>
          <w:p>
            <w:r/>
            <w:r>
              <w:rPr>
                <w:b w:val="0"/>
                <w:sz w:val="18"/>
              </w:rPr>
              <w:t>Target patch radius of gyration (A)</w:t>
            </w:r>
          </w:p>
        </w:tc>
        <w:tc>
          <w:tcPr>
            <w:tcW w:type="dxa" w:w="1872"/>
          </w:tcPr>
          <w:p>
            <w:r/>
            <w:r>
              <w:rPr>
                <w:b w:val="0"/>
                <w:sz w:val="18"/>
              </w:rPr>
              <w:t>10.49</w:t>
            </w:r>
          </w:p>
        </w:tc>
        <w:tc>
          <w:tcPr>
            <w:tcW w:type="dxa" w:w="1872"/>
          </w:tcPr>
          <w:p>
            <w:r/>
            <w:r>
              <w:rPr>
                <w:b w:val="0"/>
                <w:sz w:val="18"/>
              </w:rPr>
              <w:t>16.03</w:t>
            </w:r>
          </w:p>
        </w:tc>
        <w:tc>
          <w:tcPr>
            <w:tcW w:type="dxa" w:w="1872"/>
          </w:tcPr>
          <w:p>
            <w:r/>
            <w:r>
              <w:rPr>
                <w:b w:val="0"/>
                <w:sz w:val="18"/>
              </w:rPr>
              <w:t>-0.278</w:t>
            </w:r>
          </w:p>
        </w:tc>
        <w:tc>
          <w:tcPr>
            <w:tcW w:type="dxa" w:w="1872"/>
          </w:tcPr>
          <w:p>
            <w:r/>
            <w:r>
              <w:rPr>
                <w:b w:val="0"/>
                <w:sz w:val="18"/>
              </w:rPr>
              <w:t>9.47e-19</w:t>
            </w:r>
          </w:p>
        </w:tc>
      </w:tr>
      <w:tr>
        <w:tc>
          <w:tcPr>
            <w:tcW w:type="dxa" w:w="1872"/>
          </w:tcPr>
          <w:p>
            <w:r/>
            <w:r>
              <w:rPr>
                <w:b w:val="0"/>
                <w:sz w:val="18"/>
              </w:rPr>
              <w:t>Target patch planarity</w:t>
            </w:r>
          </w:p>
        </w:tc>
        <w:tc>
          <w:tcPr>
            <w:tcW w:type="dxa" w:w="1872"/>
          </w:tcPr>
          <w:p>
            <w:r/>
            <w:r>
              <w:rPr>
                <w:b w:val="0"/>
                <w:sz w:val="18"/>
              </w:rPr>
              <w:t>0.87</w:t>
            </w:r>
          </w:p>
        </w:tc>
        <w:tc>
          <w:tcPr>
            <w:tcW w:type="dxa" w:w="1872"/>
          </w:tcPr>
          <w:p>
            <w:r/>
            <w:r>
              <w:rPr>
                <w:b w:val="0"/>
                <w:sz w:val="18"/>
              </w:rPr>
              <w:t>0.82</w:t>
            </w:r>
          </w:p>
        </w:tc>
        <w:tc>
          <w:tcPr>
            <w:tcW w:type="dxa" w:w="1872"/>
          </w:tcPr>
          <w:p>
            <w:r/>
            <w:r>
              <w:rPr>
                <w:b w:val="0"/>
                <w:sz w:val="18"/>
              </w:rPr>
              <w:t>+0.197</w:t>
            </w:r>
          </w:p>
        </w:tc>
        <w:tc>
          <w:tcPr>
            <w:tcW w:type="dxa" w:w="1872"/>
          </w:tcPr>
          <w:p>
            <w:r/>
            <w:r>
              <w:rPr>
                <w:b w:val="0"/>
                <w:sz w:val="18"/>
              </w:rPr>
              <w:t>3.20e-10</w:t>
            </w:r>
          </w:p>
        </w:tc>
      </w:tr>
      <w:tr>
        <w:tc>
          <w:tcPr>
            <w:tcW w:type="dxa" w:w="1872"/>
          </w:tcPr>
          <w:p>
            <w:r/>
            <w:r>
              <w:rPr>
                <w:b w:val="0"/>
                <w:sz w:val="18"/>
              </w:rPr>
              <w:t>Target spatial sub-patches</w:t>
            </w:r>
          </w:p>
        </w:tc>
        <w:tc>
          <w:tcPr>
            <w:tcW w:type="dxa" w:w="1872"/>
          </w:tcPr>
          <w:p>
            <w:r/>
            <w:r>
              <w:rPr>
                <w:b w:val="0"/>
                <w:sz w:val="18"/>
              </w:rPr>
              <w:t>2.00</w:t>
            </w:r>
          </w:p>
        </w:tc>
        <w:tc>
          <w:tcPr>
            <w:tcW w:type="dxa" w:w="1872"/>
          </w:tcPr>
          <w:p>
            <w:r/>
            <w:r>
              <w:rPr>
                <w:b w:val="0"/>
                <w:sz w:val="18"/>
              </w:rPr>
              <w:t>2.00</w:t>
            </w:r>
          </w:p>
        </w:tc>
        <w:tc>
          <w:tcPr>
            <w:tcW w:type="dxa" w:w="1872"/>
          </w:tcPr>
          <w:p>
            <w:r/>
            <w:r>
              <w:rPr>
                <w:b w:val="0"/>
                <w:sz w:val="18"/>
              </w:rPr>
              <w:t>-0.012</w:t>
            </w:r>
          </w:p>
        </w:tc>
        <w:tc>
          <w:tcPr>
            <w:tcW w:type="dxa" w:w="1872"/>
          </w:tcPr>
          <w:p>
            <w:r/>
            <w:r>
              <w:rPr>
                <w:b w:val="0"/>
                <w:sz w:val="18"/>
              </w:rPr>
              <w:t>6.85e-01</w:t>
            </w:r>
          </w:p>
        </w:tc>
      </w:tr>
    </w:tbl>
    <w:p>
      <w:pPr>
        <w:spacing w:after="120"/>
      </w:pPr>
      <w:r>
        <w:rPr>
          <w:b w:val="0"/>
          <w:i w:val="0"/>
          <w:sz w:val="18"/>
        </w:rPr>
        <w:t>Table S7 Geometric properties of the contacted patch.</w:t>
      </w:r>
    </w:p>
    <w:p>
      <w:pPr>
        <w:pStyle w:val="Heading1"/>
      </w:pPr>
      <w:r>
        <w:rPr>
          <w:rFonts w:ascii="Times New Roman" w:hAnsi="Times New Roman"/>
          <w:color w:val="000000"/>
        </w:rPr>
        <w:t>S8. Verification checks</w:t>
      </w:r>
    </w:p>
    <w:p>
      <w:pPr>
        <w:spacing w:after="120"/>
        <w:jc w:val="both"/>
      </w:pPr>
      <w:r>
        <w:rPr>
          <w:b w:val="0"/>
          <w:i w:val="0"/>
          <w:sz w:val="22"/>
        </w:rPr>
        <w:t>Thirty-nine automated checks re-derive reported quantities by independent routes. Five errors were identified and corrected during development, all of which produced superficially plausible output: duplicated protein-protein contacts inflating Fisher sample size; a dihedral sign convention displacing every side-chain rotamer by 60 degrees, which passed a Ramachandran sanity check because it preserved the sign of phi; asparagine N-glycosylation sites recorded as post-translational modifications through MODRES records; an omitted sign in the heat-capacity relation that inverted the thermodynamic interpretation; and a direction mismatch when matching partner identity across the two arms, which compared each protein against its partner rather than against itself.</w:t>
      </w:r>
    </w:p>
    <w:p>
      <w:pPr>
        <w:pStyle w:val="Heading1"/>
      </w:pPr>
      <w:r>
        <w:rPr>
          <w:rFonts w:ascii="Times New Roman" w:hAnsi="Times New Roman"/>
          <w:color w:val="000000"/>
        </w:rPr>
        <w:t>S8b. Secondary-structure cross-validation</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Quantity</w:t>
            </w:r>
          </w:p>
        </w:tc>
        <w:tc>
          <w:tcPr>
            <w:tcW w:type="dxa" w:w="4680"/>
          </w:tcPr>
          <w:p>
            <w:r/>
            <w:r>
              <w:rPr>
                <w:b/>
                <w:sz w:val="18"/>
              </w:rPr>
              <w:t>Value</w:t>
            </w:r>
          </w:p>
        </w:tc>
      </w:tr>
      <w:tr>
        <w:tc>
          <w:tcPr>
            <w:tcW w:type="dxa" w:w="4680"/>
          </w:tcPr>
          <w:p>
            <w:r/>
            <w:r>
              <w:rPr>
                <w:b w:val="0"/>
                <w:sz w:val="18"/>
              </w:rPr>
              <w:t>Reference implementation</w:t>
            </w:r>
          </w:p>
        </w:tc>
        <w:tc>
          <w:tcPr>
            <w:tcW w:type="dxa" w:w="4680"/>
          </w:tcPr>
          <w:p>
            <w:r/>
            <w:r>
              <w:rPr>
                <w:b w:val="0"/>
                <w:sz w:val="18"/>
              </w:rPr>
              <w:t>pydssp 0.9.1, numpy backend</w:t>
            </w:r>
          </w:p>
        </w:tc>
      </w:tr>
      <w:tr>
        <w:tc>
          <w:tcPr>
            <w:tcW w:type="dxa" w:w="4680"/>
          </w:tcPr>
          <w:p>
            <w:r/>
            <w:r>
              <w:rPr>
                <w:b w:val="0"/>
                <w:sz w:val="18"/>
              </w:rPr>
              <w:t>Chains compared</w:t>
            </w:r>
          </w:p>
        </w:tc>
        <w:tc>
          <w:tcPr>
            <w:tcW w:type="dxa" w:w="4680"/>
          </w:tcPr>
          <w:p>
            <w:r/>
            <w:r>
              <w:rPr>
                <w:b w:val="0"/>
                <w:sz w:val="18"/>
              </w:rPr>
              <w:t>432</w:t>
            </w:r>
          </w:p>
        </w:tc>
      </w:tr>
      <w:tr>
        <w:tc>
          <w:tcPr>
            <w:tcW w:type="dxa" w:w="4680"/>
          </w:tcPr>
          <w:p>
            <w:r/>
            <w:r>
              <w:rPr>
                <w:b w:val="0"/>
                <w:sz w:val="18"/>
              </w:rPr>
              <w:t>Residues compared</w:t>
            </w:r>
          </w:p>
        </w:tc>
        <w:tc>
          <w:tcPr>
            <w:tcW w:type="dxa" w:w="4680"/>
          </w:tcPr>
          <w:p>
            <w:r/>
            <w:r>
              <w:rPr>
                <w:b w:val="0"/>
                <w:sz w:val="18"/>
              </w:rPr>
              <w:t>79,977</w:t>
            </w:r>
          </w:p>
        </w:tc>
      </w:tr>
      <w:tr>
        <w:tc>
          <w:tcPr>
            <w:tcW w:type="dxa" w:w="4680"/>
          </w:tcPr>
          <w:p>
            <w:r/>
            <w:r>
              <w:rPr>
                <w:b w:val="0"/>
                <w:sz w:val="18"/>
              </w:rPr>
              <w:t>Three-state agreement</w:t>
            </w:r>
          </w:p>
        </w:tc>
        <w:tc>
          <w:tcPr>
            <w:tcW w:type="dxa" w:w="4680"/>
          </w:tcPr>
          <w:p>
            <w:r/>
            <w:r>
              <w:rPr>
                <w:b w:val="0"/>
                <w:sz w:val="18"/>
              </w:rPr>
              <w:t>0.9825</w:t>
            </w:r>
          </w:p>
        </w:tc>
      </w:tr>
      <w:tr>
        <w:tc>
          <w:tcPr>
            <w:tcW w:type="dxa" w:w="4680"/>
          </w:tcPr>
          <w:p>
            <w:r/>
            <w:r>
              <w:rPr>
                <w:b w:val="0"/>
                <w:sz w:val="18"/>
              </w:rPr>
              <w:t>Cohen kappa</w:t>
            </w:r>
          </w:p>
        </w:tc>
        <w:tc>
          <w:tcPr>
            <w:tcW w:type="dxa" w:w="4680"/>
          </w:tcPr>
          <w:p>
            <w:r/>
            <w:r>
              <w:rPr>
                <w:b w:val="0"/>
                <w:sz w:val="18"/>
              </w:rPr>
              <w:t>0.9733</w:t>
            </w:r>
          </w:p>
        </w:tc>
      </w:tr>
      <w:tr>
        <w:tc>
          <w:tcPr>
            <w:tcW w:type="dxa" w:w="4680"/>
          </w:tcPr>
          <w:p>
            <w:r/>
            <w:r>
              <w:rPr>
                <w:b w:val="0"/>
                <w:sz w:val="18"/>
              </w:rPr>
              <w:t>Failures</w:t>
            </w:r>
          </w:p>
        </w:tc>
        <w:tc>
          <w:tcPr>
            <w:tcW w:type="dxa" w:w="4680"/>
          </w:tcPr>
          <w:p>
            <w:r/>
            <w:r>
              <w:rPr>
                <w:b w:val="0"/>
                <w:sz w:val="18"/>
              </w:rPr>
              <w:t>0</w:t>
            </w:r>
          </w:p>
        </w:tc>
      </w:tr>
      <w:tr>
        <w:tc>
          <w:tcPr>
            <w:tcW w:type="dxa" w:w="4680"/>
          </w:tcPr>
          <w:p>
            <w:r/>
            <w:r>
              <w:rPr>
                <w:b w:val="0"/>
                <w:sz w:val="18"/>
              </w:rPr>
              <w:t>Helix recall / precision</w:t>
            </w:r>
          </w:p>
        </w:tc>
        <w:tc>
          <w:tcPr>
            <w:tcW w:type="dxa" w:w="4680"/>
          </w:tcPr>
          <w:p>
            <w:r/>
            <w:r>
              <w:rPr>
                <w:b w:val="0"/>
                <w:sz w:val="18"/>
              </w:rPr>
              <w:t>0.994 / 0.961</w:t>
            </w:r>
          </w:p>
        </w:tc>
      </w:tr>
      <w:tr>
        <w:tc>
          <w:tcPr>
            <w:tcW w:type="dxa" w:w="4680"/>
          </w:tcPr>
          <w:p>
            <w:r/>
            <w:r>
              <w:rPr>
                <w:b w:val="0"/>
                <w:sz w:val="18"/>
              </w:rPr>
              <w:t>Strand recall / precision</w:t>
            </w:r>
          </w:p>
        </w:tc>
        <w:tc>
          <w:tcPr>
            <w:tcW w:type="dxa" w:w="4680"/>
          </w:tcPr>
          <w:p>
            <w:r/>
            <w:r>
              <w:rPr>
                <w:b w:val="0"/>
                <w:sz w:val="18"/>
              </w:rPr>
              <w:t>0.986 / 0.997</w:t>
            </w:r>
          </w:p>
        </w:tc>
      </w:tr>
      <w:tr>
        <w:tc>
          <w:tcPr>
            <w:tcW w:type="dxa" w:w="4680"/>
          </w:tcPr>
          <w:p>
            <w:r/>
            <w:r>
              <w:rPr>
                <w:b w:val="0"/>
                <w:sz w:val="18"/>
              </w:rPr>
              <w:t>Loop recall / precision</w:t>
            </w:r>
          </w:p>
        </w:tc>
        <w:tc>
          <w:tcPr>
            <w:tcW w:type="dxa" w:w="4680"/>
          </w:tcPr>
          <w:p>
            <w:r/>
            <w:r>
              <w:rPr>
                <w:b w:val="0"/>
                <w:sz w:val="18"/>
              </w:rPr>
              <w:t>0.972 / 0.986</w:t>
            </w:r>
          </w:p>
        </w:tc>
      </w:tr>
    </w:tbl>
    <w:p>
      <w:pPr>
        <w:spacing w:after="120"/>
      </w:pPr>
      <w:r>
        <w:rPr>
          <w:b w:val="0"/>
          <w:i w:val="0"/>
          <w:sz w:val="18"/>
        </w:rPr>
        <w:t>Table S8b Agreement between the in-house Kabsch-Sander implementation and an independent implementation of the same algorithm. Both assign from a single ordered backbone array, so this establishes fidelity to the algorithm and does not address inter-chain beta bridges.</w:t>
      </w:r>
    </w:p>
    <w:p>
      <w:pPr>
        <w:pStyle w:val="Heading1"/>
      </w:pPr>
      <w:r>
        <w:rPr>
          <w:rFonts w:ascii="Times New Roman" w:hAnsi="Times New Roman"/>
          <w:color w:val="000000"/>
        </w:rPr>
        <w:t>S9. Analysis code</w:t>
      </w:r>
    </w:p>
    <w:p>
      <w:pPr>
        <w:spacing w:after="120"/>
        <w:jc w:val="both"/>
      </w:pPr>
      <w:r>
        <w:rPr>
          <w:b w:val="0"/>
          <w:i w:val="0"/>
          <w:sz w:val="22"/>
        </w:rPr>
        <w:t>All analyses were implemented as standalone scripts sharing a single statistical engine. Each script writes its results to a JSON file and its figures to disk, so every number reported in the manuscript can be traced to the script that produced it. Scripts are listed below in the order they are run.</w:t>
      </w:r>
    </w:p>
    <w:p>
      <w:pPr>
        <w:pStyle w:val="Heading2"/>
      </w:pPr>
      <w:r>
        <w:rPr>
          <w:rFonts w:ascii="Times New Roman" w:hAnsi="Times New Roman"/>
          <w:color w:val="000000"/>
        </w:rPr>
        <w:t>S9.1 Shared engine and corpus preparation</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Purpose</w:t>
            </w:r>
          </w:p>
        </w:tc>
      </w:tr>
      <w:tr>
        <w:tc>
          <w:tcPr>
            <w:tcW w:type="dxa" w:w="4680"/>
          </w:tcPr>
          <w:p>
            <w:r/>
            <w:r>
              <w:rPr>
                <w:b w:val="0"/>
                <w:sz w:val="18"/>
              </w:rPr>
              <w:t>aa_common.py</w:t>
            </w:r>
          </w:p>
        </w:tc>
        <w:tc>
          <w:tcPr>
            <w:tcW w:type="dxa" w:w="4680"/>
          </w:tcPr>
          <w:p>
            <w:r/>
            <w:r>
              <w:rPr>
                <w:b w:val="0"/>
                <w:sz w:val="18"/>
              </w:rPr>
              <w:t>Statistical engine shared by every analysis. Loads contact tables, assigns independence units and weights, builds 20 by 20 matrices, computes log odds against the marginal-product null, runs the unit bootstrap and the Fisher plus Benjamini-Hochberg procedure, and deduplicates the two-direction protein-protein tables where a true sample size is required.</w:t>
            </w:r>
          </w:p>
        </w:tc>
      </w:tr>
      <w:tr>
        <w:tc>
          <w:tcPr>
            <w:tcW w:type="dxa" w:w="4680"/>
          </w:tcPr>
          <w:p>
            <w:r/>
            <w:r>
              <w:rPr>
                <w:b w:val="0"/>
                <w:sz w:val="18"/>
              </w:rPr>
              <w:t>phase0_provenance_audit.py</w:t>
            </w:r>
          </w:p>
        </w:tc>
        <w:tc>
          <w:tcPr>
            <w:tcW w:type="dxa" w:w="4680"/>
          </w:tcPr>
          <w:p>
            <w:r/>
            <w:r>
              <w:rPr>
                <w:b w:val="0"/>
                <w:sz w:val="18"/>
              </w:rPr>
              <w:t>Re-derives contacts from raw coordinates with an independently written extractor and compares them with the inherited tables. Also tests corpus overlap between the two groups and quantifies redundancy.</w:t>
            </w:r>
          </w:p>
        </w:tc>
      </w:tr>
      <w:tr>
        <w:tc>
          <w:tcPr>
            <w:tcW w:type="dxa" w:w="4680"/>
          </w:tcPr>
          <w:p>
            <w:r/>
            <w:r>
              <w:rPr>
                <w:b w:val="0"/>
                <w:sz w:val="18"/>
              </w:rPr>
              <w:t>phase1_manifest.py</w:t>
            </w:r>
          </w:p>
        </w:tc>
        <w:tc>
          <w:tcPr>
            <w:tcW w:type="dxa" w:w="4680"/>
          </w:tcPr>
          <w:p>
            <w:r/>
            <w:r>
              <w:rPr>
                <w:b w:val="0"/>
                <w:sz w:val="18"/>
              </w:rPr>
              <w:t>Builds the 3,084-structure corpus manifest, joins Structural Antibody Database metadata, and records exclusion reasons for structures that do not enter the analysis.</w:t>
            </w:r>
          </w:p>
        </w:tc>
      </w:tr>
    </w:tbl>
    <w:p>
      <w:pPr>
        <w:spacing w:after="120"/>
      </w:pPr>
      <w:r>
        <w:rPr>
          <w:b w:val="0"/>
          <w:i w:val="0"/>
          <w:sz w:val="18"/>
        </w:rPr>
        <w:t>Table S8 Shared engine and corpus preparation scripts.</w:t>
      </w:r>
    </w:p>
    <w:p>
      <w:pPr>
        <w:pStyle w:val="Heading2"/>
      </w:pPr>
      <w:r>
        <w:rPr>
          <w:rFonts w:ascii="Times New Roman" w:hAnsi="Times New Roman"/>
          <w:color w:val="000000"/>
        </w:rPr>
        <w:t>S9.2 Feature extraction and core analyses</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Purpose</w:t>
            </w:r>
          </w:p>
        </w:tc>
      </w:tr>
      <w:tr>
        <w:tc>
          <w:tcPr>
            <w:tcW w:type="dxa" w:w="4680"/>
          </w:tcPr>
          <w:p>
            <w:r/>
            <w:r>
              <w:rPr>
                <w:b w:val="0"/>
                <w:sz w:val="18"/>
              </w:rPr>
              <w:t>phase2_inventory.py</w:t>
            </w:r>
          </w:p>
        </w:tc>
        <w:tc>
          <w:tcPr>
            <w:tcW w:type="dxa" w:w="4680"/>
          </w:tcPr>
          <w:p>
            <w:r/>
            <w:r>
              <w:rPr>
                <w:b w:val="0"/>
                <w:sz w:val="18"/>
              </w:rPr>
              <w:t>Collapses contacts to one record per interface and computes bond-type composition, charge and aromatic content, interface size and packing.</w:t>
            </w:r>
          </w:p>
        </w:tc>
      </w:tr>
      <w:tr>
        <w:tc>
          <w:tcPr>
            <w:tcW w:type="dxa" w:w="4680"/>
          </w:tcPr>
          <w:p>
            <w:r/>
            <w:r>
              <w:rPr>
                <w:b w:val="0"/>
                <w:sz w:val="18"/>
              </w:rPr>
              <w:t>aa_heatmap.py</w:t>
            </w:r>
          </w:p>
        </w:tc>
        <w:tc>
          <w:tcPr>
            <w:tcW w:type="dxa" w:w="4680"/>
          </w:tcPr>
          <w:p>
            <w:r/>
            <w:r>
              <w:rPr>
                <w:b w:val="0"/>
                <w:sz w:val="18"/>
              </w:rPr>
              <w:t>Builds the 20 by 20 recognition matrices for both groups, at both independence-unit definitions, with bootstrap stability and multiple testing control, plus the chemical-class collapse and the bond-type decomposition.</w:t>
            </w:r>
          </w:p>
        </w:tc>
      </w:tr>
      <w:tr>
        <w:tc>
          <w:tcPr>
            <w:tcW w:type="dxa" w:w="4680"/>
          </w:tcPr>
          <w:p>
            <w:r/>
            <w:r>
              <w:rPr>
                <w:b w:val="0"/>
                <w:sz w:val="18"/>
              </w:rPr>
              <w:t>phase4_conservation.py</w:t>
            </w:r>
          </w:p>
        </w:tc>
        <w:tc>
          <w:tcPr>
            <w:tcW w:type="dxa" w:w="4680"/>
          </w:tcPr>
          <w:p>
            <w:r/>
            <w:r>
              <w:rPr>
                <w:b w:val="0"/>
                <w:sz w:val="18"/>
              </w:rPr>
              <w:t>Correlates the two grammars overall, per bond type and with cysteine masked, and classifies cells as universal, group-specific or opposed.</w:t>
            </w:r>
          </w:p>
        </w:tc>
      </w:tr>
      <w:tr>
        <w:tc>
          <w:tcPr>
            <w:tcW w:type="dxa" w:w="4680"/>
          </w:tcPr>
          <w:p>
            <w:r/>
            <w:r>
              <w:rPr>
                <w:b w:val="0"/>
                <w:sz w:val="18"/>
              </w:rPr>
              <w:t>phase5_readout.py</w:t>
            </w:r>
          </w:p>
        </w:tc>
        <w:tc>
          <w:tcPr>
            <w:tcW w:type="dxa" w:w="4680"/>
          </w:tcPr>
          <w:p>
            <w:r/>
            <w:r>
              <w:rPr>
                <w:b w:val="0"/>
                <w:sz w:val="18"/>
              </w:rPr>
              <w:t>Splits every contact between target side chain and target main chain and rebuilds the matrices separately for the two readout channels.</w:t>
            </w:r>
          </w:p>
        </w:tc>
      </w:tr>
      <w:tr>
        <w:tc>
          <w:tcPr>
            <w:tcW w:type="dxa" w:w="4680"/>
          </w:tcPr>
          <w:p>
            <w:r/>
            <w:r>
              <w:rPr>
                <w:b w:val="0"/>
                <w:sz w:val="18"/>
              </w:rPr>
              <w:t>phase6a_structural.py</w:t>
            </w:r>
          </w:p>
        </w:tc>
        <w:tc>
          <w:tcPr>
            <w:tcW w:type="dxa" w:w="4680"/>
          </w:tcPr>
          <w:p>
            <w:r/>
            <w:r>
              <w:rPr>
                <w:b w:val="0"/>
                <w:sz w:val="18"/>
              </w:rPr>
              <w:t>Single structural pass over 1,512 complexes. Implements Kabsch and Sander secondary structure, computes backbone and side-chain torsions, and computes solvent-accessible surface in complex and in isolation.</w:t>
            </w:r>
          </w:p>
        </w:tc>
      </w:tr>
      <w:tr>
        <w:tc>
          <w:tcPr>
            <w:tcW w:type="dxa" w:w="4680"/>
          </w:tcPr>
          <w:p>
            <w:r/>
            <w:r>
              <w:rPr>
                <w:b w:val="0"/>
                <w:sz w:val="18"/>
              </w:rPr>
              <w:t>phase6a_fix_dihedrals.py</w:t>
            </w:r>
          </w:p>
        </w:tc>
        <w:tc>
          <w:tcPr>
            <w:tcW w:type="dxa" w:w="4680"/>
          </w:tcPr>
          <w:p>
            <w:r/>
            <w:r>
              <w:rPr>
                <w:b w:val="0"/>
                <w:sz w:val="18"/>
              </w:rPr>
              <w:t>Recomputes torsion angles after correction of the dihedral sign convention, asserting the routine against a reference implementation before writing.</w:t>
            </w:r>
          </w:p>
        </w:tc>
      </w:tr>
      <w:tr>
        <w:tc>
          <w:tcPr>
            <w:tcW w:type="dxa" w:w="4680"/>
          </w:tcPr>
          <w:p>
            <w:r/>
            <w:r>
              <w:rPr>
                <w:b w:val="0"/>
                <w:sz w:val="18"/>
              </w:rPr>
              <w:t>phase6b_functional_groups.py</w:t>
            </w:r>
          </w:p>
        </w:tc>
        <w:tc>
          <w:tcPr>
            <w:tcW w:type="dxa" w:w="4680"/>
          </w:tcPr>
          <w:p>
            <w:r/>
            <w:r>
              <w:rPr>
                <w:b w:val="0"/>
                <w:sz w:val="18"/>
              </w:rPr>
              <w:t>Maps every atom-atom contact to one of fourteen chemical functional groups and builds the functional-group recognition maps.</w:t>
            </w:r>
          </w:p>
        </w:tc>
      </w:tr>
      <w:tr>
        <w:tc>
          <w:tcPr>
            <w:tcW w:type="dxa" w:w="4680"/>
          </w:tcPr>
          <w:p>
            <w:r/>
            <w:r>
              <w:rPr>
                <w:b w:val="0"/>
                <w:sz w:val="18"/>
              </w:rPr>
              <w:t>phase6c_conformation.py</w:t>
            </w:r>
          </w:p>
        </w:tc>
        <w:tc>
          <w:tcPr>
            <w:tcW w:type="dxa" w:w="4680"/>
          </w:tcPr>
          <w:p>
            <w:r/>
            <w:r>
              <w:rPr>
                <w:b w:val="0"/>
                <w:sz w:val="18"/>
              </w:rPr>
              <w:t>Tests whether the antibody signature is loop context, by recomputing the cross-group correlation within matched secondary structure. Also produces Ramachandran, rotamer and burial distributions.</w:t>
            </w:r>
          </w:p>
        </w:tc>
      </w:tr>
      <w:tr>
        <w:tc>
          <w:tcPr>
            <w:tcW w:type="dxa" w:w="4680"/>
          </w:tcPr>
          <w:p>
            <w:r/>
            <w:r>
              <w:rPr>
                <w:b w:val="0"/>
                <w:sz w:val="18"/>
              </w:rPr>
              <w:t>phase6d_folds.py</w:t>
            </w:r>
          </w:p>
        </w:tc>
        <w:tc>
          <w:tcPr>
            <w:tcW w:type="dxa" w:w="4680"/>
          </w:tcPr>
          <w:p>
            <w:r/>
            <w:r>
              <w:rPr>
                <w:b w:val="0"/>
                <w:sz w:val="18"/>
              </w:rPr>
              <w:t>Retrieves CATH and SCOP assignments and repeats the comparison within matched fold class.</w:t>
            </w:r>
          </w:p>
        </w:tc>
      </w:tr>
      <w:tr>
        <w:tc>
          <w:tcPr>
            <w:tcW w:type="dxa" w:w="4680"/>
          </w:tcPr>
          <w:p>
            <w:r/>
            <w:r>
              <w:rPr>
                <w:b w:val="0"/>
                <w:sz w:val="18"/>
              </w:rPr>
              <w:t>phase7_paratope.py</w:t>
            </w:r>
          </w:p>
        </w:tc>
        <w:tc>
          <w:tcPr>
            <w:tcW w:type="dxa" w:w="4680"/>
          </w:tcPr>
          <w:p>
            <w:r/>
            <w:r>
              <w:rPr>
                <w:b w:val="0"/>
                <w:sz w:val="18"/>
              </w:rPr>
              <w:t>Transfers IMGT numbering onto the corpus by exact alpha-carbon coordinate matching, assigns complementarity-determining regions, and scores paratope composition against two backgrounds.</w:t>
            </w:r>
          </w:p>
        </w:tc>
      </w:tr>
      <w:tr>
        <w:tc>
          <w:tcPr>
            <w:tcW w:type="dxa" w:w="4680"/>
          </w:tcPr>
          <w:p>
            <w:r/>
            <w:r>
              <w:rPr>
                <w:b w:val="0"/>
                <w:sz w:val="18"/>
              </w:rPr>
              <w:t>phase8_differential.py</w:t>
            </w:r>
          </w:p>
        </w:tc>
        <w:tc>
          <w:tcPr>
            <w:tcW w:type="dxa" w:w="4680"/>
          </w:tcPr>
          <w:p>
            <w:r/>
            <w:r>
              <w:rPr>
                <w:b w:val="0"/>
                <w:sz w:val="18"/>
              </w:rPr>
              <w:t>Permutation test of grammar identity, differential map with intervals on the difference, matrix asymmetry test and dynamic-range test.</w:t>
            </w:r>
          </w:p>
        </w:tc>
      </w:tr>
      <w:tr>
        <w:tc>
          <w:tcPr>
            <w:tcW w:type="dxa" w:w="4680"/>
          </w:tcPr>
          <w:p>
            <w:r/>
            <w:r>
              <w:rPr>
                <w:b w:val="0"/>
                <w:sz w:val="18"/>
              </w:rPr>
              <w:t>phase9_modified.py</w:t>
            </w:r>
          </w:p>
        </w:tc>
        <w:tc>
          <w:tcPr>
            <w:tcW w:type="dxa" w:w="4680"/>
          </w:tcPr>
          <w:p>
            <w:r/>
            <w:r>
              <w:rPr>
                <w:b w:val="0"/>
                <w:sz w:val="18"/>
              </w:rPr>
              <w:t>Scans raw coordinates for post-translational modifications and glycans at interfaces, which the contact tables exclude by construction.</w:t>
            </w:r>
          </w:p>
        </w:tc>
      </w:tr>
      <w:tr>
        <w:tc>
          <w:tcPr>
            <w:tcW w:type="dxa" w:w="4680"/>
          </w:tcPr>
          <w:p>
            <w:r/>
            <w:r>
              <w:rPr>
                <w:b w:val="0"/>
                <w:sz w:val="18"/>
              </w:rPr>
              <w:t>phase10_literature.py</w:t>
            </w:r>
          </w:p>
        </w:tc>
        <w:tc>
          <w:tcPr>
            <w:tcW w:type="dxa" w:w="4680"/>
          </w:tcPr>
          <w:p>
            <w:r/>
            <w:r>
              <w:rPr>
                <w:b w:val="0"/>
                <w:sz w:val="18"/>
              </w:rPr>
              <w:t>Assembles the concordance between measured quantities and published claims.</w:t>
            </w:r>
          </w:p>
        </w:tc>
      </w:tr>
      <w:tr>
        <w:tc>
          <w:tcPr>
            <w:tcW w:type="dxa" w:w="4680"/>
          </w:tcPr>
          <w:p>
            <w:r/>
            <w:r>
              <w:rPr>
                <w:b w:val="0"/>
                <w:sz w:val="18"/>
              </w:rPr>
              <w:t>phase11_controls.py</w:t>
            </w:r>
          </w:p>
        </w:tc>
        <w:tc>
          <w:tcPr>
            <w:tcW w:type="dxa" w:w="4680"/>
          </w:tcPr>
          <w:p>
            <w:r/>
            <w:r>
              <w:rPr>
                <w:b w:val="0"/>
                <w:sz w:val="18"/>
              </w:rPr>
              <w:t>Resolution, redundancy, hydrogen-bond criterion and antibody-format controls.</w:t>
            </w:r>
          </w:p>
        </w:tc>
      </w:tr>
    </w:tbl>
    <w:p>
      <w:pPr>
        <w:spacing w:after="120"/>
      </w:pPr>
      <w:r>
        <w:rPr>
          <w:b w:val="0"/>
          <w:i w:val="0"/>
          <w:sz w:val="18"/>
        </w:rPr>
        <w:t>Table S9 Feature extraction and core analysis scripts.</w:t>
      </w:r>
    </w:p>
    <w:p>
      <w:pPr>
        <w:pStyle w:val="Heading2"/>
      </w:pPr>
      <w:r>
        <w:rPr>
          <w:rFonts w:ascii="Times New Roman" w:hAnsi="Times New Roman"/>
          <w:color w:val="000000"/>
        </w:rPr>
        <w:t>S9.3 Extended analyses, case studies and verification</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Purpose</w:t>
            </w:r>
          </w:p>
        </w:tc>
      </w:tr>
      <w:tr>
        <w:tc>
          <w:tcPr>
            <w:tcW w:type="dxa" w:w="4680"/>
          </w:tcPr>
          <w:p>
            <w:r/>
            <w:r>
              <w:rPr>
                <w:b w:val="0"/>
                <w:sz w:val="18"/>
              </w:rPr>
              <w:t>add1_transfer.py</w:t>
            </w:r>
          </w:p>
        </w:tc>
        <w:tc>
          <w:tcPr>
            <w:tcW w:type="dxa" w:w="4680"/>
          </w:tcPr>
          <w:p>
            <w:r/>
            <w:r>
              <w:rPr>
                <w:b w:val="0"/>
                <w:sz w:val="18"/>
              </w:rPr>
              <w:t>Uses each matrix as a threading potential and measures native-versus-decoy discrimination with self and cross potentials under leave-one-unit-out validation.</w:t>
            </w:r>
          </w:p>
        </w:tc>
      </w:tr>
      <w:tr>
        <w:tc>
          <w:tcPr>
            <w:tcW w:type="dxa" w:w="4680"/>
          </w:tcPr>
          <w:p>
            <w:r/>
            <w:r>
              <w:rPr>
                <w:b w:val="0"/>
                <w:sz w:val="18"/>
              </w:rPr>
              <w:t>add2_thermodynamics.py</w:t>
            </w:r>
          </w:p>
        </w:tc>
        <w:tc>
          <w:tcPr>
            <w:tcW w:type="dxa" w:w="4680"/>
          </w:tcPr>
          <w:p>
            <w:r/>
            <w:r>
              <w:rPr>
                <w:b w:val="0"/>
                <w:sz w:val="18"/>
              </w:rPr>
              <w:t>Computes buried apolar and polar surface at atom level and derives the heat-capacity change on association.</w:t>
            </w:r>
          </w:p>
        </w:tc>
      </w:tr>
      <w:tr>
        <w:tc>
          <w:tcPr>
            <w:tcW w:type="dxa" w:w="4680"/>
          </w:tcPr>
          <w:p>
            <w:r/>
            <w:r>
              <w:rPr>
                <w:b w:val="0"/>
                <w:sz w:val="18"/>
              </w:rPr>
              <w:t>add3_shape_complementarity.py</w:t>
            </w:r>
          </w:p>
        </w:tc>
        <w:tc>
          <w:tcPr>
            <w:tcW w:type="dxa" w:w="4680"/>
          </w:tcPr>
          <w:p>
            <w:r/>
            <w:r>
              <w:rPr>
                <w:b w:val="0"/>
                <w:sz w:val="18"/>
              </w:rPr>
              <w:t>Computes shape complementarity from surface points and normals on the van der Waals contact surface.</w:t>
            </w:r>
          </w:p>
        </w:tc>
      </w:tr>
      <w:tr>
        <w:tc>
          <w:tcPr>
            <w:tcW w:type="dxa" w:w="4680"/>
          </w:tcPr>
          <w:p>
            <w:r/>
            <w:r>
              <w:rPr>
                <w:b w:val="0"/>
                <w:sz w:val="18"/>
              </w:rPr>
              <w:t>add4_pca_geometry.py</w:t>
            </w:r>
          </w:p>
        </w:tc>
        <w:tc>
          <w:tcPr>
            <w:tcW w:type="dxa" w:w="4680"/>
          </w:tcPr>
          <w:p>
            <w:r/>
            <w:r>
              <w:rPr>
                <w:b w:val="0"/>
                <w:sz w:val="18"/>
              </w:rPr>
              <w:t>Computes patch radius of gyration, planarity and sub-patch counts, then projects all interface descriptors and measures class separability with unit-grouped cross-validation.</w:t>
            </w:r>
          </w:p>
        </w:tc>
      </w:tr>
      <w:tr>
        <w:tc>
          <w:tcPr>
            <w:tcW w:type="dxa" w:w="4680"/>
          </w:tcPr>
          <w:p>
            <w:r/>
            <w:r>
              <w:rPr>
                <w:b w:val="0"/>
                <w:sz w:val="18"/>
              </w:rPr>
              <w:t>add5_epitope_logic.py</w:t>
            </w:r>
          </w:p>
        </w:tc>
        <w:tc>
          <w:tcPr>
            <w:tcW w:type="dxa" w:w="4680"/>
          </w:tcPr>
          <w:p>
            <w:r/>
            <w:r>
              <w:rPr>
                <w:b w:val="0"/>
                <w:sz w:val="18"/>
              </w:rPr>
              <w:t>Scores each interface against its own protein's accessible surface, and measures relative accessibility and protrusion.</w:t>
            </w:r>
          </w:p>
        </w:tc>
      </w:tr>
      <w:tr>
        <w:tc>
          <w:tcPr>
            <w:tcW w:type="dxa" w:w="4680"/>
          </w:tcPr>
          <w:p>
            <w:r/>
            <w:r>
              <w:rPr>
                <w:b w:val="0"/>
                <w:sz w:val="18"/>
              </w:rPr>
              <w:t>add6_functional_sites.py</w:t>
            </w:r>
          </w:p>
        </w:tc>
        <w:tc>
          <w:tcPr>
            <w:tcW w:type="dxa" w:w="4680"/>
          </w:tcPr>
          <w:p>
            <w:r/>
            <w:r>
              <w:rPr>
                <w:b w:val="0"/>
                <w:sz w:val="18"/>
              </w:rPr>
              <w:t>Defines functional sites by proximity to bound biological ligands and measures interface overlap with them.</w:t>
            </w:r>
          </w:p>
        </w:tc>
      </w:tr>
      <w:tr>
        <w:tc>
          <w:tcPr>
            <w:tcW w:type="dxa" w:w="4680"/>
          </w:tcPr>
          <w:p>
            <w:r/>
            <w:r>
              <w:rPr>
                <w:b w:val="0"/>
                <w:sz w:val="18"/>
              </w:rPr>
              <w:t>immunodominance.py</w:t>
            </w:r>
          </w:p>
        </w:tc>
        <w:tc>
          <w:tcPr>
            <w:tcW w:type="dxa" w:w="4680"/>
          </w:tcPr>
          <w:p>
            <w:r/>
            <w:r>
              <w:rPr>
                <w:b w:val="0"/>
                <w:sz w:val="18"/>
              </w:rPr>
              <w:t>Normalises antigen residue numbering across depositions and maps contact frequency across all antibodies raised against one antigen.</w:t>
            </w:r>
          </w:p>
        </w:tc>
      </w:tr>
      <w:tr>
        <w:tc>
          <w:tcPr>
            <w:tcW w:type="dxa" w:w="4680"/>
          </w:tcPr>
          <w:p>
            <w:r/>
            <w:r>
              <w:rPr>
                <w:b w:val="0"/>
                <w:sz w:val="18"/>
              </w:rPr>
              <w:t>case_lysozyme.py</w:t>
            </w:r>
          </w:p>
        </w:tc>
        <w:tc>
          <w:tcPr>
            <w:tcW w:type="dxa" w:w="4680"/>
          </w:tcPr>
          <w:p>
            <w:r/>
            <w:r>
              <w:rPr>
                <w:b w:val="0"/>
                <w:sz w:val="18"/>
              </w:rPr>
              <w:t>Case study combining immunodominance, catalytic-site targeting and sequence conservation from aligned homologues.</w:t>
            </w:r>
          </w:p>
        </w:tc>
      </w:tr>
      <w:tr>
        <w:tc>
          <w:tcPr>
            <w:tcW w:type="dxa" w:w="4680"/>
          </w:tcPr>
          <w:p>
            <w:r/>
            <w:r>
              <w:rPr>
                <w:b w:val="0"/>
                <w:sz w:val="18"/>
              </w:rPr>
              <w:t>case_matched_targets.py</w:t>
            </w:r>
          </w:p>
        </w:tc>
        <w:tc>
          <w:tcPr>
            <w:tcW w:type="dxa" w:w="4680"/>
          </w:tcPr>
          <w:p>
            <w:r/>
            <w:r>
              <w:rPr>
                <w:b w:val="0"/>
                <w:sz w:val="18"/>
              </w:rPr>
              <w:t>Identifies proteins solved both with an antibody and with a natural partner and measures overlap between the two interfaces.</w:t>
            </w:r>
          </w:p>
        </w:tc>
      </w:tr>
      <w:tr>
        <w:tc>
          <w:tcPr>
            <w:tcW w:type="dxa" w:w="4680"/>
          </w:tcPr>
          <w:p>
            <w:r/>
            <w:r>
              <w:rPr>
                <w:b w:val="0"/>
                <w:sz w:val="18"/>
              </w:rPr>
              <w:t>pymol_mechanism.py</w:t>
            </w:r>
          </w:p>
        </w:tc>
        <w:tc>
          <w:tcPr>
            <w:tcW w:type="dxa" w:w="4680"/>
          </w:tcPr>
          <w:p>
            <w:r/>
            <w:r>
              <w:rPr>
                <w:b w:val="0"/>
                <w:sz w:val="18"/>
              </w:rPr>
              <w:t>Renders tyrosine hydroxyl hydrogen bonds to the antigen main chain in high-resolution complexes.</w:t>
            </w:r>
          </w:p>
        </w:tc>
      </w:tr>
      <w:tr>
        <w:tc>
          <w:tcPr>
            <w:tcW w:type="dxa" w:w="4680"/>
          </w:tcPr>
          <w:p>
            <w:r/>
            <w:r>
              <w:rPr>
                <w:b w:val="0"/>
                <w:sz w:val="18"/>
              </w:rPr>
              <w:t>pymol_immunodominance.py</w:t>
            </w:r>
          </w:p>
        </w:tc>
        <w:tc>
          <w:tcPr>
            <w:tcW w:type="dxa" w:w="4680"/>
          </w:tcPr>
          <w:p>
            <w:r/>
            <w:r>
              <w:rPr>
                <w:b w:val="0"/>
                <w:sz w:val="18"/>
              </w:rPr>
              <w:t>Paints antibody contact frequency onto the antigen surface.</w:t>
            </w:r>
          </w:p>
        </w:tc>
      </w:tr>
      <w:tr>
        <w:tc>
          <w:tcPr>
            <w:tcW w:type="dxa" w:w="4680"/>
          </w:tcPr>
          <w:p>
            <w:r/>
            <w:r>
              <w:rPr>
                <w:b w:val="0"/>
                <w:sz w:val="18"/>
              </w:rPr>
              <w:t>audit_phases.py</w:t>
            </w:r>
          </w:p>
        </w:tc>
        <w:tc>
          <w:tcPr>
            <w:tcW w:type="dxa" w:w="4680"/>
          </w:tcPr>
          <w:p>
            <w:r/>
            <w:r>
              <w:rPr>
                <w:b w:val="0"/>
                <w:sz w:val="18"/>
              </w:rPr>
              <w:t>Thirteen checks on the statistical machinery, including an independent reimplementation of the multiple-testing procedure and verification that the vectorised bootstrap matches explicit resampling.</w:t>
            </w:r>
          </w:p>
        </w:tc>
      </w:tr>
      <w:tr>
        <w:tc>
          <w:tcPr>
            <w:tcW w:type="dxa" w:w="4680"/>
          </w:tcPr>
          <w:p>
            <w:r/>
            <w:r>
              <w:rPr>
                <w:b w:val="0"/>
                <w:sz w:val="18"/>
              </w:rPr>
              <w:t>audit_full.py</w:t>
            </w:r>
          </w:p>
        </w:tc>
        <w:tc>
          <w:tcPr>
            <w:tcW w:type="dxa" w:w="4680"/>
          </w:tcPr>
          <w:p>
            <w:r/>
            <w:r>
              <w:rPr>
                <w:b w:val="0"/>
                <w:sz w:val="18"/>
              </w:rPr>
              <w:t>Twenty-six checks across all analyses, each re-deriving a reported quantity by an independent route.</w:t>
            </w:r>
          </w:p>
        </w:tc>
      </w:tr>
      <w:tr>
        <w:tc>
          <w:tcPr>
            <w:tcW w:type="dxa" w:w="4680"/>
          </w:tcPr>
          <w:p>
            <w:r/>
            <w:r>
              <w:rPr>
                <w:b w:val="0"/>
                <w:sz w:val="18"/>
              </w:rPr>
              <w:t>build_manuscript.py</w:t>
            </w:r>
          </w:p>
        </w:tc>
        <w:tc>
          <w:tcPr>
            <w:tcW w:type="dxa" w:w="4680"/>
          </w:tcPr>
          <w:p>
            <w:r/>
            <w:r>
              <w:rPr>
                <w:b w:val="0"/>
                <w:sz w:val="18"/>
              </w:rPr>
              <w:t>Generates the manuscript and this supplementary file, drawing numerical values from the result files so that text cannot drift from results.</w:t>
            </w:r>
          </w:p>
        </w:tc>
      </w:tr>
    </w:tbl>
    <w:p>
      <w:pPr>
        <w:spacing w:after="120"/>
      </w:pPr>
      <w:r>
        <w:rPr>
          <w:b w:val="0"/>
          <w:i w:val="0"/>
          <w:sz w:val="18"/>
        </w:rPr>
        <w:t>Table S10 Extended analyses, case studies and verification scripts.</w:t>
      </w:r>
    </w:p>
    <w:p>
      <w:pPr>
        <w:pStyle w:val="Heading1"/>
      </w:pPr>
      <w:r>
        <w:rPr>
          <w:rFonts w:ascii="Times New Roman" w:hAnsi="Times New Roman"/>
          <w:color w:val="000000"/>
        </w:rPr>
        <w:t>S10. Supplementary figures</w:t>
      </w:r>
    </w:p>
    <w:p>
      <w:pPr>
        <w:jc w:val="center"/>
      </w:pPr>
      <w:r>
        <w:drawing>
          <wp:inline xmlns:a="http://schemas.openxmlformats.org/drawingml/2006/main" xmlns:pic="http://schemas.openxmlformats.org/drawingml/2006/picture">
            <wp:extent cx="5394960" cy="2528246"/>
            <wp:docPr id="1" name="Picture 1"/>
            <wp:cNvGraphicFramePr>
              <a:graphicFrameLocks noChangeAspect="1"/>
            </wp:cNvGraphicFramePr>
            <a:graphic>
              <a:graphicData uri="http://schemas.openxmlformats.org/drawingml/2006/picture">
                <pic:pic>
                  <pic:nvPicPr>
                    <pic:cNvPr id="0" name="heatmap_chemical_classes.png"/>
                    <pic:cNvPicPr/>
                  </pic:nvPicPr>
                  <pic:blipFill>
                    <a:blip r:embed="rId9"/>
                    <a:stretch>
                      <a:fillRect/>
                    </a:stretch>
                  </pic:blipFill>
                  <pic:spPr>
                    <a:xfrm>
                      <a:off x="0" y="0"/>
                      <a:ext cx="5394960" cy="2528246"/>
                    </a:xfrm>
                    <a:prstGeom prst="rect"/>
                  </pic:spPr>
                </pic:pic>
              </a:graphicData>
            </a:graphic>
          </wp:inline>
        </w:drawing>
      </w:r>
    </w:p>
    <w:p>
      <w:pPr>
        <w:spacing w:after="240"/>
      </w:pPr>
      <w:r>
        <w:rPr>
          <w:sz w:val="18"/>
        </w:rPr>
        <w:t>Fig. S1 Chemical-class collapse of the recognition matrices.</w:t>
      </w:r>
    </w:p>
    <w:p>
      <w:pPr>
        <w:jc w:val="center"/>
      </w:pPr>
      <w:r>
        <w:drawing>
          <wp:inline xmlns:a="http://schemas.openxmlformats.org/drawingml/2006/main" xmlns:pic="http://schemas.openxmlformats.org/drawingml/2006/picture">
            <wp:extent cx="5394960" cy="2678842"/>
            <wp:docPr id="2" name="Picture 2"/>
            <wp:cNvGraphicFramePr>
              <a:graphicFrameLocks noChangeAspect="1"/>
            </wp:cNvGraphicFramePr>
            <a:graphic>
              <a:graphicData uri="http://schemas.openxmlformats.org/drawingml/2006/picture">
                <pic:pic>
                  <pic:nvPicPr>
                    <pic:cNvPr id="0" name="heatmap_bond_decomposition.png"/>
                    <pic:cNvPicPr/>
                  </pic:nvPicPr>
                  <pic:blipFill>
                    <a:blip r:embed="rId10"/>
                    <a:stretch>
                      <a:fillRect/>
                    </a:stretch>
                  </pic:blipFill>
                  <pic:spPr>
                    <a:xfrm>
                      <a:off x="0" y="0"/>
                      <a:ext cx="5394960" cy="2678842"/>
                    </a:xfrm>
                    <a:prstGeom prst="rect"/>
                  </pic:spPr>
                </pic:pic>
              </a:graphicData>
            </a:graphic>
          </wp:inline>
        </w:drawing>
      </w:r>
    </w:p>
    <w:p>
      <w:pPr>
        <w:spacing w:after="240"/>
      </w:pPr>
      <w:r>
        <w:rPr>
          <w:sz w:val="18"/>
        </w:rPr>
        <w:t>Fig. S2 Recognition matrices decomposed by bond type.</w:t>
      </w:r>
    </w:p>
    <w:p>
      <w:pPr>
        <w:jc w:val="center"/>
      </w:pPr>
      <w:r>
        <w:drawing>
          <wp:inline xmlns:a="http://schemas.openxmlformats.org/drawingml/2006/main" xmlns:pic="http://schemas.openxmlformats.org/drawingml/2006/picture">
            <wp:extent cx="5394960" cy="2693399"/>
            <wp:docPr id="3" name="Picture 3"/>
            <wp:cNvGraphicFramePr>
              <a:graphicFrameLocks noChangeAspect="1"/>
            </wp:cNvGraphicFramePr>
            <a:graphic>
              <a:graphicData uri="http://schemas.openxmlformats.org/drawingml/2006/picture">
                <pic:pic>
                  <pic:nvPicPr>
                    <pic:cNvPr id="0" name="heatmap_20x20_uniprot.png"/>
                    <pic:cNvPicPr/>
                  </pic:nvPicPr>
                  <pic:blipFill>
                    <a:blip r:embed="rId11"/>
                    <a:stretch>
                      <a:fillRect/>
                    </a:stretch>
                  </pic:blipFill>
                  <pic:spPr>
                    <a:xfrm>
                      <a:off x="0" y="0"/>
                      <a:ext cx="5394960" cy="2693399"/>
                    </a:xfrm>
                    <a:prstGeom prst="rect"/>
                  </pic:spPr>
                </pic:pic>
              </a:graphicData>
            </a:graphic>
          </wp:inline>
        </w:drawing>
      </w:r>
    </w:p>
    <w:p>
      <w:pPr>
        <w:spacing w:after="240"/>
      </w:pPr>
      <w:r>
        <w:rPr>
          <w:sz w:val="18"/>
        </w:rPr>
        <w:t>Fig. S3 Recognition matrices using UniProt accession as the independence unit, as a sensitivity analysis.</w:t>
      </w:r>
    </w:p>
    <w:p>
      <w:pPr>
        <w:jc w:val="center"/>
      </w:pPr>
      <w:r>
        <w:drawing>
          <wp:inline xmlns:a="http://schemas.openxmlformats.org/drawingml/2006/main" xmlns:pic="http://schemas.openxmlformats.org/drawingml/2006/picture">
            <wp:extent cx="5394960" cy="2052316"/>
            <wp:docPr id="4" name="Picture 4"/>
            <wp:cNvGraphicFramePr>
              <a:graphicFrameLocks noChangeAspect="1"/>
            </wp:cNvGraphicFramePr>
            <a:graphic>
              <a:graphicData uri="http://schemas.openxmlformats.org/drawingml/2006/picture">
                <pic:pic>
                  <pic:nvPicPr>
                    <pic:cNvPr id="0" name="phase4_conservation.png"/>
                    <pic:cNvPicPr/>
                  </pic:nvPicPr>
                  <pic:blipFill>
                    <a:blip r:embed="rId12"/>
                    <a:stretch>
                      <a:fillRect/>
                    </a:stretch>
                  </pic:blipFill>
                  <pic:spPr>
                    <a:xfrm>
                      <a:off x="0" y="0"/>
                      <a:ext cx="5394960" cy="2052316"/>
                    </a:xfrm>
                    <a:prstGeom prst="rect"/>
                  </pic:spPr>
                </pic:pic>
              </a:graphicData>
            </a:graphic>
          </wp:inline>
        </w:drawing>
      </w:r>
    </w:p>
    <w:p>
      <w:pPr>
        <w:spacing w:after="240"/>
      </w:pPr>
      <w:r>
        <w:rPr>
          <w:sz w:val="18"/>
        </w:rPr>
        <w:t>Fig. S4 Cell-by-cell agreement between the two grammars and classification of shared and specific cells.</w:t>
      </w:r>
    </w:p>
    <w:p>
      <w:pPr>
        <w:jc w:val="center"/>
      </w:pPr>
      <w:r>
        <w:drawing>
          <wp:inline xmlns:a="http://schemas.openxmlformats.org/drawingml/2006/main" xmlns:pic="http://schemas.openxmlformats.org/drawingml/2006/picture">
            <wp:extent cx="5394960" cy="1765219"/>
            <wp:docPr id="5" name="Picture 5"/>
            <wp:cNvGraphicFramePr>
              <a:graphicFrameLocks noChangeAspect="1"/>
            </wp:cNvGraphicFramePr>
            <a:graphic>
              <a:graphicData uri="http://schemas.openxmlformats.org/drawingml/2006/picture">
                <pic:pic>
                  <pic:nvPicPr>
                    <pic:cNvPr id="0" name="phase6b_functional_groups.png"/>
                    <pic:cNvPicPr/>
                  </pic:nvPicPr>
                  <pic:blipFill>
                    <a:blip r:embed="rId13"/>
                    <a:stretch>
                      <a:fillRect/>
                    </a:stretch>
                  </pic:blipFill>
                  <pic:spPr>
                    <a:xfrm>
                      <a:off x="0" y="0"/>
                      <a:ext cx="5394960" cy="1765219"/>
                    </a:xfrm>
                    <a:prstGeom prst="rect"/>
                  </pic:spPr>
                </pic:pic>
              </a:graphicData>
            </a:graphic>
          </wp:inline>
        </w:drawing>
      </w:r>
    </w:p>
    <w:p>
      <w:pPr>
        <w:spacing w:after="240"/>
      </w:pPr>
      <w:r>
        <w:rPr>
          <w:sz w:val="18"/>
        </w:rPr>
        <w:t>Fig. S5 Functional-group recognition maps and their difference.</w:t>
      </w:r>
    </w:p>
    <w:p>
      <w:pPr>
        <w:jc w:val="center"/>
      </w:pPr>
      <w:r>
        <w:drawing>
          <wp:inline xmlns:a="http://schemas.openxmlformats.org/drawingml/2006/main" xmlns:pic="http://schemas.openxmlformats.org/drawingml/2006/picture">
            <wp:extent cx="5394960" cy="1894275"/>
            <wp:docPr id="6" name="Picture 6"/>
            <wp:cNvGraphicFramePr>
              <a:graphicFrameLocks noChangeAspect="1"/>
            </wp:cNvGraphicFramePr>
            <a:graphic>
              <a:graphicData uri="http://schemas.openxmlformats.org/drawingml/2006/picture">
                <pic:pic>
                  <pic:nvPicPr>
                    <pic:cNvPr id="0" name="phase6d_folds.png"/>
                    <pic:cNvPicPr/>
                  </pic:nvPicPr>
                  <pic:blipFill>
                    <a:blip r:embed="rId14"/>
                    <a:stretch>
                      <a:fillRect/>
                    </a:stretch>
                  </pic:blipFill>
                  <pic:spPr>
                    <a:xfrm>
                      <a:off x="0" y="0"/>
                      <a:ext cx="5394960" cy="1894275"/>
                    </a:xfrm>
                    <a:prstGeom prst="rect"/>
                  </pic:spPr>
                </pic:pic>
              </a:graphicData>
            </a:graphic>
          </wp:inline>
        </w:drawing>
      </w:r>
    </w:p>
    <w:p>
      <w:pPr>
        <w:spacing w:after="240"/>
      </w:pPr>
      <w:r>
        <w:rPr>
          <w:sz w:val="18"/>
        </w:rPr>
        <w:t>Fig. S6 CATH fold composition and the fold-matched control.</w:t>
      </w:r>
    </w:p>
    <w:p>
      <w:pPr>
        <w:jc w:val="center"/>
      </w:pPr>
      <w:r>
        <w:drawing>
          <wp:inline xmlns:a="http://schemas.openxmlformats.org/drawingml/2006/main" xmlns:pic="http://schemas.openxmlformats.org/drawingml/2006/picture">
            <wp:extent cx="5394960" cy="1204117"/>
            <wp:docPr id="7" name="Picture 7"/>
            <wp:cNvGraphicFramePr>
              <a:graphicFrameLocks noChangeAspect="1"/>
            </wp:cNvGraphicFramePr>
            <a:graphic>
              <a:graphicData uri="http://schemas.openxmlformats.org/drawingml/2006/picture">
                <pic:pic>
                  <pic:nvPicPr>
                    <pic:cNvPr id="0" name="phase11_controls.png"/>
                    <pic:cNvPicPr/>
                  </pic:nvPicPr>
                  <pic:blipFill>
                    <a:blip r:embed="rId15"/>
                    <a:stretch>
                      <a:fillRect/>
                    </a:stretch>
                  </pic:blipFill>
                  <pic:spPr>
                    <a:xfrm>
                      <a:off x="0" y="0"/>
                      <a:ext cx="5394960" cy="1204117"/>
                    </a:xfrm>
                    <a:prstGeom prst="rect"/>
                  </pic:spPr>
                </pic:pic>
              </a:graphicData>
            </a:graphic>
          </wp:inline>
        </w:drawing>
      </w:r>
    </w:p>
    <w:p>
      <w:pPr>
        <w:spacing w:after="240"/>
      </w:pPr>
      <w:r>
        <w:rPr>
          <w:sz w:val="18"/>
        </w:rPr>
        <w:t>Fig. S7 Resolution, redundancy, hydrogen-bond criterion and antibody-format controls.</w:t>
      </w:r>
    </w:p>
    <w:p>
      <w:pPr>
        <w:jc w:val="center"/>
      </w:pPr>
      <w:r>
        <w:drawing>
          <wp:inline xmlns:a="http://schemas.openxmlformats.org/drawingml/2006/main" xmlns:pic="http://schemas.openxmlformats.org/drawingml/2006/picture">
            <wp:extent cx="5394960" cy="1691402"/>
            <wp:docPr id="8" name="Picture 8"/>
            <wp:cNvGraphicFramePr>
              <a:graphicFrameLocks noChangeAspect="1"/>
            </wp:cNvGraphicFramePr>
            <a:graphic>
              <a:graphicData uri="http://schemas.openxmlformats.org/drawingml/2006/picture">
                <pic:pic>
                  <pic:nvPicPr>
                    <pic:cNvPr id="0" name="phase8_differential.png"/>
                    <pic:cNvPicPr/>
                  </pic:nvPicPr>
                  <pic:blipFill>
                    <a:blip r:embed="rId16"/>
                    <a:stretch>
                      <a:fillRect/>
                    </a:stretch>
                  </pic:blipFill>
                  <pic:spPr>
                    <a:xfrm>
                      <a:off x="0" y="0"/>
                      <a:ext cx="5394960" cy="1691402"/>
                    </a:xfrm>
                    <a:prstGeom prst="rect"/>
                  </pic:spPr>
                </pic:pic>
              </a:graphicData>
            </a:graphic>
          </wp:inline>
        </w:drawing>
      </w:r>
    </w:p>
    <w:p>
      <w:pPr>
        <w:spacing w:after="240"/>
      </w:pPr>
      <w:r>
        <w:rPr>
          <w:sz w:val="18"/>
        </w:rPr>
        <w:t>Fig. S8 Differential map, permutation test and matrix asymmetry.</w:t>
      </w:r>
    </w:p>
    <w:p>
      <w:pPr>
        <w:jc w:val="center"/>
      </w:pPr>
      <w:r>
        <w:drawing>
          <wp:inline xmlns:a="http://schemas.openxmlformats.org/drawingml/2006/main" xmlns:pic="http://schemas.openxmlformats.org/drawingml/2006/picture">
            <wp:extent cx="5394960" cy="1542525"/>
            <wp:docPr id="9" name="Picture 9"/>
            <wp:cNvGraphicFramePr>
              <a:graphicFrameLocks noChangeAspect="1"/>
            </wp:cNvGraphicFramePr>
            <a:graphic>
              <a:graphicData uri="http://schemas.openxmlformats.org/drawingml/2006/picture">
                <pic:pic>
                  <pic:nvPicPr>
                    <pic:cNvPr id="0" name="phase7_paratope.png"/>
                    <pic:cNvPicPr/>
                  </pic:nvPicPr>
                  <pic:blipFill>
                    <a:blip r:embed="rId17"/>
                    <a:stretch>
                      <a:fillRect/>
                    </a:stretch>
                  </pic:blipFill>
                  <pic:spPr>
                    <a:xfrm>
                      <a:off x="0" y="0"/>
                      <a:ext cx="5394960" cy="1542525"/>
                    </a:xfrm>
                    <a:prstGeom prst="rect"/>
                  </pic:spPr>
                </pic:pic>
              </a:graphicData>
            </a:graphic>
          </wp:inline>
        </w:drawing>
      </w:r>
    </w:p>
    <w:p>
      <w:pPr>
        <w:spacing w:after="240"/>
      </w:pPr>
      <w:r>
        <w:rPr>
          <w:sz w:val="18"/>
        </w:rPr>
        <w:t>Fig. S9 Paratope architecture and epitope contiguity.</w:t>
      </w:r>
    </w:p>
    <w:p>
      <w:pPr>
        <w:jc w:val="center"/>
      </w:pPr>
      <w:r>
        <w:drawing>
          <wp:inline xmlns:a="http://schemas.openxmlformats.org/drawingml/2006/main" xmlns:pic="http://schemas.openxmlformats.org/drawingml/2006/picture">
            <wp:extent cx="5394960" cy="1933685"/>
            <wp:docPr id="10" name="Picture 10"/>
            <wp:cNvGraphicFramePr>
              <a:graphicFrameLocks noChangeAspect="1"/>
            </wp:cNvGraphicFramePr>
            <a:graphic>
              <a:graphicData uri="http://schemas.openxmlformats.org/drawingml/2006/picture">
                <pic:pic>
                  <pic:nvPicPr>
                    <pic:cNvPr id="0" name="phase9_modified.png"/>
                    <pic:cNvPicPr/>
                  </pic:nvPicPr>
                  <pic:blipFill>
                    <a:blip r:embed="rId18"/>
                    <a:stretch>
                      <a:fillRect/>
                    </a:stretch>
                  </pic:blipFill>
                  <pic:spPr>
                    <a:xfrm>
                      <a:off x="0" y="0"/>
                      <a:ext cx="5394960" cy="1933685"/>
                    </a:xfrm>
                    <a:prstGeom prst="rect"/>
                  </pic:spPr>
                </pic:pic>
              </a:graphicData>
            </a:graphic>
          </wp:inline>
        </w:drawing>
      </w:r>
    </w:p>
    <w:p>
      <w:pPr>
        <w:spacing w:after="240"/>
      </w:pPr>
      <w:r>
        <w:rPr>
          <w:sz w:val="18"/>
        </w:rPr>
        <w:t>Fig. S10 Post-translational modifications and glycans at interfaces.</w:t>
      </w:r>
    </w:p>
    <w:p>
      <w:pPr>
        <w:jc w:val="center"/>
      </w:pPr>
      <w:r>
        <w:drawing>
          <wp:inline xmlns:a="http://schemas.openxmlformats.org/drawingml/2006/main" xmlns:pic="http://schemas.openxmlformats.org/drawingml/2006/picture">
            <wp:extent cx="5394960" cy="1976827"/>
            <wp:docPr id="11" name="Picture 11"/>
            <wp:cNvGraphicFramePr>
              <a:graphicFrameLocks noChangeAspect="1"/>
            </wp:cNvGraphicFramePr>
            <a:graphic>
              <a:graphicData uri="http://schemas.openxmlformats.org/drawingml/2006/picture">
                <pic:pic>
                  <pic:nvPicPr>
                    <pic:cNvPr id="0" name="add1_transfer.png"/>
                    <pic:cNvPicPr/>
                  </pic:nvPicPr>
                  <pic:blipFill>
                    <a:blip r:embed="rId19"/>
                    <a:stretch>
                      <a:fillRect/>
                    </a:stretch>
                  </pic:blipFill>
                  <pic:spPr>
                    <a:xfrm>
                      <a:off x="0" y="0"/>
                      <a:ext cx="5394960" cy="1976827"/>
                    </a:xfrm>
                    <a:prstGeom prst="rect"/>
                  </pic:spPr>
                </pic:pic>
              </a:graphicData>
            </a:graphic>
          </wp:inline>
        </w:drawing>
      </w:r>
    </w:p>
    <w:p>
      <w:pPr>
        <w:spacing w:after="240"/>
      </w:pPr>
      <w:r>
        <w:rPr>
          <w:sz w:val="18"/>
        </w:rPr>
        <w:t>Fig. S11 Native-versus-decoy discrimination with self and cross potentials.</w:t>
      </w:r>
    </w:p>
    <w:p>
      <w:pPr>
        <w:jc w:val="center"/>
      </w:pPr>
      <w:r>
        <w:drawing>
          <wp:inline xmlns:a="http://schemas.openxmlformats.org/drawingml/2006/main" xmlns:pic="http://schemas.openxmlformats.org/drawingml/2006/picture">
            <wp:extent cx="5394960" cy="1712796"/>
            <wp:docPr id="12" name="Picture 12"/>
            <wp:cNvGraphicFramePr>
              <a:graphicFrameLocks noChangeAspect="1"/>
            </wp:cNvGraphicFramePr>
            <a:graphic>
              <a:graphicData uri="http://schemas.openxmlformats.org/drawingml/2006/picture">
                <pic:pic>
                  <pic:nvPicPr>
                    <pic:cNvPr id="0" name="add2_thermodynamics.png"/>
                    <pic:cNvPicPr/>
                  </pic:nvPicPr>
                  <pic:blipFill>
                    <a:blip r:embed="rId20"/>
                    <a:stretch>
                      <a:fillRect/>
                    </a:stretch>
                  </pic:blipFill>
                  <pic:spPr>
                    <a:xfrm>
                      <a:off x="0" y="0"/>
                      <a:ext cx="5394960" cy="1712796"/>
                    </a:xfrm>
                    <a:prstGeom prst="rect"/>
                  </pic:spPr>
                </pic:pic>
              </a:graphicData>
            </a:graphic>
          </wp:inline>
        </w:drawing>
      </w:r>
    </w:p>
    <w:p>
      <w:pPr>
        <w:spacing w:after="240"/>
      </w:pPr>
      <w:r>
        <w:rPr>
          <w:sz w:val="18"/>
        </w:rPr>
        <w:t>Fig. S12 Burial thermodynamics.</w:t>
      </w:r>
    </w:p>
    <w:p>
      <w:pPr>
        <w:jc w:val="center"/>
      </w:pPr>
      <w:r>
        <w:drawing>
          <wp:inline xmlns:a="http://schemas.openxmlformats.org/drawingml/2006/main" xmlns:pic="http://schemas.openxmlformats.org/drawingml/2006/picture">
            <wp:extent cx="5394960" cy="3725906"/>
            <wp:docPr id="13" name="Picture 13"/>
            <wp:cNvGraphicFramePr>
              <a:graphicFrameLocks noChangeAspect="1"/>
            </wp:cNvGraphicFramePr>
            <a:graphic>
              <a:graphicData uri="http://schemas.openxmlformats.org/drawingml/2006/picture">
                <pic:pic>
                  <pic:nvPicPr>
                    <pic:cNvPr id="0" name="add3_shape_complementarity.png"/>
                    <pic:cNvPicPr/>
                  </pic:nvPicPr>
                  <pic:blipFill>
                    <a:blip r:embed="rId21"/>
                    <a:stretch>
                      <a:fillRect/>
                    </a:stretch>
                  </pic:blipFill>
                  <pic:spPr>
                    <a:xfrm>
                      <a:off x="0" y="0"/>
                      <a:ext cx="5394960" cy="3725906"/>
                    </a:xfrm>
                    <a:prstGeom prst="rect"/>
                  </pic:spPr>
                </pic:pic>
              </a:graphicData>
            </a:graphic>
          </wp:inline>
        </w:drawing>
      </w:r>
    </w:p>
    <w:p>
      <w:pPr>
        <w:spacing w:after="240"/>
      </w:pPr>
      <w:r>
        <w:rPr>
          <w:sz w:val="18"/>
        </w:rPr>
        <w:t>Fig. S13 Shape complementarity.</w:t>
      </w:r>
    </w:p>
    <w:p>
      <w:pPr>
        <w:jc w:val="center"/>
      </w:pPr>
      <w:r>
        <w:drawing>
          <wp:inline xmlns:a="http://schemas.openxmlformats.org/drawingml/2006/main" xmlns:pic="http://schemas.openxmlformats.org/drawingml/2006/picture">
            <wp:extent cx="5394960" cy="2585236"/>
            <wp:docPr id="14" name="Picture 14"/>
            <wp:cNvGraphicFramePr>
              <a:graphicFrameLocks noChangeAspect="1"/>
            </wp:cNvGraphicFramePr>
            <a:graphic>
              <a:graphicData uri="http://schemas.openxmlformats.org/drawingml/2006/picture">
                <pic:pic>
                  <pic:nvPicPr>
                    <pic:cNvPr id="0" name="add4_geometry.png"/>
                    <pic:cNvPicPr/>
                  </pic:nvPicPr>
                  <pic:blipFill>
                    <a:blip r:embed="rId22"/>
                    <a:stretch>
                      <a:fillRect/>
                    </a:stretch>
                  </pic:blipFill>
                  <pic:spPr>
                    <a:xfrm>
                      <a:off x="0" y="0"/>
                      <a:ext cx="5394960" cy="2585236"/>
                    </a:xfrm>
                    <a:prstGeom prst="rect"/>
                  </pic:spPr>
                </pic:pic>
              </a:graphicData>
            </a:graphic>
          </wp:inline>
        </w:drawing>
      </w:r>
    </w:p>
    <w:p>
      <w:pPr>
        <w:spacing w:after="240"/>
      </w:pPr>
      <w:r>
        <w:rPr>
          <w:sz w:val="18"/>
        </w:rPr>
        <w:t>Fig. S14 Geometric spread of paratope and epitope.</w:t>
      </w:r>
    </w:p>
    <w:p>
      <w:pPr>
        <w:jc w:val="center"/>
      </w:pPr>
      <w:r>
        <w:drawing>
          <wp:inline xmlns:a="http://schemas.openxmlformats.org/drawingml/2006/main" xmlns:pic="http://schemas.openxmlformats.org/drawingml/2006/picture">
            <wp:extent cx="5394960" cy="1932898"/>
            <wp:docPr id="15" name="Picture 15"/>
            <wp:cNvGraphicFramePr>
              <a:graphicFrameLocks noChangeAspect="1"/>
            </wp:cNvGraphicFramePr>
            <a:graphic>
              <a:graphicData uri="http://schemas.openxmlformats.org/drawingml/2006/picture">
                <pic:pic>
                  <pic:nvPicPr>
                    <pic:cNvPr id="0" name="add6_functional_sites.png"/>
                    <pic:cNvPicPr/>
                  </pic:nvPicPr>
                  <pic:blipFill>
                    <a:blip r:embed="rId23"/>
                    <a:stretch>
                      <a:fillRect/>
                    </a:stretch>
                  </pic:blipFill>
                  <pic:spPr>
                    <a:xfrm>
                      <a:off x="0" y="0"/>
                      <a:ext cx="5394960" cy="1932898"/>
                    </a:xfrm>
                    <a:prstGeom prst="rect"/>
                  </pic:spPr>
                </pic:pic>
              </a:graphicData>
            </a:graphic>
          </wp:inline>
        </w:drawing>
      </w:r>
    </w:p>
    <w:p>
      <w:pPr>
        <w:spacing w:after="240"/>
      </w:pPr>
      <w:r>
        <w:rPr>
          <w:sz w:val="18"/>
        </w:rPr>
        <w:t>Fig. S15 Overlap of interfaces with ligand-binding sites.</w:t>
      </w:r>
    </w:p>
    <w:p>
      <w:pPr>
        <w:jc w:val="center"/>
      </w:pPr>
      <w:r>
        <w:drawing>
          <wp:inline xmlns:a="http://schemas.openxmlformats.org/drawingml/2006/main" xmlns:pic="http://schemas.openxmlformats.org/drawingml/2006/picture">
            <wp:extent cx="5394960" cy="2893973"/>
            <wp:docPr id="16" name="Picture 16"/>
            <wp:cNvGraphicFramePr>
              <a:graphicFrameLocks noChangeAspect="1"/>
            </wp:cNvGraphicFramePr>
            <a:graphic>
              <a:graphicData uri="http://schemas.openxmlformats.org/drawingml/2006/picture">
                <pic:pic>
                  <pic:nvPicPr>
                    <pic:cNvPr id="0" name="phase6c_conformation.png"/>
                    <pic:cNvPicPr/>
                  </pic:nvPicPr>
                  <pic:blipFill>
                    <a:blip r:embed="rId24"/>
                    <a:stretch>
                      <a:fillRect/>
                    </a:stretch>
                  </pic:blipFill>
                  <pic:spPr>
                    <a:xfrm>
                      <a:off x="0" y="0"/>
                      <a:ext cx="5394960" cy="2893973"/>
                    </a:xfrm>
                    <a:prstGeom prst="rect"/>
                  </pic:spPr>
                </pic:pic>
              </a:graphicData>
            </a:graphic>
          </wp:inline>
        </w:drawing>
      </w:r>
    </w:p>
    <w:p>
      <w:pPr>
        <w:spacing w:after="240"/>
      </w:pPr>
      <w:r>
        <w:rPr>
          <w:sz w:val="18"/>
        </w:rPr>
        <w:t>Fig. S16 Backbone dihedrals, side-chain rotamers and burial.</w:t>
      </w:r>
    </w:p>
    <w:p>
      <w:pPr>
        <w:jc w:val="center"/>
      </w:pPr>
      <w:r>
        <w:drawing>
          <wp:inline xmlns:a="http://schemas.openxmlformats.org/drawingml/2006/main" xmlns:pic="http://schemas.openxmlformats.org/drawingml/2006/picture">
            <wp:extent cx="5394960" cy="1589379"/>
            <wp:docPr id="17" name="Picture 17"/>
            <wp:cNvGraphicFramePr>
              <a:graphicFrameLocks noChangeAspect="1"/>
            </wp:cNvGraphicFramePr>
            <a:graphic>
              <a:graphicData uri="http://schemas.openxmlformats.org/drawingml/2006/picture">
                <pic:pic>
                  <pic:nvPicPr>
                    <pic:cNvPr id="0" name="immunodominance_profile.png"/>
                    <pic:cNvPicPr/>
                  </pic:nvPicPr>
                  <pic:blipFill>
                    <a:blip r:embed="rId25"/>
                    <a:stretch>
                      <a:fillRect/>
                    </a:stretch>
                  </pic:blipFill>
                  <pic:spPr>
                    <a:xfrm>
                      <a:off x="0" y="0"/>
                      <a:ext cx="5394960" cy="1589379"/>
                    </a:xfrm>
                    <a:prstGeom prst="rect"/>
                  </pic:spPr>
                </pic:pic>
              </a:graphicData>
            </a:graphic>
          </wp:inline>
        </w:drawing>
      </w:r>
    </w:p>
    <w:p>
      <w:pPr>
        <w:spacing w:after="240"/>
      </w:pPr>
      <w:r>
        <w:rPr>
          <w:sz w:val="18"/>
        </w:rPr>
        <w:t>Fig. S17 Per-position antibody contact frequency on lysozyme C.</w:t>
      </w:r>
    </w:p>
    <w:p>
      <w:pPr>
        <w:jc w:val="center"/>
      </w:pPr>
      <w:r>
        <w:drawing>
          <wp:inline xmlns:a="http://schemas.openxmlformats.org/drawingml/2006/main" xmlns:pic="http://schemas.openxmlformats.org/drawingml/2006/picture">
            <wp:extent cx="5394960" cy="2835958"/>
            <wp:docPr id="18" name="Picture 18"/>
            <wp:cNvGraphicFramePr>
              <a:graphicFrameLocks noChangeAspect="1"/>
            </wp:cNvGraphicFramePr>
            <a:graphic>
              <a:graphicData uri="http://schemas.openxmlformats.org/drawingml/2006/picture">
                <pic:pic>
                  <pic:nvPicPr>
                    <pic:cNvPr id="0" name="case_lysozyme.png"/>
                    <pic:cNvPicPr/>
                  </pic:nvPicPr>
                  <pic:blipFill>
                    <a:blip r:embed="rId26"/>
                    <a:stretch>
                      <a:fillRect/>
                    </a:stretch>
                  </pic:blipFill>
                  <pic:spPr>
                    <a:xfrm>
                      <a:off x="0" y="0"/>
                      <a:ext cx="5394960" cy="2835958"/>
                    </a:xfrm>
                    <a:prstGeom prst="rect"/>
                  </pic:spPr>
                </pic:pic>
              </a:graphicData>
            </a:graphic>
          </wp:inline>
        </w:drawing>
      </w:r>
    </w:p>
    <w:p>
      <w:pPr>
        <w:spacing w:after="240"/>
      </w:pPr>
      <w:r>
        <w:rPr>
          <w:sz w:val="18"/>
        </w:rPr>
        <w:t>Fig. S18 Immunodominance and sequence conservation on lysozyme C.</w:t>
      </w:r>
    </w:p>
    <w:p>
      <w:pPr>
        <w:jc w:val="center"/>
      </w:pPr>
      <w:r>
        <w:drawing>
          <wp:inline xmlns:a="http://schemas.openxmlformats.org/drawingml/2006/main" xmlns:pic="http://schemas.openxmlformats.org/drawingml/2006/picture">
            <wp:extent cx="5394960" cy="1947791"/>
            <wp:docPr id="19" name="Picture 19"/>
            <wp:cNvGraphicFramePr>
              <a:graphicFrameLocks noChangeAspect="1"/>
            </wp:cNvGraphicFramePr>
            <a:graphic>
              <a:graphicData uri="http://schemas.openxmlformats.org/drawingml/2006/picture">
                <pic:pic>
                  <pic:nvPicPr>
                    <pic:cNvPr id="0" name="case_matched_targets.png"/>
                    <pic:cNvPicPr/>
                  </pic:nvPicPr>
                  <pic:blipFill>
                    <a:blip r:embed="rId27"/>
                    <a:stretch>
                      <a:fillRect/>
                    </a:stretch>
                  </pic:blipFill>
                  <pic:spPr>
                    <a:xfrm>
                      <a:off x="0" y="0"/>
                      <a:ext cx="5394960" cy="1947791"/>
                    </a:xfrm>
                    <a:prstGeom prst="rect"/>
                  </pic:spPr>
                </pic:pic>
              </a:graphicData>
            </a:graphic>
          </wp:inline>
        </w:drawing>
      </w:r>
    </w:p>
    <w:p>
      <w:pPr>
        <w:spacing w:after="240"/>
      </w:pPr>
      <w:r>
        <w:rPr>
          <w:sz w:val="18"/>
        </w:rPr>
        <w:t>Fig. S19 Epitope overlap with the natural partner site for proteins solved in both complexes.</w:t>
      </w:r>
    </w:p>
    <w:p>
      <w:pPr>
        <w:jc w:val="center"/>
      </w:pPr>
      <w:r>
        <w:drawing>
          <wp:inline xmlns:a="http://schemas.openxmlformats.org/drawingml/2006/main" xmlns:pic="http://schemas.openxmlformats.org/drawingml/2006/picture">
            <wp:extent cx="5394960" cy="3072699"/>
            <wp:docPr id="20" name="Picture 20"/>
            <wp:cNvGraphicFramePr>
              <a:graphicFrameLocks noChangeAspect="1"/>
            </wp:cNvGraphicFramePr>
            <a:graphic>
              <a:graphicData uri="http://schemas.openxmlformats.org/drawingml/2006/picture">
                <pic:pic>
                  <pic:nvPicPr>
                    <pic:cNvPr id="0" name="phase2_interface_inventory.png"/>
                    <pic:cNvPicPr/>
                  </pic:nvPicPr>
                  <pic:blipFill>
                    <a:blip r:embed="rId28"/>
                    <a:stretch>
                      <a:fillRect/>
                    </a:stretch>
                  </pic:blipFill>
                  <pic:spPr>
                    <a:xfrm>
                      <a:off x="0" y="0"/>
                      <a:ext cx="5394960" cy="3072699"/>
                    </a:xfrm>
                    <a:prstGeom prst="rect"/>
                  </pic:spPr>
                </pic:pic>
              </a:graphicData>
            </a:graphic>
          </wp:inline>
        </w:drawing>
      </w:r>
    </w:p>
    <w:p>
      <w:pPr>
        <w:spacing w:after="240"/>
      </w:pPr>
      <w:r>
        <w:rPr>
          <w:sz w:val="18"/>
        </w:rPr>
        <w:t>Fig. S20 Interface size and packing distributions.</w:t>
      </w:r>
    </w:p>
    <w:p>
      <w:pPr>
        <w:pStyle w:val="Heading1"/>
      </w:pPr>
      <w:r>
        <w:rPr>
          <w:rFonts w:ascii="Times New Roman" w:hAnsi="Times New Roman"/>
          <w:color w:val="000000"/>
        </w:rPr>
        <w:t>S11. Supplementary data files</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File</w:t>
            </w:r>
          </w:p>
        </w:tc>
        <w:tc>
          <w:tcPr>
            <w:tcW w:type="dxa" w:w="4680"/>
          </w:tcPr>
          <w:p>
            <w:r/>
            <w:r>
              <w:rPr>
                <w:b/>
                <w:sz w:val="18"/>
              </w:rPr>
              <w:t>Contents</w:t>
            </w:r>
          </w:p>
        </w:tc>
      </w:tr>
      <w:tr>
        <w:tc>
          <w:tcPr>
            <w:tcW w:type="dxa" w:w="4680"/>
          </w:tcPr>
          <w:p>
            <w:r/>
            <w:r>
              <w:rPr>
                <w:b w:val="0"/>
                <w:sz w:val="18"/>
              </w:rPr>
              <w:t>corpus_manifest.csv</w:t>
            </w:r>
          </w:p>
        </w:tc>
        <w:tc>
          <w:tcPr>
            <w:tcW w:type="dxa" w:w="4680"/>
          </w:tcPr>
          <w:p>
            <w:r/>
            <w:r>
              <w:rPr>
                <w:b w:val="0"/>
                <w:sz w:val="18"/>
              </w:rPr>
              <w:t>All 3,084 structures with descriptions, chains, resolution, units and exclusion reasons</w:t>
            </w:r>
          </w:p>
        </w:tc>
      </w:tr>
      <w:tr>
        <w:tc>
          <w:tcPr>
            <w:tcW w:type="dxa" w:w="4680"/>
          </w:tcPr>
          <w:p>
            <w:r/>
            <w:r>
              <w:rPr>
                <w:b w:val="0"/>
                <w:sz w:val="18"/>
              </w:rPr>
              <w:t>matrix_antibody_cluster30.csv</w:t>
            </w:r>
          </w:p>
        </w:tc>
        <w:tc>
          <w:tcPr>
            <w:tcW w:type="dxa" w:w="4680"/>
          </w:tcPr>
          <w:p>
            <w:r/>
            <w:r>
              <w:rPr>
                <w:b w:val="0"/>
                <w:sz w:val="18"/>
              </w:rPr>
              <w:t>Per-cell log odds, q values, bootstrap stability and counts</w:t>
            </w:r>
          </w:p>
        </w:tc>
      </w:tr>
      <w:tr>
        <w:tc>
          <w:tcPr>
            <w:tcW w:type="dxa" w:w="4680"/>
          </w:tcPr>
          <w:p>
            <w:r/>
            <w:r>
              <w:rPr>
                <w:b w:val="0"/>
                <w:sz w:val="18"/>
              </w:rPr>
              <w:t>matrix_ppi_cluster30.csv</w:t>
            </w:r>
          </w:p>
        </w:tc>
        <w:tc>
          <w:tcPr>
            <w:tcW w:type="dxa" w:w="4680"/>
          </w:tcPr>
          <w:p>
            <w:r/>
            <w:r>
              <w:rPr>
                <w:b w:val="0"/>
                <w:sz w:val="18"/>
              </w:rPr>
              <w:t>As above for the protein-protein group</w:t>
            </w:r>
          </w:p>
        </w:tc>
      </w:tr>
      <w:tr>
        <w:tc>
          <w:tcPr>
            <w:tcW w:type="dxa" w:w="4680"/>
          </w:tcPr>
          <w:p>
            <w:r/>
            <w:r>
              <w:rPr>
                <w:b w:val="0"/>
                <w:sz w:val="18"/>
              </w:rPr>
              <w:t>fgroup_matrix_antibody.csv</w:t>
            </w:r>
          </w:p>
        </w:tc>
        <w:tc>
          <w:tcPr>
            <w:tcW w:type="dxa" w:w="4680"/>
          </w:tcPr>
          <w:p>
            <w:r/>
            <w:r>
              <w:rPr>
                <w:b w:val="0"/>
                <w:sz w:val="18"/>
              </w:rPr>
              <w:t>Functional-group contact matrix</w:t>
            </w:r>
          </w:p>
        </w:tc>
      </w:tr>
      <w:tr>
        <w:tc>
          <w:tcPr>
            <w:tcW w:type="dxa" w:w="4680"/>
          </w:tcPr>
          <w:p>
            <w:r/>
            <w:r>
              <w:rPr>
                <w:b w:val="0"/>
                <w:sz w:val="18"/>
              </w:rPr>
              <w:t>fgroup_matrix_ppi.csv</w:t>
            </w:r>
          </w:p>
        </w:tc>
        <w:tc>
          <w:tcPr>
            <w:tcW w:type="dxa" w:w="4680"/>
          </w:tcPr>
          <w:p>
            <w:r/>
            <w:r>
              <w:rPr>
                <w:b w:val="0"/>
                <w:sz w:val="18"/>
              </w:rPr>
              <w:t>As above for the protein-protein group</w:t>
            </w:r>
          </w:p>
        </w:tc>
      </w:tr>
      <w:tr>
        <w:tc>
          <w:tcPr>
            <w:tcW w:type="dxa" w:w="4680"/>
          </w:tcPr>
          <w:p>
            <w:r/>
            <w:r>
              <w:rPr>
                <w:b w:val="0"/>
                <w:sz w:val="18"/>
              </w:rPr>
              <w:t>interface_inventory.csv</w:t>
            </w:r>
          </w:p>
        </w:tc>
        <w:tc>
          <w:tcPr>
            <w:tcW w:type="dxa" w:w="4680"/>
          </w:tcPr>
          <w:p>
            <w:r/>
            <w:r>
              <w:rPr>
                <w:b w:val="0"/>
                <w:sz w:val="18"/>
              </w:rPr>
              <w:t>Per-interface bond and chemistry composition</w:t>
            </w:r>
          </w:p>
        </w:tc>
      </w:tr>
      <w:tr>
        <w:tc>
          <w:tcPr>
            <w:tcW w:type="dxa" w:w="4680"/>
          </w:tcPr>
          <w:p>
            <w:r/>
            <w:r>
              <w:rPr>
                <w:b w:val="0"/>
                <w:sz w:val="18"/>
              </w:rPr>
              <w:t>structural_residues.csv</w:t>
            </w:r>
          </w:p>
        </w:tc>
        <w:tc>
          <w:tcPr>
            <w:tcW w:type="dxa" w:w="4680"/>
          </w:tcPr>
          <w:p>
            <w:r/>
            <w:r>
              <w:rPr>
                <w:b w:val="0"/>
                <w:sz w:val="18"/>
              </w:rPr>
              <w:t>1,019,571 residues with secondary structure, torsions and buried surface</w:t>
            </w:r>
          </w:p>
        </w:tc>
      </w:tr>
      <w:tr>
        <w:tc>
          <w:tcPr>
            <w:tcW w:type="dxa" w:w="4680"/>
          </w:tcPr>
          <w:p>
            <w:r/>
            <w:r>
              <w:rPr>
                <w:b w:val="0"/>
                <w:sz w:val="18"/>
              </w:rPr>
              <w:t>interface_geometry.csv</w:t>
            </w:r>
          </w:p>
        </w:tc>
        <w:tc>
          <w:tcPr>
            <w:tcW w:type="dxa" w:w="4680"/>
          </w:tcPr>
          <w:p>
            <w:r/>
            <w:r>
              <w:rPr>
                <w:b w:val="0"/>
                <w:sz w:val="18"/>
              </w:rPr>
              <w:t>Patch radius, planarity and sub-patch counts</w:t>
            </w:r>
          </w:p>
        </w:tc>
      </w:tr>
      <w:tr>
        <w:tc>
          <w:tcPr>
            <w:tcW w:type="dxa" w:w="4680"/>
          </w:tcPr>
          <w:p>
            <w:r/>
            <w:r>
              <w:rPr>
                <w:b w:val="0"/>
                <w:sz w:val="18"/>
              </w:rPr>
              <w:t>thermodynamics.csv</w:t>
            </w:r>
          </w:p>
        </w:tc>
        <w:tc>
          <w:tcPr>
            <w:tcW w:type="dxa" w:w="4680"/>
          </w:tcPr>
          <w:p>
            <w:r/>
            <w:r>
              <w:rPr>
                <w:b w:val="0"/>
                <w:sz w:val="18"/>
              </w:rPr>
              <w:t>Per-interface buried apolar and polar surface</w:t>
            </w:r>
          </w:p>
        </w:tc>
      </w:tr>
      <w:tr>
        <w:tc>
          <w:tcPr>
            <w:tcW w:type="dxa" w:w="4680"/>
          </w:tcPr>
          <w:p>
            <w:r/>
            <w:r>
              <w:rPr>
                <w:b w:val="0"/>
                <w:sz w:val="18"/>
              </w:rPr>
              <w:t>shape_complementarity.csv</w:t>
            </w:r>
          </w:p>
        </w:tc>
        <w:tc>
          <w:tcPr>
            <w:tcW w:type="dxa" w:w="4680"/>
          </w:tcPr>
          <w:p>
            <w:r/>
            <w:r>
              <w:rPr>
                <w:b w:val="0"/>
                <w:sz w:val="18"/>
              </w:rPr>
              <w:t>Per-interface shape complementarity</w:t>
            </w:r>
          </w:p>
        </w:tc>
      </w:tr>
      <w:tr>
        <w:tc>
          <w:tcPr>
            <w:tcW w:type="dxa" w:w="4680"/>
          </w:tcPr>
          <w:p>
            <w:r/>
            <w:r>
              <w:rPr>
                <w:b w:val="0"/>
                <w:sz w:val="18"/>
              </w:rPr>
              <w:t>paratope_regions.csv</w:t>
            </w:r>
          </w:p>
        </w:tc>
        <w:tc>
          <w:tcPr>
            <w:tcW w:type="dxa" w:w="4680"/>
          </w:tcPr>
          <w:p>
            <w:r/>
            <w:r>
              <w:rPr>
                <w:b w:val="0"/>
                <w:sz w:val="18"/>
              </w:rPr>
              <w:t>Every paratope contact with its IMGT region</w:t>
            </w:r>
          </w:p>
        </w:tc>
      </w:tr>
      <w:tr>
        <w:tc>
          <w:tcPr>
            <w:tcW w:type="dxa" w:w="4680"/>
          </w:tcPr>
          <w:p>
            <w:r/>
            <w:r>
              <w:rPr>
                <w:b w:val="0"/>
                <w:sz w:val="18"/>
              </w:rPr>
              <w:t>differential_cells.csv</w:t>
            </w:r>
          </w:p>
        </w:tc>
        <w:tc>
          <w:tcPr>
            <w:tcW w:type="dxa" w:w="4680"/>
          </w:tcPr>
          <w:p>
            <w:r/>
            <w:r>
              <w:rPr>
                <w:b w:val="0"/>
                <w:sz w:val="18"/>
              </w:rPr>
              <w:t>Per-cell differences with intervals</w:t>
            </w:r>
          </w:p>
        </w:tc>
      </w:tr>
      <w:tr>
        <w:tc>
          <w:tcPr>
            <w:tcW w:type="dxa" w:w="4680"/>
          </w:tcPr>
          <w:p>
            <w:r/>
            <w:r>
              <w:rPr>
                <w:b w:val="0"/>
                <w:sz w:val="18"/>
              </w:rPr>
              <w:t>modified_contacts.csv</w:t>
            </w:r>
          </w:p>
        </w:tc>
        <w:tc>
          <w:tcPr>
            <w:tcW w:type="dxa" w:w="4680"/>
          </w:tcPr>
          <w:p>
            <w:r/>
            <w:r>
              <w:rPr>
                <w:b w:val="0"/>
                <w:sz w:val="18"/>
              </w:rPr>
              <w:t>Modified residues and glycans at interfaces</w:t>
            </w:r>
          </w:p>
        </w:tc>
      </w:tr>
    </w:tbl>
    <w:p>
      <w:pPr>
        <w:spacing w:after="120"/>
      </w:pPr>
      <w:r>
        <w:rPr>
          <w:b w:val="0"/>
          <w:i w:val="0"/>
          <w:sz w:val="18"/>
        </w:rPr>
        <w:t>Table S11 Supplementary data files provided with this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