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3"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[10]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X2d3be62ded7d9bb71ac3c1daf1327673d48d51e"/>
    <w:p>
      <w:pPr>
        <w:pStyle w:val="Heading3"/>
      </w:pPr>
      <w:r>
        <w:rPr>
          <w:rFonts w:ascii="Times New Roman" w:hAnsi="Times New Roman" w:cs="Times New Roman"/>
          <w:color w:val="000000"/>
        </w:rPr>
        <w:t xml:space="preserve">Table 8. Census-formation rules and confidence cutoffs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 / route</w:t>
            </w:r>
          </w:p>
        </w:tc>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Admission cutoff</w:t>
            </w:r>
          </w:p>
        </w:tc>
        <w:tc>
          <w:tcPr/>
          <w:p>
            <w:pPr>
              <w:pStyle w:val="Compact"/>
            </w:pPr>
            <w:r>
              <w:rPr>
                <w:rFonts w:ascii="Times New Roman" w:hAnsi="Times New Roman"/>
                <w:color w:val="000000"/>
              </w:rPr>
              <w:t xml:space="preserve">Evidence tier</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BioGRID, IntAct, BioPlex, HuRI</w:t>
            </w:r>
          </w:p>
        </w:tc>
        <w:tc>
          <w:tcPr/>
          <w:p>
            <w:pPr>
              <w:pStyle w:val="Compact"/>
            </w:pPr>
            <w:r>
              <w:rPr>
                <w:rFonts w:ascii="Times New Roman" w:hAnsi="Times New Roman"/>
                <w:color w:val="000000"/>
              </w:rPr>
              <w:t xml:space="preserve">at least one record in a primary assay database</w:t>
            </w:r>
          </w:p>
        </w:tc>
        <w:tc>
          <w:tcPr/>
          <w:p>
            <w:pPr>
              <w:pStyle w:val="Compact"/>
            </w:pPr>
            <w:r>
              <w:rPr>
                <w:rFonts w:ascii="Times New Roman" w:hAnsi="Times New Roman"/>
                <w:color w:val="000000"/>
              </w:rPr>
              <w:t xml:space="preserve">experimental</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present via the integrative resource</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kept and flagged; not counted toward high-confidence</w:t>
            </w:r>
          </w:p>
        </w:tc>
        <w:tc>
          <w:tcPr/>
          <w:p>
            <w:pPr>
              <w:pStyle w:val="Compact"/>
            </w:pPr>
            <w:r>
              <w:rPr>
                <w:rFonts w:ascii="Times New Roman" w:hAnsi="Times New Roman"/>
                <w:color w:val="000000"/>
              </w:rPr>
              <w:t xml:space="preserve">predicted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re-extracted at the nineteen seeds; validation layer</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Domain route</w:t>
            </w:r>
          </w:p>
        </w:tc>
        <w:tc>
          <w:tcPr/>
          <w:p>
            <w:pPr>
              <w:pStyle w:val="Compact"/>
            </w:pPr>
            <w:r>
              <w:rPr>
                <w:rFonts w:ascii="Times New Roman" w:hAnsi="Times New Roman"/>
                <w:color w:val="000000"/>
              </w:rPr>
              <w:t xml:space="preserve">pfam2go (Pfam + InterPro + GO)</w:t>
            </w:r>
          </w:p>
        </w:tc>
        <w:tc>
          <w:tcPr/>
          <w:p>
            <w:pPr>
              <w:pStyle w:val="Compact"/>
            </w:pPr>
            <w:r>
              <w:rPr>
                <w:rFonts w:ascii="Times New Roman" w:hAnsi="Times New Roman"/>
                <w:color w:val="000000"/>
              </w:rPr>
              <w:t xml:space="preserve">protein carries a domain with a direct microtubule- or tubulin-binding GO term</w:t>
            </w:r>
          </w:p>
        </w:tc>
        <w:tc>
          <w:tcPr/>
          <w:p>
            <w:pPr>
              <w:pStyle w:val="Compact"/>
            </w:pPr>
            <w:r>
              <w:rPr>
                <w:rFonts w:ascii="Times New Roman" w:hAnsi="Times New Roman"/>
                <w:color w:val="000000"/>
              </w:rPr>
              <w:t xml:space="preserve">domain</w:t>
            </w:r>
          </w:p>
        </w:tc>
      </w:tr>
      <w:tr>
        <w:tc>
          <w:tcPr/>
          <w:p>
            <w:pPr>
              <w:pStyle w:val="Compact"/>
            </w:pPr>
            <w:r>
              <w:rPr>
                <w:rFonts w:ascii="Times New Roman" w:hAnsi="Times New Roman"/>
                <w:color w:val="000000"/>
              </w:rPr>
              <w:t xml:space="preserve">Pathway route</w:t>
            </w:r>
          </w:p>
        </w:tc>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member of the motor pathway or a microtubule-related Reactome pathway</w:t>
            </w:r>
          </w:p>
        </w:tc>
        <w:tc>
          <w:tcPr/>
          <w:p>
            <w:pPr>
              <w:pStyle w:val="Compact"/>
            </w:pPr>
            <w:r>
              <w:rPr>
                <w:rFonts w:ascii="Times New Roman" w:hAnsi="Times New Roman"/>
                <w:color w:val="000000"/>
              </w:rPr>
              <w:t xml:space="preserve">pathway</w:t>
            </w:r>
          </w:p>
        </w:tc>
      </w:tr>
      <w:tr>
        <w:tc>
          <w:tcPr/>
          <w:p>
            <w:pPr>
              <w:pStyle w:val="Compact"/>
            </w:pPr>
            <w:r>
              <w:rPr>
                <w:rFonts w:ascii="Times New Roman" w:hAnsi="Times New Roman"/>
                <w:b/>
                <w:bCs/>
                <w:color w:val="000000"/>
              </w:rPr>
              <w:t xml:space="preserve">High-confidence partner</w:t>
            </w:r>
          </w:p>
        </w:tc>
        <w:tc>
          <w:tcPr/>
          <w:p>
            <w:pPr>
              <w:pStyle w:val="Compact"/>
            </w:pPr>
            <w:r>
              <w:rPr>
                <w:rFonts w:ascii="Times New Roman" w:hAnsi="Times New Roman"/>
                <w:color w:val="000000"/>
              </w:rPr>
              <w:t xml:space="preserve">primary databases only</w:t>
            </w:r>
          </w:p>
        </w:tc>
        <w:tc>
          <w:tcPr/>
          <w:p>
            <w:pPr>
              <w:pStyle w:val="Compact"/>
            </w:pPr>
            <w:r>
              <w:rPr>
                <w:rFonts w:ascii="Times New Roman" w:hAnsi="Times New Roman"/>
                <w:b/>
                <w:bCs/>
                <w:color w:val="000000"/>
              </w:rPr>
              <w:t xml:space="preserve">reported by at least two primary databases (STRING excluded by construction)</w:t>
            </w:r>
          </w:p>
        </w:tc>
        <w:tc>
          <w:tcPr/>
          <w:p>
            <w:pPr>
              <w:pStyle w:val="Compact"/>
            </w:pPr>
            <w:r>
              <w:rPr>
                <w:rFonts w:ascii="Times New Roman" w:hAnsi="Times New Roman"/>
                <w:color w:val="000000"/>
              </w:rPr>
              <w:t xml:space="preserve">experimental / compiled</w:t>
            </w:r>
          </w:p>
        </w:tc>
      </w:tr>
      <w:tr>
        <w:tc>
          <w:tcPr/>
          <w:p>
            <w:pPr>
              <w:pStyle w:val="Compact"/>
            </w:pPr>
            <w:r>
              <w:rPr>
                <w:rFonts w:ascii="Times New Roman" w:hAnsi="Times New Roman"/>
                <w:color w:val="000000"/>
              </w:rPr>
              <w:t xml:space="preserve">Enrichment significance</w:t>
            </w:r>
          </w:p>
        </w:tc>
        <w:tc>
          <w:tcPr/>
          <w:p>
            <w:pPr>
              <w:pStyle w:val="Compact"/>
            </w:pPr>
            <w:r>
              <w:rPr>
                <w:rFonts w:ascii="Times New Roman" w:hAnsi="Times New Roman"/>
                <w:color w:val="000000"/>
              </w:rPr>
              <w:t xml:space="preserve">Reactome / KEGG ORA</w:t>
            </w:r>
          </w:p>
        </w:tc>
        <w:tc>
          <w:tcPr/>
          <w:p>
            <w:pPr>
              <w:pStyle w:val="Compact"/>
            </w:pPr>
            <w:r>
              <w:rPr>
                <w:rFonts w:ascii="Times New Roman" w:hAnsi="Times New Roman"/>
                <w:color w:val="000000"/>
              </w:rPr>
              <w:t xml:space="preserve">Benjamini-Hochberg q &lt; 0.05</w:t>
            </w:r>
          </w:p>
        </w:tc>
        <w:tc>
          <w:tcPr/>
          <w:p>
            <w:pPr>
              <w:pStyle w:val="Compact"/>
            </w:pPr>
            <w:r>
              <w:rPr>
                <w:rFonts w:ascii="Times New Roman" w:hAnsi="Times New Roman"/>
                <w:color w:val="000000"/>
              </w:rPr>
              <w:t xml:space="preserve">—</w:t>
            </w:r>
          </w:p>
        </w:tc>
      </w:tr>
    </w:tbl>
    <w:p>
      <w:pPr>
        <w:pStyle w:val="BodyText"/>
        <w:jc w:val="both"/>
      </w:pPr>
      <w:r>
        <w:rPr>
          <w:rFonts w:ascii="Times New Roman" w:hAnsi="Times New Roman" w:cs="Times New Roman"/>
          <w:i/>
          <w:iCs/>
          <w:color w:val="000000"/>
        </w:rPr>
        <w:t xml:space="preserve">The full census is the union of the three routes at all tiers. The default</w:t>
      </w:r>
      <w:r>
        <w:rPr>
          <w:rFonts w:ascii="Times New Roman" w:hAnsi="Times New Roman" w:cs="Times New Roman"/>
          <w:i/>
          <w:iCs/>
          <w:color w:val="000000"/>
        </w:rPr>
        <w:t xml:space="preserve"> </w:t>
      </w:r>
      <w:r>
        <w:rPr>
          <w:rFonts w:ascii="Times New Roman" w:hAnsi="Times New Roman" w:cs="Times New Roman"/>
          <w:i/>
          <w:iCs/>
          <w:color w:val="000000"/>
        </w:rPr>
        <w:t xml:space="preserve">analysis set is experimental + compiled; predicted (STRING-only) partners are</w:t>
      </w:r>
      <w:r>
        <w:rPr>
          <w:rFonts w:ascii="Times New Roman" w:hAnsi="Times New Roman" w:cs="Times New Roman"/>
          <w:i/>
          <w:iCs/>
          <w:color w:val="000000"/>
        </w:rPr>
        <w:t xml:space="preserve"> </w:t>
      </w:r>
      <w:r>
        <w:rPr>
          <w:rFonts w:ascii="Times New Roman" w:hAnsi="Times New Roman" w:cs="Times New Roman"/>
          <w:i/>
          <w:iCs/>
          <w:color w:val="000000"/>
        </w:rPr>
        <w:t xml:space="preserve">retained and labelled, never dropped. High-confidence 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used for the drawn interactome maps.</w:t>
      </w:r>
    </w:p>
    <w:bookmarkEnd w:id="19"/>
    <w:bookmarkStart w:id="20"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20"/>
    <w:bookmarkStart w:id="21"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1"/>
    <w:bookmarkStart w:id="22"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and STREME [28] discovered motifs de novo over non-redundant sets clustered with</w:t>
      </w:r>
      <w:r>
        <w:rPr>
          <w:rFonts w:ascii="Times New Roman" w:hAnsi="Times New Roman" w:cs="Times New Roman"/>
          <w:color w:val="000000"/>
        </w:rPr>
        <w:t xml:space="preserve"> </w:t>
      </w:r>
      <w:r>
        <w:rPr>
          <w:rFonts w:ascii="Times New Roman" w:hAnsi="Times New Roman" w:cs="Times New Roman"/>
          <w:color w:val="000000"/>
        </w:rPr>
        <w:t xml:space="preserve">MMseqs2 [31],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with disease</w:t>
      </w:r>
      <w:r>
        <w:rPr>
          <w:rFonts w:ascii="Times New Roman" w:hAnsi="Times New Roman" w:cs="Times New Roman"/>
          <w:color w:val="000000"/>
        </w:rPr>
        <w:t xml:space="preserve"> </w:t>
      </w:r>
      <w:r>
        <w:rPr>
          <w:rFonts w:ascii="Times New Roman" w:hAnsi="Times New Roman" w:cs="Times New Roman"/>
          <w:color w:val="000000"/>
        </w:rPr>
        <w:t xml:space="preserve">variants from ClinVar [19] and cBioPortal [20] and tissue expression from GTEx [25].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analysis was implemented in Python with Biopython [34] and NetworkX [35], and the</w:t>
      </w:r>
      <w:r>
        <w:rPr>
          <w:rFonts w:ascii="Times New Roman" w:hAnsi="Times New Roman" w:cs="Times New Roman"/>
          <w:color w:val="000000"/>
        </w:rPr>
        <w:t xml:space="preserve"> </w:t>
      </w:r>
      <w:r>
        <w:rPr>
          <w:rFonts w:ascii="Times New Roman" w:hAnsi="Times New Roman" w:cs="Times New Roman"/>
          <w:color w:val="000000"/>
        </w:rPr>
        <w:t xml:space="preserve">high-confidence interactomes were laid out with ForceAtlas2 [32].</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2"/>
    <w:bookmarkEnd w:id="23"/>
    <w:bookmarkStart w:id="127" w:name="results"/>
    <w:p>
      <w:pPr>
        <w:pStyle w:val="Heading2"/>
      </w:pPr>
      <w:r>
        <w:rPr>
          <w:rFonts w:ascii="Times New Roman" w:hAnsi="Times New Roman" w:cs="Times New Roman"/>
          <w:color w:val="000000"/>
        </w:rPr>
        <w:t xml:space="preserve">3 Results</w:t>
      </w:r>
    </w:p>
    <w:bookmarkStart w:id="24"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4"/>
    <w:bookmarkStart w:id="25"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 domain-only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 pathway-only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(&gt;=2 primary DBs)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bookmarkEnd w:id="25"/>
    <w:bookmarkStart w:id="26"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6"/>
    <w:bookmarkStart w:id="30"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8" name="imag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30"/>
    <w:bookmarkStart w:id="37"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2938524"/>
            <wp:effectExtent b="0" l="0" r="0" t="0"/>
            <wp:docPr descr="" title="" id="32" name="image"/>
            <a:graphic>
              <a:graphicData uri="http://schemas.openxmlformats.org/drawingml/2006/picture">
                <pic:pic>
                  <pic:nvPicPr>
                    <pic:cNvPr descr="" id="33" name="Picture"/>
                    <pic:cNvPicPr>
                      <a:picLocks noChangeArrowheads="1" noChangeAspect="1"/>
                    </pic:cNvPicPr>
                  </pic:nvPicPr>
                  <pic:blipFill>
                    <a:blip r:embed="rId31"/>
                    <a:stretch>
                      <a:fillRect/>
                    </a:stretch>
                  </pic:blipFill>
                  <pic:spPr bwMode="auto">
                    <a:xfrm>
                      <a:off x="0" y="0"/>
                      <a:ext cx="5334000" cy="293852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box area = reviewed human proteins carrying the domain, colour marks the origin (curated, curated + pfam2go, or pfam2go-added), showing the expansion from eleven curated domains to the full repertoire.</w:t>
      </w:r>
    </w:p>
    <w:p>
      <w:pPr>
        <w:pStyle w:val="BodyText"/>
        <w:jc w:val="both"/>
      </w:pPr>
      <w:r>
        <w:rPr>
          <w:rFonts w:ascii="Times New Roman" w:hAnsi="Times New Roman" w:cs="Times New Roman"/>
          <w:color w:val="000000"/>
        </w:rPr>
        <w:drawing>
          <wp:inline>
            <wp:extent cx="5334000" cy="2121960"/>
            <wp:effectExtent b="0" l="0" r="0" t="0"/>
            <wp:docPr descr="" title="" id="35" name="imag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7"/>
    <w:bookmarkStart w:id="38" w:name="X5eb98a5393186a4fe53536848c7b3d7ece197ad"/>
    <w:p>
      <w:pPr>
        <w:pStyle w:val="Heading3"/>
      </w:pPr>
      <w:r>
        <w:rPr>
          <w:rFonts w:ascii="Times New Roman" w:hAnsi="Times New Roman" w:cs="Times New Roman"/>
          <w:color w:val="000000"/>
        </w:rPr>
        <w:t xml:space="preserve">Table 4. Microtubule/tubulin-binding Pfam domain repertoire: curated set versus pfam2go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c>
          <w:tcPr/>
          <w:p>
            <w:pPr>
              <w:pStyle w:val="Compact"/>
            </w:pPr>
            <w:r>
              <w:rPr>
                <w:rFonts w:ascii="Times New Roman" w:hAnsi="Times New Roman"/>
                <w:color w:val="000000"/>
              </w:rPr>
              <w:t xml:space="preserve">Origin</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bl>
    <w:p>
      <w:pPr>
        <w:pStyle w:val="BodyText"/>
        <w:jc w:val="both"/>
      </w:pPr>
      <w:r>
        <w:rPr>
          <w:rFonts w:ascii="Times New Roman" w:hAnsi="Times New Roman" w:cs="Times New Roman"/>
          <w:i/>
          <w:iCs/>
          <w:color w:val="000000"/>
        </w:rPr>
        <w:t xml:space="preserve">Origin marks each domain as curated (in the starting set of eleven), pfam2go (added by the GO-term expansion), or both. Before: 11 curated domains. After pfam2go: 34 microtubule-associated families.</w:t>
      </w:r>
    </w:p>
    <w:bookmarkEnd w:id="38"/>
    <w:bookmarkStart w:id="45"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40" name="imag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3" name="image"/>
            <a:graphic>
              <a:graphicData uri="http://schemas.openxmlformats.org/drawingml/2006/picture">
                <pic:pic>
                  <pic:nvPicPr>
                    <pic:cNvPr descr="" id="44" name="Picture"/>
                    <pic:cNvPicPr>
                      <a:picLocks noChangeArrowheads="1" noChangeAspect="1"/>
                    </pic:cNvPicPr>
                  </pic:nvPicPr>
                  <pic:blipFill>
                    <a:blip r:embed="rId42"/>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5"/>
    <w:bookmarkStart w:id="52"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7" name="image"/>
            <a:graphic>
              <a:graphicData uri="http://schemas.openxmlformats.org/drawingml/2006/picture">
                <pic:pic>
                  <pic:nvPicPr>
                    <pic:cNvPr descr="" id="48" name="Picture"/>
                    <pic:cNvPicPr>
                      <a:picLocks noChangeArrowheads="1" noChangeAspect="1"/>
                    </pic:cNvPicPr>
                  </pic:nvPicPr>
                  <pic:blipFill>
                    <a:blip r:embed="rId46"/>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50" name="imag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2"/>
    <w:bookmarkStart w:id="59"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4" name="image"/>
            <a:graphic>
              <a:graphicData uri="http://schemas.openxmlformats.org/drawingml/2006/picture">
                <pic:pic>
                  <pic:nvPicPr>
                    <pic:cNvPr descr="" id="55" name="Picture"/>
                    <pic:cNvPicPr>
                      <a:picLocks noChangeArrowheads="1" noChangeAspect="1"/>
                    </pic:cNvPicPr>
                  </pic:nvPicPr>
                  <pic:blipFill>
                    <a:blip r:embed="rId53"/>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7" name="image"/>
            <a:graphic>
              <a:graphicData uri="http://schemas.openxmlformats.org/drawingml/2006/picture">
                <pic:pic>
                  <pic:nvPicPr>
                    <pic:cNvPr descr="" id="58" name="Picture"/>
                    <pic:cNvPicPr>
                      <a:picLocks noChangeArrowheads="1" noChangeAspect="1"/>
                    </pic:cNvPicPr>
                  </pic:nvPicPr>
                  <pic:blipFill>
                    <a:blip r:embed="rId56"/>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9"/>
    <w:bookmarkStart w:id="63"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1" name="imag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3"/>
    <w:bookmarkStart w:id="64"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4"/>
    <w:bookmarkStart w:id="77"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6" name="imag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9" name="image"/>
            <a:graphic>
              <a:graphicData uri="http://schemas.openxmlformats.org/drawingml/2006/picture">
                <pic:pic>
                  <pic:nvPicPr>
                    <pic:cNvPr descr="" id="70" name="Picture"/>
                    <pic:cNvPicPr>
                      <a:picLocks noChangeArrowheads="1" noChangeAspect="1"/>
                    </pic:cNvPicPr>
                  </pic:nvPicPr>
                  <pic:blipFill>
                    <a:blip r:embed="rId68"/>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2" name="imag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5" name="image"/>
            <a:graphic>
              <a:graphicData uri="http://schemas.openxmlformats.org/drawingml/2006/picture">
                <pic:pic>
                  <pic:nvPicPr>
                    <pic:cNvPr descr="" id="76" name="Picture"/>
                    <pic:cNvPicPr>
                      <a:picLocks noChangeArrowheads="1" noChangeAspect="1"/>
                    </pic:cNvPicPr>
                  </pic:nvPicPr>
                  <pic:blipFill>
                    <a:blip r:embed="rId74"/>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7"/>
    <w:bookmarkStart w:id="78"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8"/>
    <w:bookmarkStart w:id="88"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The human alpha high-confidence map holds</w:t>
      </w:r>
      <w:r>
        <w:rPr>
          <w:rFonts w:ascii="Times New Roman" w:hAnsi="Times New Roman" w:cs="Times New Roman"/>
          <w:color w:val="000000"/>
        </w:rPr>
        <w:t xml:space="preserve"> </w:t>
      </w:r>
      <w:r>
        <w:rPr>
          <w:rFonts w:ascii="Times New Roman" w:hAnsi="Times New Roman" w:cs="Times New Roman"/>
          <w:color w:val="000000"/>
        </w:rPr>
        <w:t xml:space="preserve">385 proteins and 1,559 replicated edges at a modularity of Q = 0.38 (Figure 16), the beta map</w:t>
      </w:r>
      <w:r>
        <w:rPr>
          <w:rFonts w:ascii="Times New Roman" w:hAnsi="Times New Roman" w:cs="Times New Roman"/>
          <w:color w:val="000000"/>
        </w:rPr>
        <w:t xml:space="preserve"> </w:t>
      </w:r>
      <w:r>
        <w:rPr>
          <w:rFonts w:ascii="Times New Roman" w:hAnsi="Times New Roman" w:cs="Times New Roman"/>
          <w:color w:val="000000"/>
        </w:rPr>
        <w:t xml:space="preserve">499 proteins and 2,535 edges at Q = 0.32 (Figure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w:t>
      </w:r>
      <w:r>
        <w:rPr>
          <w:rFonts w:ascii="Times New Roman" w:hAnsi="Times New Roman" w:cs="Times New Roman"/>
          <w:color w:val="000000"/>
        </w:rPr>
        <w:t xml:space="preserve"> </w:t>
      </w:r>
      <w:r>
        <w:rPr>
          <w:rFonts w:ascii="Times New Roman" w:hAnsi="Times New Roman" w:cs="Times New Roman"/>
          <w:color w:val="000000"/>
        </w:rPr>
        <w:t xml:space="preserve">292 edges at Q = 0.25, built the same way 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80" name="image"/>
            <a:graphic>
              <a:graphicData uri="http://schemas.openxmlformats.org/drawingml/2006/picture">
                <pic:pic>
                  <pic:nvPicPr>
                    <pic:cNvPr descr="" id="81" name="Picture"/>
                    <pic:cNvPicPr>
                      <a:picLocks noChangeArrowheads="1" noChangeAspect="1"/>
                    </pic:cNvPicPr>
                  </pic:nvPicPr>
                  <pic:blipFill>
                    <a:blip r:embed="rId79"/>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3" name="image"/>
            <a:graphic>
              <a:graphicData uri="http://schemas.openxmlformats.org/drawingml/2006/picture">
                <pic:pic>
                  <pic:nvPicPr>
                    <pic:cNvPr descr="" id="84" name="Picture"/>
                    <pic:cNvPicPr>
                      <a:picLocks noChangeArrowheads="1" noChangeAspect="1"/>
                    </pic:cNvPicPr>
                  </pic:nvPicPr>
                  <pic:blipFill>
                    <a:blip r:embed="rId82"/>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6" name="image"/>
            <a:graphic>
              <a:graphicData uri="http://schemas.openxmlformats.org/drawingml/2006/picture">
                <pic:pic>
                  <pic:nvPicPr>
                    <pic:cNvPr descr="" id="87" name="Picture"/>
                    <pic:cNvPicPr>
                      <a:picLocks noChangeArrowheads="1" noChangeAspect="1"/>
                    </pic:cNvPicPr>
                  </pic:nvPicPr>
                  <pic:blipFill>
                    <a:blip r:embed="rId85"/>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8"/>
    <w:bookmarkStart w:id="101"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90" name="image"/>
            <a:graphic>
              <a:graphicData uri="http://schemas.openxmlformats.org/drawingml/2006/picture">
                <pic:pic>
                  <pic:nvPicPr>
                    <pic:cNvPr descr="" id="91" name="Picture"/>
                    <pic:cNvPicPr>
                      <a:picLocks noChangeArrowheads="1" noChangeAspect="1"/>
                    </pic:cNvPicPr>
                  </pic:nvPicPr>
                  <pic:blipFill>
                    <a:blip r:embed="rId89"/>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3" name="imag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6" name="imag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9" name="imag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1"/>
    <w:bookmarkStart w:id="108"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3" name="imag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6" name="image"/>
            <a:graphic>
              <a:graphicData uri="http://schemas.openxmlformats.org/drawingml/2006/picture">
                <pic:pic>
                  <pic:nvPicPr>
                    <pic:cNvPr descr="" id="107" name="Picture"/>
                    <pic:cNvPicPr>
                      <a:picLocks noChangeArrowheads="1" noChangeAspect="1"/>
                    </pic:cNvPicPr>
                  </pic:nvPicPr>
                  <pic:blipFill>
                    <a:blip r:embed="rId105"/>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8"/>
    <w:bookmarkStart w:id="109"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09"/>
    <w:bookmarkStart w:id="116"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1" name="image"/>
            <a:graphic>
              <a:graphicData uri="http://schemas.openxmlformats.org/drawingml/2006/picture">
                <pic:pic>
                  <pic:nvPicPr>
                    <pic:cNvPr descr=""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4" name="image"/>
            <a:graphic>
              <a:graphicData uri="http://schemas.openxmlformats.org/drawingml/2006/picture">
                <pic:pic>
                  <pic:nvPicPr>
                    <pic:cNvPr descr="" id="115" name="Picture"/>
                    <pic:cNvPicPr>
                      <a:picLocks noChangeArrowheads="1" noChangeAspect="1"/>
                    </pic:cNvPicPr>
                  </pic:nvPicPr>
                  <pic:blipFill>
                    <a:blip r:embed="rId113"/>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6"/>
    <w:bookmarkStart w:id="126"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8" name="image"/>
            <a:graphic>
              <a:graphicData uri="http://schemas.openxmlformats.org/drawingml/2006/picture">
                <pic:pic>
                  <pic:nvPicPr>
                    <pic:cNvPr descr="" id="119" name="Picture"/>
                    <pic:cNvPicPr>
                      <a:picLocks noChangeArrowheads="1" noChangeAspect="1"/>
                    </pic:cNvPicPr>
                  </pic:nvPicPr>
                  <pic:blipFill>
                    <a:blip r:embed="rId117"/>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1" name="image"/>
            <a:graphic>
              <a:graphicData uri="http://schemas.openxmlformats.org/drawingml/2006/picture">
                <pic:pic>
                  <pic:nvPicPr>
                    <pic:cNvPr descr="" id="122" name="Picture"/>
                    <pic:cNvPicPr>
                      <a:picLocks noChangeArrowheads="1" noChangeAspect="1"/>
                    </pic:cNvPicPr>
                  </pic:nvPicPr>
                  <pic:blipFill>
                    <a:blip r:embed="rId120"/>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4" name="image"/>
            <a:graphic>
              <a:graphicData uri="http://schemas.openxmlformats.org/drawingml/2006/picture">
                <pic:pic>
                  <pic:nvPicPr>
                    <pic:cNvPr descr="" id="125" name="Picture"/>
                    <pic:cNvPicPr>
                      <a:picLocks noChangeArrowheads="1" noChangeAspect="1"/>
                    </pic:cNvPicPr>
                  </pic:nvPicPr>
                  <pic:blipFill>
                    <a:blip r:embed="rId123"/>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6"/>
    <w:bookmarkEnd w:id="127"/>
    <w:bookmarkStart w:id="128"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8"/>
    <w:bookmarkStart w:id="129"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29"/>
    <w:bookmarkStart w:id="130"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30"/>
    <w:bookmarkStart w:id="131"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53" Type="http://schemas.openxmlformats.org/officeDocument/2006/relationships/image" Target="media/rId53.png"/><Relationship Id="rId46" Type="http://schemas.openxmlformats.org/officeDocument/2006/relationships/image" Target="media/rId46.png"/><Relationship Id="rId56" Type="http://schemas.openxmlformats.org/officeDocument/2006/relationships/image" Target="media/rId56.png"/><Relationship Id="rId74" Type="http://schemas.openxmlformats.org/officeDocument/2006/relationships/image" Target="media/rId74.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49" Type="http://schemas.openxmlformats.org/officeDocument/2006/relationships/image" Target="media/rId49.png"/><Relationship Id="rId85" Type="http://schemas.openxmlformats.org/officeDocument/2006/relationships/image" Target="media/rId85.png"/><Relationship Id="rId79" Type="http://schemas.openxmlformats.org/officeDocument/2006/relationships/image" Target="media/rId79.png"/><Relationship Id="rId82" Type="http://schemas.openxmlformats.org/officeDocument/2006/relationships/image" Target="media/rId82.png"/><Relationship Id="rId31" Type="http://schemas.openxmlformats.org/officeDocument/2006/relationships/image" Target="media/rId31.png"/><Relationship Id="rId34" Type="http://schemas.openxmlformats.org/officeDocument/2006/relationships/image" Target="media/rId34.png"/><Relationship Id="rId60" Type="http://schemas.openxmlformats.org/officeDocument/2006/relationships/image" Target="media/rId60.png"/><Relationship Id="rId27" Type="http://schemas.openxmlformats.org/officeDocument/2006/relationships/image" Target="media/rId27.png"/><Relationship Id="rId9" Type="http://schemas.openxmlformats.org/officeDocument/2006/relationships/image" Target="media/rId9.png"/><Relationship Id="rId14" Type="http://schemas.openxmlformats.org/officeDocument/2006/relationships/image" Target="media/rId14.png"/><Relationship Id="rId92" Type="http://schemas.openxmlformats.org/officeDocument/2006/relationships/image" Target="media/rId92.png"/><Relationship Id="rId110" Type="http://schemas.openxmlformats.org/officeDocument/2006/relationships/image" Target="media/rId110.png"/><Relationship Id="rId113" Type="http://schemas.openxmlformats.org/officeDocument/2006/relationships/image" Target="media/rId113.png"/><Relationship Id="rId102" Type="http://schemas.openxmlformats.org/officeDocument/2006/relationships/image" Target="media/rId102.png"/><Relationship Id="rId105" Type="http://schemas.openxmlformats.org/officeDocument/2006/relationships/image" Target="media/rId105.png"/><Relationship Id="rId120" Type="http://schemas.openxmlformats.org/officeDocument/2006/relationships/image" Target="media/rId120.png"/><Relationship Id="rId123" Type="http://schemas.openxmlformats.org/officeDocument/2006/relationships/image" Target="media/rId123.png"/><Relationship Id="rId117" Type="http://schemas.openxmlformats.org/officeDocument/2006/relationships/image" Target="media/rId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2026-08-24T07:04:38Z</dcterms:created>
  <dcterms:modified xsi:type="dcterms:W3CDTF">2026-08-24T07:04:38Z</dcterms:modified>
</cp:coreProperties>
</file>

<file path=docProps/custom.xml><?xml version="1.0" encoding="utf-8"?>
<Properties xmlns="http://schemas.openxmlformats.org/officeDocument/2006/custom-properties" xmlns:vt="http://schemas.openxmlformats.org/officeDocument/2006/docPropsVTypes"/>
</file>