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rFonts w:ascii="Arial" w:cs="Arial" w:eastAsia="Arial" w:hAnsi="Arial"/>
          <w:color w:val="5D6D7E"/>
          <w:sz w:val="24"/>
          <w:szCs w:val="24"/>
        </w:rPr>
        <w:t xml:space="preserve">UNITED STATES PATENT APPLICATION</w:t>
      </w:r>
    </w:p>
    <w:p>
      <w:pPr>
        <w:pBdr>
          <w:bottom w:val="single" w:color="1A6FB5" w:sz="4"/>
        </w:pBdr>
        <w:spacing w:after="300"/>
        <w:jc w:val="center"/>
      </w:pPr>
    </w:p>
    <w:p>
      <w:pPr>
        <w:spacing w:after="120"/>
        <w:jc w:val="center"/>
      </w:pPr>
      <w:r>
        <w:rPr>
          <w:rFonts w:ascii="Arial" w:cs="Arial" w:eastAsia="Arial" w:hAnsi="Arial"/>
          <w:b/>
          <w:bCs/>
          <w:color w:val="0F2B46"/>
          <w:sz w:val="52"/>
          <w:szCs w:val="52"/>
        </w:rPr>
        <w:t xml:space="preserve">AUTONOMOUS MULTI-STRATUM</w:t>
      </w:r>
    </w:p>
    <w:p>
      <w:pPr>
        <w:spacing w:after="120"/>
        <w:jc w:val="center"/>
      </w:pPr>
      <w:r>
        <w:rPr>
          <w:rFonts w:ascii="Arial" w:cs="Arial" w:eastAsia="Arial" w:hAnsi="Arial"/>
          <w:b/>
          <w:bCs/>
          <w:color w:val="0F2B46"/>
          <w:sz w:val="52"/>
          <w:szCs w:val="52"/>
        </w:rPr>
        <w:t xml:space="preserve">ANOMALY CORRELATION ENGINE</w:t>
      </w:r>
    </w:p>
    <w:p>
      <w:pPr>
        <w:spacing w:after="60"/>
        <w:jc w:val="center"/>
      </w:pPr>
      <w:r>
        <w:rPr>
          <w:rFonts w:ascii="Arial" w:cs="Arial" w:eastAsia="Arial" w:hAnsi="Arial"/>
          <w:color w:val="1A6FB5"/>
          <w:sz w:val="36"/>
          <w:szCs w:val="36"/>
        </w:rPr>
        <w:t xml:space="preserve">(AMACE)</w:t>
      </w:r>
    </w:p>
    <w:p>
      <w:pPr>
        <w:pBdr>
          <w:bottom w:val="single" w:color="1A6FB5" w:sz="4"/>
        </w:pBdr>
        <w:spacing w:after="300" w:before="200"/>
        <w:jc w:val="center"/>
      </w:pPr>
    </w:p>
    <w:p>
      <w:pPr>
        <w:spacing w:after="80"/>
        <w:jc w:val="center"/>
      </w:pPr>
      <w:r>
        <w:rPr>
          <w:rFonts w:ascii="Arial" w:cs="Arial" w:eastAsia="Arial" w:hAnsi="Arial"/>
          <w:i/>
          <w:iCs/>
          <w:color w:val="5D6D7E"/>
          <w:sz w:val="24"/>
          <w:szCs w:val="24"/>
        </w:rPr>
        <w:t xml:space="preserve">A System and Method for Domain-Agnostic, Zero-Configuration,</w:t>
      </w:r>
    </w:p>
    <w:p>
      <w:pPr>
        <w:spacing w:after="80"/>
        <w:jc w:val="center"/>
      </w:pPr>
      <w:r>
        <w:rPr>
          <w:rFonts w:ascii="Arial" w:cs="Arial" w:eastAsia="Arial" w:hAnsi="Arial"/>
          <w:i/>
          <w:iCs/>
          <w:color w:val="5D6D7E"/>
          <w:sz w:val="24"/>
          <w:szCs w:val="24"/>
        </w:rPr>
        <w:t xml:space="preserve">Counterfactually-Validated Causal Discovery Across</w:t>
      </w:r>
    </w:p>
    <w:p>
      <w:pPr>
        <w:spacing w:after="200"/>
        <w:jc w:val="center"/>
      </w:pPr>
      <w:r>
        <w:rPr>
          <w:rFonts w:ascii="Arial" w:cs="Arial" w:eastAsia="Arial" w:hAnsi="Arial"/>
          <w:i/>
          <w:iCs/>
          <w:color w:val="5D6D7E"/>
          <w:sz w:val="24"/>
          <w:szCs w:val="24"/>
        </w:rPr>
        <w:t xml:space="preserve">Heterogeneous Abstraction Layers in Computing Systems</w:t>
      </w:r>
    </w:p>
    <w:p>
      <w:pPr>
        <w:spacing w:after="80" w:before="400"/>
        <w:jc w:val="center"/>
      </w:pPr>
      <w:r>
        <w:rPr>
          <w:rFonts w:ascii="Arial" w:cs="Arial" w:eastAsia="Arial" w:hAnsi="Arial"/>
          <w:b/>
          <w:bCs/>
          <w:color w:val="B03A2E"/>
          <w:sz w:val="22"/>
          <w:szCs w:val="22"/>
        </w:rPr>
        <w:t xml:space="preserve">OPTIMIZED PATENT SPECIFICATION</w:t>
      </w:r>
    </w:p>
    <w:p>
      <w:pPr>
        <w:spacing w:after="80"/>
        <w:jc w:val="center"/>
      </w:pPr>
      <w:r>
        <w:rPr>
          <w:rFonts w:ascii="Arial" w:cs="Arial" w:eastAsia="Arial" w:hAnsi="Arial"/>
          <w:color w:val="5D6D7E"/>
          <w:sz w:val="22"/>
          <w:szCs w:val="22"/>
        </w:rPr>
        <w:t xml:space="preserve">Version 2.0 — April 2026</w:t>
      </w:r>
    </w:p>
    <w:p>
      <w:pPr>
        <w:spacing w:after="80"/>
        <w:jc w:val="center"/>
      </w:pPr>
      <w:r>
        <w:rPr>
          <w:rFonts w:ascii="Arial" w:cs="Arial" w:eastAsia="Arial" w:hAnsi="Arial"/>
          <w:b/>
          <w:bCs/>
          <w:color w:val="B03A2E"/>
          <w:sz w:val="20"/>
          <w:szCs w:val="20"/>
        </w:rPr>
        <w:t xml:space="preserve">CONFIDENTIAL — ATTORNEY-CLIENT PRIVILEGE</w:t>
      </w:r>
    </w:p>
    <w:p>
      <w:r>
        <w:br w:type="page"/>
      </w:r>
    </w:p>
    <w:p>
      <w:pPr>
        <w:pStyle w:val="Heading1"/>
        <w:spacing w:after="200" w:before="400"/>
      </w:pPr>
      <w:r>
        <w:rPr>
          <w:rFonts w:ascii="Arial" w:cs="Arial" w:eastAsia="Arial" w:hAnsi="Arial"/>
          <w:b/>
          <w:bCs/>
          <w:color w:val="0F2B4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2B46"/>
          <w:sz w:val="32"/>
          <w:szCs w:val="32"/>
        </w:rPr>
        <w:t xml:space="preserve">1. Executive Summary of the Invention</w:t>
      </w:r>
    </w:p>
    <w:p>
      <w:pPr>
        <w:spacing w:after="140" w:line="276"/>
        <w:jc w:val="left"/>
      </w:pPr>
      <w:r>
        <w:rPr>
          <w:rFonts w:ascii="Arial" w:cs="Arial" w:eastAsia="Arial" w:hAnsi="Arial"/>
          <w:b/>
          <w:bCs/>
          <w:color w:val="1C2833"/>
          <w:sz w:val="22"/>
          <w:szCs w:val="22"/>
        </w:rPr>
        <w:t xml:space="preserve">AMACE </w:t>
      </w:r>
      <w:r>
        <w:rPr>
          <w:rFonts w:ascii="Arial" w:cs="Arial" w:eastAsia="Arial" w:hAnsi="Arial"/>
          <w:color w:val="1C2833"/>
          <w:sz w:val="22"/>
          <w:szCs w:val="22"/>
        </w:rPr>
        <w:t xml:space="preserve">(Autonomous Multi-Stratum Anomaly Correlation Engine) is a computer-implemented system and method that solves a fundamental unsolved problem in computing: </w:t>
      </w:r>
      <w:r>
        <w:rPr>
          <w:rFonts w:ascii="Arial" w:cs="Arial" w:eastAsia="Arial" w:hAnsi="Arial"/>
          <w:i/>
          <w:iCs/>
          <w:color w:val="1C2833"/>
          <w:sz w:val="22"/>
          <w:szCs w:val="22"/>
        </w:rPr>
        <w:t xml:space="preserve">given simultaneous anomalous behaviors observed independently across multiple abstraction layers of a computing system, automatically discovering which anomalies share a common causal origin, which entities are affected, and what remedial action should be taken — without any human configuration, pre-defined rules, or domain-specific knowledge.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THE INVENTION IN ONE SENTENCE</w:t>
            </w:r>
          </w:p>
          <w:p>
            <w:pPr>
              <w:spacing w:after="0" w:line="276"/>
            </w:pPr>
            <w:r>
              <w:rPr>
                <w:rFonts w:ascii="Arial" w:cs="Arial" w:eastAsia="Arial" w:hAnsi="Arial"/>
                <w:color w:val="0F2B46"/>
                <w:sz w:val="20"/>
                <w:szCs w:val="20"/>
              </w:rPr>
              <w:t xml:space="preserve">AMACE is the first system to autonomously ingest data from heterogeneous abstraction strata, detect stratum-specific anomalies using adaptive statistical methods, correlate anomalies across strata using a novel four-axis similarity tensor with information-theoretic dimensional pruning, validate correlations through computational counterfactual analysis, and output causal insight graphs — all without configuration, and provably within sub-quadratic computational complexity.</w:t>
            </w:r>
          </w:p>
        </w:tc>
      </w:tr>
    </w:tbl>
    <w:p>
      <w:pPr>
        <w:spacing w:after="60"/>
      </w:pPr>
    </w:p>
    <w:p>
      <w:pPr>
        <w:pStyle w:val="Heading2"/>
        <w:spacing w:after="160" w:before="300"/>
      </w:pPr>
      <w:r>
        <w:rPr>
          <w:rFonts w:ascii="Arial" w:cs="Arial" w:eastAsia="Arial" w:hAnsi="Arial"/>
          <w:b/>
          <w:bCs/>
          <w:color w:val="0F2B46"/>
          <w:sz w:val="28"/>
          <w:szCs w:val="28"/>
        </w:rPr>
        <w:t xml:space="preserve">1.1 What Changed From Prior Version</w:t>
      </w:r>
    </w:p>
    <w:p>
      <w:pPr>
        <w:spacing w:after="140" w:line="276"/>
        <w:jc w:val="left"/>
      </w:pPr>
      <w:r>
        <w:rPr>
          <w:rFonts w:ascii="Arial" w:cs="Arial" w:eastAsia="Arial" w:hAnsi="Arial"/>
          <w:b w:val="false"/>
          <w:bCs w:val="false"/>
          <w:i w:val="false"/>
          <w:iCs w:val="false"/>
          <w:color w:val="1C2833"/>
          <w:sz w:val="22"/>
          <w:szCs w:val="22"/>
        </w:rPr>
        <w:t xml:space="preserve">This specification represents a ground-up optimization of the Cross-Layer Insight Discovery System. Every component has been re-engineered for patent defensibility: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Before (v1)</w:t>
            </w:r>
          </w:p>
        </w:tc>
        <w:tc>
          <w:tcPr>
            <w:tcW w:type="dxa" w:w="32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After (AMACE v2)</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Terminology</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"Layers" / "Signals" / "Correlation" — generic terms easily mapped to prior art</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"Strata" / "Stratum-Specific Deviation Signatures" / "Cross-Stratum Causal Tensor" — precise novel vocabulary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Core Data Structure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Ad-hoc signal format with JSON fields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Formally defined Deviation Signature Tensor (DST) with 7-dimensional tuple and algebraic operations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Dimensional Search</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MDL pruning described conceptually</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Entropic Relevance Decomposition (ERD) with formal convergence proof and O(k·log(D)) complexity bound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Correlation Method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Weighted sum of 4 factors with fixed/adaptive weights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Four-Axis Similarity Tensor with spectral normalization and Riemannian manifold distance for combined scoring</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Validation</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Counterfactual described narratively</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Computational Ablation Protocol (CAP) with 3 formal tests, statistical significance thresholds, and Type I/II error bounds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Self-Configuration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"Auto-discover" described generically</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Stratum Schema Inference Engine (SSIE) with specific algorithms: entropy-based field classification, cardinality fingerprinting, temporal periodicity detection</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Observable Claims</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Added as afterthought</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Integrated from the ground up: every internal module produces an externally observable output artifact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Complexity Bounds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None stated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Every algorithm has a proven computational complexity bound, establishing concrete technical improvement over prior art</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Domain Abstraction</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Described as "works across domains"</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Formal Stratum Abstraction Protocol (SAP) that mathematically maps any domain to the three-stratum model</w:t>
            </w:r>
          </w:p>
        </w:tc>
      </w:tr>
    </w:tbl>
    <w:p>
      <w:r>
        <w:br w:type="page"/>
      </w:r>
    </w:p>
    <w:p>
      <w:pPr>
        <w:pStyle w:val="Heading1"/>
        <w:spacing w:after="200" w:before="400"/>
      </w:pPr>
      <w:r>
        <w:rPr>
          <w:rFonts w:ascii="Arial" w:cs="Arial" w:eastAsia="Arial" w:hAnsi="Arial"/>
          <w:b/>
          <w:bCs/>
          <w:color w:val="0F2B46"/>
          <w:sz w:val="32"/>
          <w:szCs w:val="32"/>
        </w:rPr>
        <w:t xml:space="preserve">2. Technical Problem Statement</w:t>
      </w:r>
    </w:p>
    <w:p>
      <w:pPr>
        <w:pStyle w:val="Heading2"/>
        <w:spacing w:after="160" w:before="300"/>
      </w:pPr>
      <w:r>
        <w:rPr>
          <w:rFonts w:ascii="Arial" w:cs="Arial" w:eastAsia="Arial" w:hAnsi="Arial"/>
          <w:b/>
          <w:bCs/>
          <w:color w:val="0F2B46"/>
          <w:sz w:val="28"/>
          <w:szCs w:val="28"/>
        </w:rPr>
        <w:t xml:space="preserve">2.1 The Cross-Stratum Blind Spot</w:t>
      </w:r>
    </w:p>
    <w:p>
      <w:pPr>
        <w:spacing w:after="140" w:line="276"/>
        <w:jc w:val="left"/>
      </w:pPr>
      <w:r>
        <w:rPr>
          <w:rFonts w:ascii="Arial" w:cs="Arial" w:eastAsia="Arial" w:hAnsi="Arial"/>
          <w:b w:val="false"/>
          <w:bCs w:val="false"/>
          <w:i w:val="false"/>
          <w:iCs w:val="false"/>
          <w:color w:val="1C2833"/>
          <w:sz w:val="22"/>
          <w:szCs w:val="22"/>
        </w:rPr>
        <w:t xml:space="preserve">Modern computing systems are organized into abstraction layers (herein "strata") that process information at different levels of granularity. Every complex system contains at minimum three fundamental strata: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Formal Definition</w:t>
            </w:r>
          </w:p>
        </w:tc>
        <w:tc>
          <w:tcPr>
            <w:tcW w:type="dxa" w:w="43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S₀: Observation Stratum</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lowest abstraction layer containing raw, unprocessed event data as generated by the system under observation</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High volume (10⁶–10¹² events/day), unstructured or semi-structured, no semantic interpretation applied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S₁: Representation Stratum</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An intermediate layer containing computed statistical representations, aggregations, and derived metrics constructed from S₀ data</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Moderate volume, structured, represents engineered knowledge about the system</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S₂: Inference Stratum</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highest abstraction layer containing outputs from statistical or machine learning models that interpret S₀ and S₁ data</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Low volume, highly structured, represents predictive intelligence about the system</w:t>
            </w:r>
          </w:p>
        </w:tc>
      </w:tr>
    </w:tbl>
    <w:p>
      <w:pPr>
        <w:spacing w:after="60"/>
      </w:pPr>
    </w:p>
    <w:p>
      <w:pPr>
        <w:spacing w:after="140" w:line="276"/>
        <w:jc w:val="left"/>
      </w:pPr>
      <w:r>
        <w:rPr>
          <w:rFonts w:ascii="Arial" w:cs="Arial" w:eastAsia="Arial" w:hAnsi="Arial"/>
          <w:b/>
          <w:bCs/>
          <w:color w:val="1C2833"/>
          <w:sz w:val="22"/>
          <w:szCs w:val="22"/>
        </w:rPr>
        <w:t xml:space="preserve">The Cross-Stratum Blind Spot </w:t>
      </w:r>
      <w:r>
        <w:rPr>
          <w:rFonts w:ascii="Arial" w:cs="Arial" w:eastAsia="Arial" w:hAnsi="Arial"/>
          <w:color w:val="1C2833"/>
          <w:sz w:val="22"/>
          <w:szCs w:val="22"/>
        </w:rPr>
        <w:t xml:space="preserve">is the technical problem that arises because anomaly detection tools operate within a single stratum. When a system malfunction causes simultaneous deviations across S₀, S₁, and S₂, no existing tool can determine that these deviations share a common causal origin. Each tool sees its own stratum's symptoms but is architecturally incapable of correlating them with symptoms in other strata.</w:t>
      </w:r>
    </w:p>
    <w:p>
      <w:pPr>
        <w:spacing w:after="60"/>
      </w:pPr>
    </w:p>
    <w:p>
      <w:pPr>
        <w:pStyle w:val="Heading2"/>
        <w:spacing w:after="160" w:before="300"/>
      </w:pPr>
      <w:r>
        <w:rPr>
          <w:rFonts w:ascii="Arial" w:cs="Arial" w:eastAsia="Arial" w:hAnsi="Arial"/>
          <w:b/>
          <w:bCs/>
          <w:color w:val="0F2B46"/>
          <w:sz w:val="28"/>
          <w:szCs w:val="28"/>
        </w:rPr>
        <w:t xml:space="preserve">2.2 Why This Problem Is Computationally Hard</w:t>
      </w:r>
    </w:p>
    <w:p>
      <w:pPr>
        <w:spacing w:after="140" w:line="276"/>
        <w:jc w:val="left"/>
      </w:pPr>
      <w:r>
        <w:rPr>
          <w:rFonts w:ascii="Arial" w:cs="Arial" w:eastAsia="Arial" w:hAnsi="Arial"/>
          <w:b w:val="false"/>
          <w:bCs w:val="false"/>
          <w:i w:val="false"/>
          <w:iCs w:val="false"/>
          <w:color w:val="1C2833"/>
          <w:sz w:val="22"/>
          <w:szCs w:val="22"/>
        </w:rPr>
        <w:t xml:space="preserve">The cross-stratum correlation problem is not merely an engineering gap — it is computationally intractable without the specific innovations claimed herein:</w:t>
      </w:r>
    </w:p>
    <w:p>
      <w:pPr>
        <w:pStyle w:val="ListParagraph"/>
        <w:numPr>
          <w:ilvl w:val="0"/>
          <w:numId w:val="2"/>
        </w:numPr>
        <w:spacing w:after="80" w:line="276"/>
      </w:pPr>
      <w:r>
        <w:rPr>
          <w:rFonts w:ascii="Arial" w:cs="Arial" w:eastAsia="Arial" w:hAnsi="Arial"/>
          <w:b/>
          <w:bCs/>
          <w:color w:val="1C2833"/>
          <w:sz w:val="22"/>
          <w:szCs w:val="22"/>
        </w:rPr>
        <w:t xml:space="preserve">Combinatorial Explosion: </w:t>
      </w:r>
      <w:r>
        <w:rPr>
          <w:rFonts w:ascii="Arial" w:cs="Arial" w:eastAsia="Arial" w:hAnsi="Arial"/>
          <w:color w:val="1C2833"/>
          <w:sz w:val="22"/>
          <w:szCs w:val="22"/>
        </w:rPr>
        <w:t xml:space="preserve">Given N anomalies across 3 strata, with D dimensional attributes each having average cardinality K, the number of possible (anomaly pair, dimensional slice) combinations is O(N² × K^D). For typical production systems (N=1000, D=8, K=50), this exceeds 10¹⁸ combinations — computationally infeasible for exhaustive search.</w:t>
      </w:r>
    </w:p>
    <w:p>
      <w:pPr>
        <w:pStyle w:val="ListParagraph"/>
        <w:numPr>
          <w:ilvl w:val="0"/>
          <w:numId w:val="2"/>
        </w:numPr>
        <w:spacing w:after="80" w:line="276"/>
      </w:pPr>
      <w:r>
        <w:rPr>
          <w:rFonts w:ascii="Arial" w:cs="Arial" w:eastAsia="Arial" w:hAnsi="Arial"/>
          <w:b/>
          <w:bCs/>
          <w:color w:val="1C2833"/>
          <w:sz w:val="22"/>
          <w:szCs w:val="22"/>
        </w:rPr>
        <w:t xml:space="preserve">Heterogeneous Schema: </w:t>
      </w:r>
      <w:r>
        <w:rPr>
          <w:rFonts w:ascii="Arial" w:cs="Arial" w:eastAsia="Arial" w:hAnsi="Arial"/>
          <w:color w:val="1C2833"/>
          <w:sz w:val="22"/>
          <w:szCs w:val="22"/>
        </w:rPr>
        <w:t xml:space="preserve">Each stratum uses different entity identifiers, temporal granularities, and dimensional hierarchies. There is no common key across strata. Entity resolution across strata is itself an NP-hard problem in the general case.</w:t>
      </w:r>
    </w:p>
    <w:p>
      <w:pPr>
        <w:pStyle w:val="ListParagraph"/>
        <w:numPr>
          <w:ilvl w:val="0"/>
          <w:numId w:val="2"/>
        </w:numPr>
        <w:spacing w:after="80" w:line="276"/>
      </w:pPr>
      <w:r>
        <w:rPr>
          <w:rFonts w:ascii="Arial" w:cs="Arial" w:eastAsia="Arial" w:hAnsi="Arial"/>
          <w:b/>
          <w:bCs/>
          <w:color w:val="1C2833"/>
          <w:sz w:val="22"/>
          <w:szCs w:val="22"/>
        </w:rPr>
        <w:t xml:space="preserve">Causal Asymmetry: </w:t>
      </w:r>
      <w:r>
        <w:rPr>
          <w:rFonts w:ascii="Arial" w:cs="Arial" w:eastAsia="Arial" w:hAnsi="Arial"/>
          <w:color w:val="1C2833"/>
          <w:sz w:val="22"/>
          <w:szCs w:val="22"/>
        </w:rPr>
        <w:t xml:space="preserve">Correlation is symmetric but causation is not. An anomaly in S₀ may cause an anomaly in S₁, but the reverse temporal propagation must be modeled differently. Existing correlation methods (Pearson, Spearman, mutual information) cannot distinguish correlation from causation.</w:t>
      </w:r>
    </w:p>
    <w:p>
      <w:pPr>
        <w:pStyle w:val="ListParagraph"/>
        <w:numPr>
          <w:ilvl w:val="0"/>
          <w:numId w:val="2"/>
        </w:numPr>
        <w:spacing w:after="80" w:line="276"/>
      </w:pPr>
      <w:r>
        <w:rPr>
          <w:rFonts w:ascii="Arial" w:cs="Arial" w:eastAsia="Arial" w:hAnsi="Arial"/>
          <w:b/>
          <w:bCs/>
          <w:color w:val="1C2833"/>
          <w:sz w:val="22"/>
          <w:szCs w:val="22"/>
        </w:rPr>
        <w:t xml:space="preserve">Spurious Correlation: </w:t>
      </w:r>
      <w:r>
        <w:rPr>
          <w:rFonts w:ascii="Arial" w:cs="Arial" w:eastAsia="Arial" w:hAnsi="Arial"/>
          <w:color w:val="1C2833"/>
          <w:sz w:val="22"/>
          <w:szCs w:val="22"/>
        </w:rPr>
        <w:t xml:space="preserve">In high-dimensional systems, coincidental co-occurrence of anomalies is statistically expected. Without formal validation, the majority of discovered "correlations" would be false positives.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TECHNICAL IMPROVEMENT CLAIMED</w:t>
            </w:r>
          </w:p>
          <w:p>
            <w:pPr>
              <w:spacing w:after="0" w:line="276"/>
            </w:pPr>
            <w:r>
              <w:rPr>
                <w:rFonts w:ascii="Arial" w:cs="Arial" w:eastAsia="Arial" w:hAnsi="Arial"/>
                <w:color w:val="1C2833"/>
                <w:sz w:val="20"/>
                <w:szCs w:val="20"/>
              </w:rPr>
              <w:t xml:space="preserve">AMACE reduces the computational complexity of cross-stratum anomaly correlation from O(N² × K^D) to O(N × log(N) × k × log(D)) where k &lt;&lt; K^D is the number of informationally relevant dimensional slices. This represents an exponential reduction in computational resources required, constituting a concrete, measurable technical improvement to the functioning of the computer system itself.</w:t>
            </w:r>
          </w:p>
        </w:tc>
      </w:tr>
    </w:tbl>
    <w:p>
      <w:r>
        <w:br w:type="page"/>
      </w:r>
    </w:p>
    <w:p>
      <w:pPr>
        <w:pStyle w:val="Heading1"/>
        <w:spacing w:after="200" w:before="400"/>
      </w:pPr>
      <w:r>
        <w:rPr>
          <w:rFonts w:ascii="Arial" w:cs="Arial" w:eastAsia="Arial" w:hAnsi="Arial"/>
          <w:b/>
          <w:bCs/>
          <w:color w:val="0F2B46"/>
          <w:sz w:val="32"/>
          <w:szCs w:val="32"/>
        </w:rPr>
        <w:t xml:space="preserve">3. Technical Solution: The AMACE Architecture</w:t>
      </w:r>
    </w:p>
    <w:p>
      <w:pPr>
        <w:spacing w:after="140" w:line="276"/>
        <w:jc w:val="left"/>
      </w:pPr>
      <w:r>
        <w:rPr>
          <w:rFonts w:ascii="Arial" w:cs="Arial" w:eastAsia="Arial" w:hAnsi="Arial"/>
          <w:b w:val="false"/>
          <w:bCs w:val="false"/>
          <w:i w:val="false"/>
          <w:iCs w:val="false"/>
          <w:color w:val="1C2833"/>
          <w:sz w:val="22"/>
          <w:szCs w:val="22"/>
        </w:rPr>
        <w:t xml:space="preserve">The AMACE system comprises seven formally defined modules, each performing a specific computational function with defined inputs, outputs, data structures, and complexity bounds. The modules operate in a strict pipeline where each module's output is the next module's input.</w:t>
      </w:r>
    </w:p>
    <w:p>
      <w:pPr>
        <w:spacing w:after="60"/>
      </w:pPr>
    </w:p>
    <w:p>
      <w:pPr>
        <w:pStyle w:val="Heading2"/>
        <w:spacing w:after="160" w:before="300"/>
      </w:pPr>
      <w:r>
        <w:rPr>
          <w:rFonts w:ascii="Arial" w:cs="Arial" w:eastAsia="Arial" w:hAnsi="Arial"/>
          <w:b/>
          <w:bCs/>
          <w:color w:val="0F2B46"/>
          <w:sz w:val="28"/>
          <w:szCs w:val="28"/>
        </w:rPr>
        <w:t xml:space="preserve">3.1 Module 1: Stratum Schema Inference Engine (SSIE)</w:t>
      </w:r>
    </w:p>
    <w:p>
      <w:pPr>
        <w:spacing w:after="140" w:line="276"/>
        <w:jc w:val="left"/>
      </w:pPr>
      <w:r>
        <w:rPr>
          <w:rFonts w:ascii="Arial" w:cs="Arial" w:eastAsia="Arial" w:hAnsi="Arial"/>
          <w:b/>
          <w:bCs/>
          <w:color w:val="1C2833"/>
          <w:sz w:val="22"/>
          <w:szCs w:val="22"/>
        </w:rPr>
        <w:t xml:space="preserve">Purpose: </w:t>
      </w:r>
      <w:r>
        <w:rPr>
          <w:rFonts w:ascii="Arial" w:cs="Arial" w:eastAsia="Arial" w:hAnsi="Arial"/>
          <w:color w:val="1C2833"/>
          <w:sz w:val="22"/>
          <w:szCs w:val="22"/>
        </w:rPr>
        <w:t xml:space="preserve">Automatically classify incoming data fields into functional roles (entity identifier, timestamp, dimension, metric) without any configuration, schema definition, or human input.</w:t>
      </w:r>
    </w:p>
    <w:p>
      <w:pPr>
        <w:spacing w:after="140" w:line="276"/>
        <w:jc w:val="left"/>
      </w:pPr>
      <w:r>
        <w:rPr>
          <w:rFonts w:ascii="Arial" w:cs="Arial" w:eastAsia="Arial" w:hAnsi="Arial"/>
          <w:b/>
          <w:bCs/>
          <w:color w:val="1D8348"/>
          <w:sz w:val="22"/>
          <w:szCs w:val="22"/>
        </w:rPr>
        <w:t xml:space="preserve">Novel Contribution: </w:t>
      </w:r>
      <w:r>
        <w:rPr>
          <w:rFonts w:ascii="Arial" w:cs="Arial" w:eastAsia="Arial" w:hAnsi="Arial"/>
          <w:color w:val="1D8348"/>
          <w:sz w:val="22"/>
          <w:szCs w:val="22"/>
        </w:rPr>
        <w:t xml:space="preserve">No prior art system performs fully autonomous schema inference for the purpose of cross-stratum correlation. Existing auto-discovery tools (e.g., Apache Atlas, Alation) classify schemas for cataloging; SSIE classifies schemas for correlation operability.</w:t>
      </w:r>
    </w:p>
    <w:p>
      <w:pPr>
        <w:pStyle w:val="Heading3"/>
        <w:spacing w:after="120" w:before="240"/>
      </w:pPr>
      <w:r>
        <w:rPr>
          <w:rFonts w:ascii="Arial" w:cs="Arial" w:eastAsia="Arial" w:hAnsi="Arial"/>
          <w:b/>
          <w:bCs/>
          <w:color w:val="1A6FB5"/>
          <w:sz w:val="24"/>
          <w:szCs w:val="24"/>
        </w:rPr>
        <w:t xml:space="preserve">3.1.1 Algorithm: Entropy-Based Field Classification</w:t>
      </w:r>
    </w:p>
    <w:p>
      <w:pPr>
        <w:spacing w:after="140" w:line="276"/>
        <w:jc w:val="left"/>
      </w:pPr>
      <w:r>
        <w:rPr>
          <w:rFonts w:ascii="Arial" w:cs="Arial" w:eastAsia="Arial" w:hAnsi="Arial"/>
          <w:b w:val="false"/>
          <w:bCs w:val="false"/>
          <w:i w:val="false"/>
          <w:iCs w:val="false"/>
          <w:color w:val="1C2833"/>
          <w:sz w:val="22"/>
          <w:szCs w:val="22"/>
        </w:rPr>
        <w:t xml:space="preserve">For each incoming data field f, SSIE computes a 4-element classification vector:</w:t>
      </w:r>
    </w:p>
    <w:p>
      <w:pPr>
        <w:spacing w:after="140" w:line="276"/>
        <w:jc w:val="left"/>
      </w:pPr>
      <w:r>
        <w:rPr>
          <w:rFonts w:ascii="Courier New" w:cs="Courier New" w:eastAsia="Courier New" w:hAnsi="Courier New"/>
          <w:b/>
          <w:bCs/>
          <w:color w:val="1C2833"/>
          <w:sz w:val="20"/>
          <w:szCs w:val="20"/>
        </w:rPr>
        <w:t xml:space="preserve">Classification(f) = [P_entity(f), P_timestamp(f), P_dimension(f), P_metric(f)]</w:t>
      </w:r>
    </w:p>
    <w:p>
      <w:pPr>
        <w:spacing w:after="140" w:line="276"/>
        <w:jc w:val="left"/>
      </w:pPr>
      <w:r>
        <w:rPr>
          <w:rFonts w:ascii="Arial" w:cs="Arial" w:eastAsia="Arial" w:hAnsi="Arial"/>
          <w:b w:val="false"/>
          <w:bCs w:val="false"/>
          <w:i w:val="false"/>
          <w:iCs w:val="false"/>
          <w:color w:val="1C2833"/>
          <w:sz w:val="22"/>
          <w:szCs w:val="22"/>
        </w:rPr>
        <w:t xml:space="preserve">Where each probability is computed from observable statistical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Statistical Fingerprint</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Decision Criterion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Entity Identifier</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High cardinality, near-uniform distribution, string or integer type, high Shannon entropy</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P_entity(f) = sigmoid(α₁·H(f) + α₂·|unique(f)|/|f| + α₃·uniformity(f)) where H(f) is Shannon entropy and α coefficients are learned from held-out validation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Timestamp</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Monotonically increasing or periodic, parseable as datetime, low entropy of inter-arrival deltas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P_timestamp(f) = sigmoid(β₁·monotonicity(f) + β₂·periodicity(f) + β₃·datetime_parseable(f))</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Dimension</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Low to moderate cardinality, categorical, stable distribution over time, repeated values</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P_dimension(f) = sigmoid(γ₁·(1 - |unique(f)|/|f|) + γ₂·categorical(f) + γ₃·temporal_stability(f))</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Metric</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Numeric, continuous distribution, varying over time, finite support</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P_metric(f) = sigmoid(δ₁·numeric(f) + δ₂·continuity(f) + δ₃·temporal_variance(f))</w:t>
            </w:r>
          </w:p>
        </w:tc>
      </w:tr>
    </w:tbl>
    <w:p>
      <w:pPr>
        <w:spacing w:after="60"/>
      </w:pPr>
    </w:p>
    <w:p>
      <w:pPr>
        <w:spacing w:after="140" w:line="276"/>
        <w:jc w:val="left"/>
      </w:pPr>
      <w:r>
        <w:rPr>
          <w:rFonts w:ascii="Arial" w:cs="Arial" w:eastAsia="Arial" w:hAnsi="Arial"/>
          <w:b/>
          <w:bCs/>
          <w:color w:val="1C2833"/>
          <w:sz w:val="22"/>
          <w:szCs w:val="22"/>
        </w:rPr>
        <w:t xml:space="preserve">Complexity: </w:t>
      </w:r>
      <w:r>
        <w:rPr>
          <w:rFonts w:ascii="Arial" w:cs="Arial" w:eastAsia="Arial" w:hAnsi="Arial"/>
          <w:color w:val="1C2833"/>
          <w:sz w:val="22"/>
          <w:szCs w:val="22"/>
        </w:rPr>
        <w:t xml:space="preserve">O(F × S) where F = number of fields, S = sample size. Single-pass streaming computation; no iterative optimization required.</w:t>
      </w:r>
    </w:p>
    <w:p>
      <w:pPr>
        <w:spacing w:after="60"/>
      </w:pPr>
    </w:p>
    <w:p>
      <w:pPr>
        <w:pStyle w:val="Heading2"/>
        <w:spacing w:after="160" w:before="300"/>
      </w:pPr>
      <w:r>
        <w:rPr>
          <w:rFonts w:ascii="Arial" w:cs="Arial" w:eastAsia="Arial" w:hAnsi="Arial"/>
          <w:b/>
          <w:bCs/>
          <w:color w:val="0F2B46"/>
          <w:sz w:val="28"/>
          <w:szCs w:val="28"/>
        </w:rPr>
        <w:t xml:space="preserve">3.2 Module 2: Stratum-Adaptive Deviation Detector (SADD)</w:t>
      </w:r>
    </w:p>
    <w:p>
      <w:pPr>
        <w:spacing w:after="140" w:line="276"/>
        <w:jc w:val="left"/>
      </w:pPr>
      <w:r>
        <w:rPr>
          <w:rFonts w:ascii="Arial" w:cs="Arial" w:eastAsia="Arial" w:hAnsi="Arial"/>
          <w:b/>
          <w:bCs/>
          <w:color w:val="1C2833"/>
          <w:sz w:val="22"/>
          <w:szCs w:val="22"/>
        </w:rPr>
        <w:t xml:space="preserve">Purpose: </w:t>
      </w:r>
      <w:r>
        <w:rPr>
          <w:rFonts w:ascii="Arial" w:cs="Arial" w:eastAsia="Arial" w:hAnsi="Arial"/>
          <w:color w:val="1C2833"/>
          <w:sz w:val="22"/>
          <w:szCs w:val="22"/>
        </w:rPr>
        <w:t xml:space="preserve">Detect anomalous deviations within each stratum using methods adapted to the stratum's statistical characteristics, and output a standardized Deviation Signature Tensor (DST) for each detected anomaly.</w:t>
      </w:r>
    </w:p>
    <w:p>
      <w:pPr>
        <w:pStyle w:val="Heading3"/>
        <w:spacing w:after="120" w:before="240"/>
      </w:pPr>
      <w:r>
        <w:rPr>
          <w:rFonts w:ascii="Arial" w:cs="Arial" w:eastAsia="Arial" w:hAnsi="Arial"/>
          <w:b/>
          <w:bCs/>
          <w:color w:val="1A6FB5"/>
          <w:sz w:val="24"/>
          <w:szCs w:val="24"/>
        </w:rPr>
        <w:t xml:space="preserve">3.2.1 The Deviation Signature Tensor (DST)</w:t>
      </w:r>
    </w:p>
    <w:p>
      <w:pPr>
        <w:spacing w:after="140" w:line="276"/>
        <w:jc w:val="left"/>
      </w:pPr>
      <w:r>
        <w:rPr>
          <w:rFonts w:ascii="Arial" w:cs="Arial" w:eastAsia="Arial" w:hAnsi="Arial"/>
          <w:b/>
          <w:bCs/>
          <w:color w:val="1D8348"/>
          <w:sz w:val="22"/>
          <w:szCs w:val="22"/>
        </w:rPr>
        <w:t xml:space="preserve">Novel Data Structure: </w:t>
      </w:r>
      <w:r>
        <w:rPr>
          <w:rFonts w:ascii="Arial" w:cs="Arial" w:eastAsia="Arial" w:hAnsi="Arial"/>
          <w:color w:val="1D8348"/>
          <w:sz w:val="22"/>
          <w:szCs w:val="22"/>
        </w:rPr>
        <w:t xml:space="preserve">Every detected anomaly across all strata and all domains is represented as a 7-dimensional tuple:</w:t>
      </w:r>
    </w:p>
    <w:p>
      <w:pPr>
        <w:spacing w:after="60"/>
      </w:pPr>
    </w:p>
    <w:p>
      <w:pPr>
        <w:spacing w:after="140" w:line="276"/>
        <w:jc w:val="center"/>
      </w:pPr>
      <w:r>
        <w:rPr>
          <w:rFonts w:ascii="Courier New" w:cs="Courier New" w:eastAsia="Courier New" w:hAnsi="Courier New"/>
          <w:b/>
          <w:bCs/>
          <w:color w:val="1C2833"/>
          <w:sz w:val="22"/>
          <w:szCs w:val="22"/>
        </w:rPr>
        <w:t xml:space="preserve">DST = (S, E, T, D, M, C, Φ)</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Formal Definition</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Stratum Origin</w:t>
            </w:r>
          </w:p>
        </w:tc>
        <w:tc>
          <w:tcPr>
            <w:tcW w:type="dxa" w:w="5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 ∈ {S₀, S₁, S₂} indicating which abstraction stratum generated the deviation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Entity Set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 = {e₁, e₂, ..., e_n} — the set of entity identifiers affected, resolved to canonical form via SSIE's identity graph</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T</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Temporal Envelope</w:t>
            </w:r>
          </w:p>
        </w:tc>
        <w:tc>
          <w:tcPr>
            <w:tcW w:type="dxa" w:w="5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 = (t_onset, t_peak, t_decay, Δt_duration) — four timestamps characterizing the deviation's temporal shape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Dimensional Locus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 = {(d₁, v₁), (d₂, v₂), ...} — the set of dimension-value pairs defining the affected sub-population</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M</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Magnitude Vector</w:t>
            </w:r>
          </w:p>
        </w:tc>
        <w:tc>
          <w:tcPr>
            <w:tcW w:type="dxa" w:w="5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 = (m_absolute, m_relative, m_zscore) — three measures of deviation severity on different scales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Confidence Interval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 = [μ - zασ, μ + zασ] — statistical confidence bounds on the magnitude estimate</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Φ</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Provenance Hash</w:t>
            </w:r>
          </w:p>
        </w:tc>
        <w:tc>
          <w:tcPr>
            <w:tcW w:type="dxa" w:w="5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Φ = SHA-256(source_id || metric_id || detection_timestamp) — cryptographic provenance for audit trail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WHY THE DST IS NOVEL (§103 DEFENSE)</w:t>
            </w:r>
          </w:p>
          <w:p>
            <w:pPr>
              <w:spacing w:after="0" w:line="276"/>
            </w:pPr>
            <w:r>
              <w:rPr>
                <w:rFonts w:ascii="Arial" w:cs="Arial" w:eastAsia="Arial" w:hAnsi="Arial"/>
                <w:color w:val="1C2833"/>
                <w:sz w:val="20"/>
                <w:szCs w:val="20"/>
              </w:rPr>
              <w:t xml:space="preserve">No prior art defines a universal anomaly representation that simultaneously encodes stratum origin, resolved entity sets, temporal envelope, dimensional locus, multi-scale magnitude, statistical confidence, and cryptographic provenance in a single algebraic structure with defined operations (union, intersection, containment). Existing anomaly representations are stratum-specific (e.g., ML monitoring tools represent model drift; APM tools represent latency spikes). The DST enables cross-stratum comparison that is impossible with any prior art representation.</w:t>
            </w:r>
          </w:p>
        </w:tc>
      </w:tr>
    </w:tbl>
    <w:p>
      <w:r>
        <w:br w:type="page"/>
      </w:r>
    </w:p>
    <w:p>
      <w:pPr>
        <w:pStyle w:val="Heading3"/>
        <w:spacing w:after="120" w:before="240"/>
      </w:pPr>
      <w:r>
        <w:rPr>
          <w:rFonts w:ascii="Arial" w:cs="Arial" w:eastAsia="Arial" w:hAnsi="Arial"/>
          <w:b/>
          <w:bCs/>
          <w:color w:val="1A6FB5"/>
          <w:sz w:val="24"/>
          <w:szCs w:val="24"/>
        </w:rPr>
        <w:t xml:space="preserve">3.2.2 Stratum-Specific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2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Threshold Mechanism</w:t>
            </w:r>
          </w:p>
        </w:tc>
        <w:tc>
          <w:tcPr>
            <w:tcW w:type="dxa" w:w="2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Adaptation Method</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S₀ (Observation)</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Modified Z-score on sliding window event rates with Median Absolute Deviation (MAD) for robustness to outliers</w:t>
            </w:r>
          </w:p>
        </w:tc>
        <w:tc>
          <w:tcPr>
            <w:tcW w:type="dxa" w:w="2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Adaptive: threshold = median + k·MAD where k is self-calibrated to maintain target FPR via synthetic injection</w:t>
            </w:r>
          </w:p>
        </w:tc>
        <w:tc>
          <w:tcPr>
            <w:tcW w:type="dxa" w:w="2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Exponentially weighted moving window; window size auto-tuned to detected periodicity</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S₁ (Representation)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Population Stability Index (PSI) on feature distributions with two-sample Kolmogorov-Smirnov confirmation</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Adaptive: PSI &gt; θ where θ is calibrated per-feature based on historical PSI variance</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Per-feature calibration using rolling 30-day baseline with concept drift detection</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S₂ (Inference)</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Prediction Interval Monitoring: track whether model outputs remain within expected prediction intervals</w:t>
            </w:r>
          </w:p>
        </w:tc>
        <w:tc>
          <w:tcPr>
            <w:tcW w:type="dxa" w:w="2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Adaptive: alert when &gt;p% of predictions fall outside interval, where p is calibrated to model-specific false positive tolerance</w:t>
            </w:r>
          </w:p>
        </w:tc>
        <w:tc>
          <w:tcPr>
            <w:tcW w:type="dxa" w:w="2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Prediction intervals are recomputed on each model retraining event; p-threshold adapts to model maturity</w:t>
            </w:r>
          </w:p>
        </w:tc>
      </w:tr>
    </w:tbl>
    <w:p>
      <w:pPr>
        <w:spacing w:after="60"/>
      </w:pPr>
    </w:p>
    <w:p>
      <w:pPr>
        <w:pStyle w:val="Heading2"/>
        <w:spacing w:after="160" w:before="300"/>
      </w:pPr>
      <w:r>
        <w:rPr>
          <w:rFonts w:ascii="Arial" w:cs="Arial" w:eastAsia="Arial" w:hAnsi="Arial"/>
          <w:b/>
          <w:bCs/>
          <w:color w:val="0F2B46"/>
          <w:sz w:val="28"/>
          <w:szCs w:val="28"/>
        </w:rPr>
        <w:t xml:space="preserve">3.3 Module 3: Entropic Relevance Decomposition (ERD)</w:t>
      </w:r>
    </w:p>
    <w:p>
      <w:pPr>
        <w:spacing w:after="140" w:line="276"/>
        <w:jc w:val="left"/>
      </w:pPr>
      <w:r>
        <w:rPr>
          <w:rFonts w:ascii="Arial" w:cs="Arial" w:eastAsia="Arial" w:hAnsi="Arial"/>
          <w:b/>
          <w:bCs/>
          <w:color w:val="1C2833"/>
          <w:sz w:val="22"/>
          <w:szCs w:val="22"/>
        </w:rPr>
        <w:t xml:space="preserve">Purpose: </w:t>
      </w:r>
      <w:r>
        <w:rPr>
          <w:rFonts w:ascii="Arial" w:cs="Arial" w:eastAsia="Arial" w:hAnsi="Arial"/>
          <w:color w:val="1C2833"/>
          <w:sz w:val="22"/>
          <w:szCs w:val="22"/>
        </w:rPr>
        <w:t xml:space="preserve">For each detected DST, identify the most informationally relevant dimensional slice — the specific sub-population where the anomaly is concentrated — using information-theoretic optimization.</w:t>
      </w:r>
    </w:p>
    <w:p>
      <w:pPr>
        <w:spacing w:after="140" w:line="276"/>
        <w:jc w:val="left"/>
      </w:pPr>
      <w:r>
        <w:rPr>
          <w:rFonts w:ascii="Arial" w:cs="Arial" w:eastAsia="Arial" w:hAnsi="Arial"/>
          <w:b/>
          <w:bCs/>
          <w:color w:val="1D8348"/>
          <w:sz w:val="22"/>
          <w:szCs w:val="22"/>
        </w:rPr>
        <w:t xml:space="preserve">Novel Contribution: </w:t>
      </w:r>
      <w:r>
        <w:rPr>
          <w:rFonts w:ascii="Arial" w:cs="Arial" w:eastAsia="Arial" w:hAnsi="Arial"/>
          <w:color w:val="1D8348"/>
          <w:sz w:val="22"/>
          <w:szCs w:val="22"/>
        </w:rPr>
        <w:t xml:space="preserve">ERD is a new algorithm that combines Minimum Description Length (MDL) with entropic surprise scoring and beam search to solve the dimensional slice identification problem in O(k·log(D)) time. No prior art achieves this combination.</w:t>
      </w:r>
    </w:p>
    <w:p>
      <w:pPr>
        <w:pStyle w:val="Heading3"/>
        <w:spacing w:after="120" w:before="240"/>
      </w:pPr>
      <w:r>
        <w:rPr>
          <w:rFonts w:ascii="Arial" w:cs="Arial" w:eastAsia="Arial" w:hAnsi="Arial"/>
          <w:b/>
          <w:bCs/>
          <w:color w:val="1A6FB5"/>
          <w:sz w:val="24"/>
          <w:szCs w:val="24"/>
        </w:rPr>
        <w:t xml:space="preserve">3.3.1 Formal Problem Definition</w:t>
      </w:r>
    </w:p>
    <w:p>
      <w:pPr>
        <w:spacing w:after="140" w:line="276"/>
        <w:jc w:val="left"/>
      </w:pPr>
      <w:r>
        <w:rPr>
          <w:rFonts w:ascii="Arial" w:cs="Arial" w:eastAsia="Arial" w:hAnsi="Arial"/>
          <w:b w:val="false"/>
          <w:bCs w:val="false"/>
          <w:i w:val="false"/>
          <w:iCs w:val="false"/>
          <w:color w:val="1C2833"/>
          <w:sz w:val="22"/>
          <w:szCs w:val="22"/>
        </w:rPr>
        <w:t xml:space="preserve">Given a DST with D available dimensions and a parent anomaly of magnitude m_parent, find the dimensional slice σ* that maximizes:</w:t>
      </w:r>
    </w:p>
    <w:p>
      <w:pPr>
        <w:spacing w:after="60"/>
      </w:pPr>
    </w:p>
    <w:p>
      <w:pPr>
        <w:spacing w:after="140" w:line="276"/>
        <w:jc w:val="center"/>
      </w:pPr>
      <w:r>
        <w:rPr>
          <w:rFonts w:ascii="Courier New" w:cs="Courier New" w:eastAsia="Courier New" w:hAnsi="Courier New"/>
          <w:b/>
          <w:bCs/>
          <w:color w:val="1C2833"/>
          <w:sz w:val="22"/>
          <w:szCs w:val="22"/>
        </w:rPr>
        <w:t xml:space="preserve">ERD(σ) = Surprise(σ) - Cost(σ)</w:t>
      </w:r>
    </w:p>
    <w:p>
      <w:pPr>
        <w:spacing w:after="60"/>
      </w:pPr>
    </w:p>
    <w:p>
      <w:pPr>
        <w:spacing w:after="140" w:line="276"/>
        <w:jc w:val="left"/>
      </w:pPr>
      <w:r>
        <w:rPr>
          <w:rFonts w:ascii="Arial" w:cs="Arial" w:eastAsia="Arial" w:hAnsi="Arial"/>
          <w:b w:val="false"/>
          <w:bCs w:val="false"/>
          <w:i w:val="false"/>
          <w:iCs w:val="false"/>
          <w:color w:val="1C2833"/>
          <w:sz w:val="22"/>
          <w:szCs w:val="22"/>
        </w:rPr>
        <w:t xml:space="preserve">Where:</w:t>
      </w:r>
    </w:p>
    <w:p>
      <w:pPr>
        <w:pStyle w:val="ListParagraph"/>
        <w:numPr>
          <w:ilvl w:val="0"/>
          <w:numId w:val="2"/>
        </w:numPr>
        <w:spacing w:after="80" w:line="276"/>
      </w:pPr>
      <w:r>
        <w:rPr>
          <w:rFonts w:ascii="Arial" w:cs="Arial" w:eastAsia="Arial" w:hAnsi="Arial"/>
          <w:b/>
          <w:bCs/>
          <w:color w:val="1C2833"/>
          <w:sz w:val="22"/>
          <w:szCs w:val="22"/>
        </w:rPr>
        <w:t xml:space="preserve">Surprise(σ) = log₂(m_slice / m_parent) × |E_slice| </w:t>
      </w:r>
      <w:r>
        <w:rPr>
          <w:rFonts w:ascii="Arial" w:cs="Arial" w:eastAsia="Arial" w:hAnsi="Arial"/>
          <w:color w:val="1C2833"/>
          <w:sz w:val="22"/>
          <w:szCs w:val="22"/>
        </w:rPr>
        <w:t xml:space="preserve">— the information gained (in bits) from localizing the anomaly to slice σ, weighted by the number of affected entities</w:t>
      </w:r>
    </w:p>
    <w:p>
      <w:pPr>
        <w:pStyle w:val="ListParagraph"/>
        <w:numPr>
          <w:ilvl w:val="0"/>
          <w:numId w:val="2"/>
        </w:numPr>
        <w:spacing w:after="80" w:line="276"/>
      </w:pPr>
      <w:r>
        <w:rPr>
          <w:rFonts w:ascii="Arial" w:cs="Arial" w:eastAsia="Arial" w:hAnsi="Arial"/>
          <w:b/>
          <w:bCs/>
          <w:color w:val="1C2833"/>
          <w:sz w:val="22"/>
          <w:szCs w:val="22"/>
        </w:rPr>
        <w:t xml:space="preserve">Cost(σ) = depth(σ) × log₂(cardinality(σ)) </w:t>
      </w:r>
      <w:r>
        <w:rPr>
          <w:rFonts w:ascii="Arial" w:cs="Arial" w:eastAsia="Arial" w:hAnsi="Arial"/>
          <w:color w:val="1C2833"/>
          <w:sz w:val="22"/>
          <w:szCs w:val="22"/>
        </w:rPr>
        <w:t xml:space="preserve">— the information cost (in bits) of specifying the slice definition, proportional to its depth and the cardinality of its dimensions</w:t>
      </w:r>
    </w:p>
    <w:p>
      <w:pPr>
        <w:pStyle w:val="Heading3"/>
        <w:spacing w:after="120" w:before="240"/>
      </w:pPr>
      <w:r>
        <w:rPr>
          <w:rFonts w:ascii="Arial" w:cs="Arial" w:eastAsia="Arial" w:hAnsi="Arial"/>
          <w:b/>
          <w:bCs/>
          <w:color w:val="1A6FB5"/>
          <w:sz w:val="24"/>
          <w:szCs w:val="24"/>
        </w:rPr>
        <w:t xml:space="preserve">3.3.2 Beam Search with Entropic Pruning</w:t>
      </w:r>
    </w:p>
    <w:p>
      <w:pPr>
        <w:spacing w:after="140" w:line="276"/>
        <w:jc w:val="left"/>
      </w:pPr>
      <w:r>
        <w:rPr>
          <w:rFonts w:ascii="Arial" w:cs="Arial" w:eastAsia="Arial" w:hAnsi="Arial"/>
          <w:b w:val="false"/>
          <w:bCs w:val="false"/>
          <w:i w:val="false"/>
          <w:iCs w:val="false"/>
          <w:color w:val="1C2833"/>
          <w:sz w:val="22"/>
          <w:szCs w:val="22"/>
        </w:rPr>
        <w:t xml:space="preserve">ERD uses a width-limited beam search instead of exhaustive exploration:</w:t>
      </w:r>
    </w:p>
    <w:p>
      <w:pPr>
        <w:pStyle w:val="ListParagraph"/>
        <w:numPr>
          <w:ilvl w:val="0"/>
          <w:numId w:val="3"/>
        </w:numPr>
        <w:spacing w:after="80" w:line="276"/>
      </w:pPr>
      <w:r>
        <w:rPr>
          <w:rFonts w:ascii="Arial" w:cs="Arial" w:eastAsia="Arial" w:hAnsi="Arial"/>
          <w:color w:val="1C2833"/>
          <w:sz w:val="22"/>
          <w:szCs w:val="22"/>
        </w:rPr>
        <w:t xml:space="preserve">Initialize beam B₀ with top-w single-dimension slices ranked by ERD score</w:t>
      </w:r>
    </w:p>
    <w:p>
      <w:pPr>
        <w:pStyle w:val="ListParagraph"/>
        <w:numPr>
          <w:ilvl w:val="0"/>
          <w:numId w:val="3"/>
        </w:numPr>
        <w:spacing w:after="80" w:line="276"/>
      </w:pPr>
      <w:r>
        <w:rPr>
          <w:rFonts w:ascii="Arial" w:cs="Arial" w:eastAsia="Arial" w:hAnsi="Arial"/>
          <w:color w:val="1C2833"/>
          <w:sz w:val="22"/>
          <w:szCs w:val="22"/>
        </w:rPr>
        <w:t xml:space="preserve">For each depth d from 2 to D_max:</w:t>
      </w:r>
    </w:p>
    <w:p>
      <w:pPr>
        <w:pStyle w:val="ListParagraph"/>
        <w:numPr>
          <w:ilvl w:val="0"/>
          <w:numId w:val="2"/>
        </w:numPr>
        <w:spacing w:after="80" w:line="276"/>
      </w:pPr>
      <w:r>
        <w:rPr>
          <w:rFonts w:ascii="Arial" w:cs="Arial" w:eastAsia="Arial" w:hAnsi="Arial"/>
          <w:color w:val="1C2833"/>
          <w:sz w:val="22"/>
          <w:szCs w:val="22"/>
        </w:rPr>
        <w:t xml:space="preserve">Expand each slice in B_{d-1} by adding one dimension</w:t>
      </w:r>
    </w:p>
    <w:p>
      <w:pPr>
        <w:pStyle w:val="ListParagraph"/>
        <w:numPr>
          <w:ilvl w:val="0"/>
          <w:numId w:val="2"/>
        </w:numPr>
        <w:spacing w:after="80" w:line="276"/>
      </w:pPr>
      <w:r>
        <w:rPr>
          <w:rFonts w:ascii="Arial" w:cs="Arial" w:eastAsia="Arial" w:hAnsi="Arial"/>
          <w:color w:val="1C2833"/>
          <w:sz w:val="22"/>
          <w:szCs w:val="22"/>
        </w:rPr>
        <w:t xml:space="preserve">Compute ERD score for each candidate</w:t>
      </w:r>
    </w:p>
    <w:p>
      <w:pPr>
        <w:pStyle w:val="ListParagraph"/>
        <w:numPr>
          <w:ilvl w:val="0"/>
          <w:numId w:val="2"/>
        </w:numPr>
        <w:spacing w:after="80" w:line="276"/>
      </w:pPr>
      <w:r>
        <w:rPr>
          <w:rFonts w:ascii="Arial" w:cs="Arial" w:eastAsia="Arial" w:hAnsi="Arial"/>
          <w:color w:val="1C2833"/>
          <w:sz w:val="22"/>
          <w:szCs w:val="22"/>
        </w:rPr>
        <w:t xml:space="preserve">Entropic Pruning: discard any candidate where Cost(σ) &gt; Surprise(σ) (the slice is not worth its own description)</w:t>
      </w:r>
    </w:p>
    <w:p>
      <w:pPr>
        <w:pStyle w:val="ListParagraph"/>
        <w:numPr>
          <w:ilvl w:val="0"/>
          <w:numId w:val="2"/>
        </w:numPr>
        <w:spacing w:after="80" w:line="276"/>
      </w:pPr>
      <w:r>
        <w:rPr>
          <w:rFonts w:ascii="Arial" w:cs="Arial" w:eastAsia="Arial" w:hAnsi="Arial"/>
          <w:color w:val="1C2833"/>
          <w:sz w:val="22"/>
          <w:szCs w:val="22"/>
        </w:rPr>
        <w:t xml:space="preserve">Retain only top-w candidates as B_d</w:t>
      </w:r>
    </w:p>
    <w:p>
      <w:pPr>
        <w:pStyle w:val="ListParagraph"/>
        <w:numPr>
          <w:ilvl w:val="0"/>
          <w:numId w:val="3"/>
        </w:numPr>
        <w:spacing w:after="80" w:line="276"/>
      </w:pPr>
      <w:r>
        <w:rPr>
          <w:rFonts w:ascii="Arial" w:cs="Arial" w:eastAsia="Arial" w:hAnsi="Arial"/>
          <w:color w:val="1C2833"/>
          <w:sz w:val="22"/>
          <w:szCs w:val="22"/>
        </w:rPr>
        <w:t xml:space="preserve">Return σ* = argmax ERD(σ) across all depths</w:t>
      </w:r>
    </w:p>
    <w:p>
      <w:pPr>
        <w:spacing w:after="60"/>
      </w:pPr>
    </w:p>
    <w:p>
      <w:pPr>
        <w:spacing w:after="140" w:line="276"/>
        <w:jc w:val="left"/>
      </w:pPr>
      <w:r>
        <w:rPr>
          <w:rFonts w:ascii="Arial" w:cs="Arial" w:eastAsia="Arial" w:hAnsi="Arial"/>
          <w:b/>
          <w:bCs/>
          <w:color w:val="1C2833"/>
          <w:sz w:val="22"/>
          <w:szCs w:val="22"/>
        </w:rPr>
        <w:t xml:space="preserve">Complexity Bound: </w:t>
      </w:r>
      <w:r>
        <w:rPr>
          <w:rFonts w:ascii="Arial" w:cs="Arial" w:eastAsia="Arial" w:hAnsi="Arial"/>
          <w:color w:val="1D8348"/>
          <w:sz w:val="22"/>
          <w:szCs w:val="22"/>
        </w:rPr>
        <w:t xml:space="preserve">O(w × D × K_max) where w = beam width (configurable, typically 10-50), D = number of dimensions, K_max = maximum dimension cardinality. For typical systems: O(50 × 8 × 100) = O(40,000) evaluations vs. O(100⁸) = O(10¹⁶) for exhaustive search. </w:t>
      </w:r>
      <w:r>
        <w:rPr>
          <w:rFonts w:ascii="Arial" w:cs="Arial" w:eastAsia="Arial" w:hAnsi="Arial"/>
          <w:b/>
          <w:bCs/>
          <w:color w:val="1D8348"/>
          <w:sz w:val="22"/>
          <w:szCs w:val="22"/>
        </w:rPr>
        <w:t xml:space="preserve">This is an exponential reduction.</w:t>
      </w:r>
    </w:p>
    <w:p>
      <w:r>
        <w:br w:type="page"/>
      </w:r>
    </w:p>
    <w:p>
      <w:pPr>
        <w:pStyle w:val="Heading2"/>
        <w:spacing w:after="160" w:before="300"/>
      </w:pPr>
      <w:r>
        <w:rPr>
          <w:rFonts w:ascii="Arial" w:cs="Arial" w:eastAsia="Arial" w:hAnsi="Arial"/>
          <w:b/>
          <w:bCs/>
          <w:color w:val="0F2B46"/>
          <w:sz w:val="28"/>
          <w:szCs w:val="28"/>
        </w:rPr>
        <w:t xml:space="preserve">3.4 Module 4: Cross-Stratum Causal Tensor (CSCT)</w:t>
      </w:r>
    </w:p>
    <w:p>
      <w:pPr>
        <w:spacing w:after="140" w:line="276"/>
        <w:jc w:val="left"/>
      </w:pPr>
      <w:r>
        <w:rPr>
          <w:rFonts w:ascii="Arial" w:cs="Arial" w:eastAsia="Arial" w:hAnsi="Arial"/>
          <w:b/>
          <w:bCs/>
          <w:color w:val="1C2833"/>
          <w:sz w:val="22"/>
          <w:szCs w:val="22"/>
        </w:rPr>
        <w:t xml:space="preserve">Purpose: </w:t>
      </w:r>
      <w:r>
        <w:rPr>
          <w:rFonts w:ascii="Arial" w:cs="Arial" w:eastAsia="Arial" w:hAnsi="Arial"/>
          <w:color w:val="1C2833"/>
          <w:sz w:val="22"/>
          <w:szCs w:val="22"/>
        </w:rPr>
        <w:t xml:space="preserve">Compute a multi-dimensional similarity score between pairs of DSTs from different strata, determining whether they share a common causal origin.</w:t>
      </w:r>
    </w:p>
    <w:p>
      <w:pPr>
        <w:spacing w:after="140" w:line="276"/>
        <w:jc w:val="left"/>
      </w:pPr>
      <w:r>
        <w:rPr>
          <w:rFonts w:ascii="Arial" w:cs="Arial" w:eastAsia="Arial" w:hAnsi="Arial"/>
          <w:b/>
          <w:bCs/>
          <w:color w:val="1D8348"/>
          <w:sz w:val="22"/>
          <w:szCs w:val="22"/>
        </w:rPr>
        <w:t xml:space="preserve">Novel Contribution: </w:t>
      </w:r>
      <w:r>
        <w:rPr>
          <w:rFonts w:ascii="Arial" w:cs="Arial" w:eastAsia="Arial" w:hAnsi="Arial"/>
          <w:color w:val="1D8348"/>
          <w:sz w:val="22"/>
          <w:szCs w:val="22"/>
        </w:rPr>
        <w:t xml:space="preserve">The CSCT replaces ad-hoc weighted sums with a formally defined four-axis tensor where each axis captures an orthogonal aspect of cross-stratum similarity. The combined score uses spectral normalization to prevent any single axis from dominating.</w:t>
      </w:r>
    </w:p>
    <w:p>
      <w:pPr>
        <w:pStyle w:val="Heading3"/>
        <w:spacing w:after="120" w:before="240"/>
      </w:pPr>
      <w:r>
        <w:rPr>
          <w:rFonts w:ascii="Arial" w:cs="Arial" w:eastAsia="Arial" w:hAnsi="Arial"/>
          <w:b/>
          <w:bCs/>
          <w:color w:val="1A6FB5"/>
          <w:sz w:val="24"/>
          <w:szCs w:val="24"/>
        </w:rPr>
        <w:t xml:space="preserve">3.4.1 The Four Axes of Cross-Stratum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4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Formal Computation</w:t>
            </w:r>
          </w:p>
        </w:tc>
        <w:tc>
          <w:tcPr>
            <w:tcW w:type="dxa" w:w="39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Novel Element</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Axis 1: Entity Coincidence (α)</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α(A,B) = J(E_A, E_B) × λ(E_A, E_B, N) where J is Jaccard similarity and λ is the surprise multiplier = log₂(|E_A ∩ E_B|_observed / |E_A ∩ E_B|_expected)</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Surprise-adjusted Jaccard — pure Jaccard ignores population size; our λ correction amplifies score when overlap is improbable under random chance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Axis 2: Temporal Precedence (β)</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β(A,B) = G(onset_lag, μ_delay, σ_delay) × peak_sync(A,B) × duration_compatibility(A,B) where G is Gaussian kernel centered on learned propagation delay μ_delay with variance σ_delay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Learned causal delay model — the system learns expected propagation delays between each stratum pair from historical data, not fixed offsets</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Axis 3: Dimensional Coherence (γ)</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γ(A,B) = Σ_d w_d × match(D_A[d], D_B[d]) where match returns 1.0 for exact match, 0.5 for parent-child relationship in dimension hierarchy, 0.0 for no match</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Hierarchical dimension matching — "California" and "San Francisco" are a parent-child match, not a mismatch; prior art treats dimension matching as binary</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Axis 4: Semantic Affinity (δ)</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δ(A,B) = cosine(embed(metric_A), embed(metric_B)) where embed() is a domain-specific embedding trained on observed metric co-occurrence patterns using contrastive learning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Self-trained semantic embeddings — the system learns that "error_rate" and "latency_p99" are semantically related by observing their historical co-occurrence, without any predefined ontology</w:t>
            </w:r>
          </w:p>
        </w:tc>
      </w:tr>
    </w:tbl>
    <w:p>
      <w:pPr>
        <w:spacing w:after="60"/>
      </w:pPr>
    </w:p>
    <w:p>
      <w:pPr>
        <w:pStyle w:val="Heading3"/>
        <w:spacing w:after="120" w:before="240"/>
      </w:pPr>
      <w:r>
        <w:rPr>
          <w:rFonts w:ascii="Arial" w:cs="Arial" w:eastAsia="Arial" w:hAnsi="Arial"/>
          <w:b/>
          <w:bCs/>
          <w:color w:val="1A6FB5"/>
          <w:sz w:val="24"/>
          <w:szCs w:val="24"/>
        </w:rPr>
        <w:t xml:space="preserve">3.4.2 Tensor Combination with Spectral Normalization</w:t>
      </w:r>
    </w:p>
    <w:p>
      <w:pPr>
        <w:spacing w:after="140" w:line="276"/>
        <w:jc w:val="left"/>
      </w:pPr>
      <w:r>
        <w:rPr>
          <w:rFonts w:ascii="Arial" w:cs="Arial" w:eastAsia="Arial" w:hAnsi="Arial"/>
          <w:b w:val="false"/>
          <w:bCs w:val="false"/>
          <w:i w:val="false"/>
          <w:iCs w:val="false"/>
          <w:color w:val="1C2833"/>
          <w:sz w:val="22"/>
          <w:szCs w:val="22"/>
        </w:rPr>
        <w:t xml:space="preserve">The four axes are combined using spectral normalization rather than a simple weighted sum:</w:t>
      </w:r>
    </w:p>
    <w:p>
      <w:pPr>
        <w:spacing w:after="60"/>
      </w:pPr>
    </w:p>
    <w:p>
      <w:pPr>
        <w:spacing w:after="140" w:line="276"/>
        <w:jc w:val="center"/>
      </w:pPr>
      <w:r>
        <w:rPr>
          <w:rFonts w:ascii="Courier New" w:cs="Courier New" w:eastAsia="Courier New" w:hAnsi="Courier New"/>
          <w:b/>
          <w:bCs/>
          <w:color w:val="1C2833"/>
          <w:sz w:val="20"/>
          <w:szCs w:val="20"/>
        </w:rPr>
        <w:t xml:space="preserve">CSCT(A,B) = ||Σ_i w_i × σ_i(A,B) × ê_i||  where ê_i are orthonormal basis vectors</w:t>
      </w:r>
    </w:p>
    <w:p>
      <w:pPr>
        <w:spacing w:after="60"/>
      </w:pPr>
    </w:p>
    <w:p>
      <w:pPr>
        <w:spacing w:after="140" w:line="276"/>
        <w:jc w:val="left"/>
      </w:pPr>
      <w:r>
        <w:rPr>
          <w:rFonts w:ascii="Arial" w:cs="Arial" w:eastAsia="Arial" w:hAnsi="Arial"/>
          <w:b w:val="false"/>
          <w:bCs w:val="false"/>
          <w:i w:val="false"/>
          <w:iCs w:val="false"/>
          <w:color w:val="1C2833"/>
          <w:sz w:val="22"/>
          <w:szCs w:val="22"/>
        </w:rPr>
        <w:t xml:space="preserve">The weights w_i are not fixed but adapt based on the signal characteristics of A and B:</w:t>
      </w:r>
    </w:p>
    <w:p>
      <w:pPr>
        <w:pStyle w:val="ListParagraph"/>
        <w:numPr>
          <w:ilvl w:val="0"/>
          <w:numId w:val="2"/>
        </w:numPr>
        <w:spacing w:after="80" w:line="276"/>
      </w:pPr>
      <w:r>
        <w:rPr>
          <w:rFonts w:ascii="Arial" w:cs="Arial" w:eastAsia="Arial" w:hAnsi="Arial"/>
          <w:b/>
          <w:bCs/>
          <w:color w:val="1C2833"/>
          <w:sz w:val="22"/>
          <w:szCs w:val="22"/>
        </w:rPr>
        <w:t xml:space="preserve">Sudden onset deviations: </w:t>
      </w:r>
      <w:r>
        <w:rPr>
          <w:rFonts w:ascii="Arial" w:cs="Arial" w:eastAsia="Arial" w:hAnsi="Arial"/>
          <w:color w:val="1C2833"/>
          <w:sz w:val="22"/>
          <w:szCs w:val="22"/>
        </w:rPr>
        <w:t xml:space="preserve">temporal axis weight increases (sudden events have diagnostic temporal signatures)</w:t>
      </w:r>
    </w:p>
    <w:p>
      <w:pPr>
        <w:pStyle w:val="ListParagraph"/>
        <w:numPr>
          <w:ilvl w:val="0"/>
          <w:numId w:val="2"/>
        </w:numPr>
        <w:spacing w:after="80" w:line="276"/>
      </w:pPr>
      <w:r>
        <w:rPr>
          <w:rFonts w:ascii="Arial" w:cs="Arial" w:eastAsia="Arial" w:hAnsi="Arial"/>
          <w:b/>
          <w:bCs/>
          <w:color w:val="1C2833"/>
          <w:sz w:val="22"/>
          <w:szCs w:val="22"/>
        </w:rPr>
        <w:t xml:space="preserve">Gradual drift deviations: </w:t>
      </w:r>
      <w:r>
        <w:rPr>
          <w:rFonts w:ascii="Arial" w:cs="Arial" w:eastAsia="Arial" w:hAnsi="Arial"/>
          <w:color w:val="1C2833"/>
          <w:sz w:val="22"/>
          <w:szCs w:val="22"/>
        </w:rPr>
        <w:t xml:space="preserve">entity axis weight increases (drift affects specific populations)</w:t>
      </w:r>
    </w:p>
    <w:p>
      <w:pPr>
        <w:pStyle w:val="ListParagraph"/>
        <w:numPr>
          <w:ilvl w:val="0"/>
          <w:numId w:val="2"/>
        </w:numPr>
        <w:spacing w:after="80" w:line="276"/>
      </w:pPr>
      <w:r>
        <w:rPr>
          <w:rFonts w:ascii="Arial" w:cs="Arial" w:eastAsia="Arial" w:hAnsi="Arial"/>
          <w:b/>
          <w:bCs/>
          <w:color w:val="1C2833"/>
          <w:sz w:val="22"/>
          <w:szCs w:val="22"/>
        </w:rPr>
        <w:t xml:space="preserve">Cross-domain deviations: </w:t>
      </w:r>
      <w:r>
        <w:rPr>
          <w:rFonts w:ascii="Arial" w:cs="Arial" w:eastAsia="Arial" w:hAnsi="Arial"/>
          <w:color w:val="1C2833"/>
          <w:sz w:val="22"/>
          <w:szCs w:val="22"/>
        </w:rPr>
        <w:t xml:space="preserve">semantic axis weight increases (linking metrics from different domains requires semantic understanding)</w:t>
      </w:r>
    </w:p>
    <w:p>
      <w:pPr>
        <w:spacing w:after="140" w:line="276"/>
        <w:jc w:val="left"/>
      </w:pPr>
      <w:r>
        <w:rPr>
          <w:rFonts w:ascii="Arial" w:cs="Arial" w:eastAsia="Arial" w:hAnsi="Arial"/>
          <w:b/>
          <w:bCs/>
          <w:color w:val="1C2833"/>
          <w:sz w:val="22"/>
          <w:szCs w:val="22"/>
        </w:rPr>
        <w:t xml:space="preserve">Complexity: </w:t>
      </w:r>
      <w:r>
        <w:rPr>
          <w:rFonts w:ascii="Arial" w:cs="Arial" w:eastAsia="Arial" w:hAnsi="Arial"/>
          <w:color w:val="1C2833"/>
          <w:sz w:val="22"/>
          <w:szCs w:val="22"/>
        </w:rPr>
        <w:t xml:space="preserve">O(|E| × log|E|) per pair for entity set operations (dominant cost). Total: O(P × |E| × log|E|) where P = number of cross-stratum pairs to evaluate.</w:t>
      </w:r>
    </w:p>
    <w:p>
      <w:r>
        <w:br w:type="page"/>
      </w:r>
    </w:p>
    <w:p>
      <w:pPr>
        <w:pStyle w:val="Heading2"/>
        <w:spacing w:after="160" w:before="300"/>
      </w:pPr>
      <w:r>
        <w:rPr>
          <w:rFonts w:ascii="Arial" w:cs="Arial" w:eastAsia="Arial" w:hAnsi="Arial"/>
          <w:b/>
          <w:bCs/>
          <w:color w:val="0F2B46"/>
          <w:sz w:val="28"/>
          <w:szCs w:val="28"/>
        </w:rPr>
        <w:t xml:space="preserve">3.5 Module 5: Computational Ablation Protocol (CAP)</w:t>
      </w:r>
    </w:p>
    <w:p>
      <w:pPr>
        <w:spacing w:after="140" w:line="276"/>
        <w:jc w:val="left"/>
      </w:pPr>
      <w:r>
        <w:rPr>
          <w:rFonts w:ascii="Arial" w:cs="Arial" w:eastAsia="Arial" w:hAnsi="Arial"/>
          <w:b/>
          <w:bCs/>
          <w:color w:val="1C2833"/>
          <w:sz w:val="22"/>
          <w:szCs w:val="22"/>
        </w:rPr>
        <w:t xml:space="preserve">Purpose: </w:t>
      </w:r>
      <w:r>
        <w:rPr>
          <w:rFonts w:ascii="Arial" w:cs="Arial" w:eastAsia="Arial" w:hAnsi="Arial"/>
          <w:color w:val="1C2833"/>
          <w:sz w:val="22"/>
          <w:szCs w:val="22"/>
        </w:rPr>
        <w:t xml:space="preserve">Validate every high-scoring correlation through a formal three-test counterfactual analysis that distinguishes causal relationships from coincidental co-occurrence.</w:t>
      </w:r>
    </w:p>
    <w:p>
      <w:pPr>
        <w:spacing w:after="140" w:line="276"/>
        <w:jc w:val="left"/>
      </w:pPr>
      <w:r>
        <w:rPr>
          <w:rFonts w:ascii="Arial" w:cs="Arial" w:eastAsia="Arial" w:hAnsi="Arial"/>
          <w:b/>
          <w:bCs/>
          <w:color w:val="1D8348"/>
          <w:sz w:val="22"/>
          <w:szCs w:val="22"/>
        </w:rPr>
        <w:t xml:space="preserve">Novel Contribution: </w:t>
      </w:r>
      <w:r>
        <w:rPr>
          <w:rFonts w:ascii="Arial" w:cs="Arial" w:eastAsia="Arial" w:hAnsi="Arial"/>
          <w:color w:val="1D8348"/>
          <w:sz w:val="22"/>
          <w:szCs w:val="22"/>
        </w:rPr>
        <w:t xml:space="preserve">No prior art system applies systematic counterfactual validation to cross-stratum anomaly correlations. AIOps tools cluster alerts but never prove causality. AMACE is the first system to computationally ablate correlations before presenting them as insights.</w:t>
      </w:r>
    </w:p>
    <w:p>
      <w:pPr>
        <w:pStyle w:val="Heading3"/>
        <w:spacing w:after="120" w:before="240"/>
      </w:pPr>
      <w:r>
        <w:rPr>
          <w:rFonts w:ascii="Arial" w:cs="Arial" w:eastAsia="Arial" w:hAnsi="Arial"/>
          <w:b/>
          <w:bCs/>
          <w:color w:val="1A6FB5"/>
          <w:sz w:val="24"/>
          <w:szCs w:val="24"/>
        </w:rPr>
        <w:t xml:space="preserve">3.5.1 The Three Ablation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8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8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Pass Criterion</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Test 1: Exclusivity Ablation</w:t>
            </w:r>
          </w:p>
        </w:tc>
        <w:tc>
          <w:tcPr>
            <w:tcW w:type="dxa" w:w="3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Remove DST_A from the dataset. Recompute the anomaly score for the dimensional slice associated with DST_B. If the anomaly in B disappears or significantly diminishes, A was necessary for B.</w:t>
            </w:r>
          </w:p>
        </w:tc>
        <w:tc>
          <w:tcPr>
            <w:tcW w:type="dxa" w:w="3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Anomaly reduction ratio: |m_B_original - m_B_ablated| / m_B_original &gt; θ_exclusivity (default 0.3). If B's anomaly persists unchanged without A, the correlation is coincidental.</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Test 2: Sufficiency Ablation</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Using only DST_A's entity set and temporal envelope, compute the predicted magnitude of DST_B. If A alone predicts B within confidence bounds, A is sufficient to explain B.</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Prediction accuracy: |m_B_predicted - m_B_observed| / m_B_observed &lt; θ_sufficiency (default 0.5). If A alone cannot predict B, additional causal factors exist.</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Test 3: Minimality Ablation</w:t>
            </w:r>
          </w:p>
        </w:tc>
        <w:tc>
          <w:tcPr>
            <w:tcW w:type="dxa" w:w="3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For correlations involving 3+ DSTs, iteratively remove each DST and test whether the remaining set still explains the observation. Identify the minimal sufficient set.</w:t>
            </w:r>
          </w:p>
        </w:tc>
        <w:tc>
          <w:tcPr>
            <w:tcW w:type="dxa" w:w="3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 DST is retained in the minimal set if and only if its removal causes the prediction accuracy to drop below θ_sufficiency. This prevents over-attribution.</w:t>
            </w:r>
          </w:p>
        </w:tc>
      </w:tr>
    </w:tbl>
    <w:p>
      <w:pPr>
        <w:spacing w:after="60"/>
      </w:pPr>
    </w:p>
    <w:p>
      <w:pPr>
        <w:spacing w:after="140" w:line="276"/>
        <w:jc w:val="left"/>
      </w:pPr>
      <w:r>
        <w:rPr>
          <w:rFonts w:ascii="Arial" w:cs="Arial" w:eastAsia="Arial" w:hAnsi="Arial"/>
          <w:b/>
          <w:bCs/>
          <w:color w:val="1C2833"/>
          <w:sz w:val="22"/>
          <w:szCs w:val="22"/>
        </w:rPr>
        <w:t xml:space="preserve">Statistical Rigor: </w:t>
      </w:r>
      <w:r>
        <w:rPr>
          <w:rFonts w:ascii="Arial" w:cs="Arial" w:eastAsia="Arial" w:hAnsi="Arial"/>
          <w:color w:val="1C2833"/>
          <w:sz w:val="22"/>
          <w:szCs w:val="22"/>
        </w:rPr>
        <w:t xml:space="preserve">Each ablation test is run with bootstrapped confidence intervals (1000 iterations). A correlation passes only if the pass criterion holds at the 95% confidence level. This bounds the Type I error rate (false causal claims) at α = 0.05.</w:t>
      </w:r>
    </w:p>
    <w:p>
      <w:pPr>
        <w:spacing w:after="60"/>
      </w:pPr>
    </w:p>
    <w:p>
      <w:pPr>
        <w:pStyle w:val="Heading2"/>
        <w:spacing w:after="160" w:before="300"/>
      </w:pPr>
      <w:r>
        <w:rPr>
          <w:rFonts w:ascii="Arial" w:cs="Arial" w:eastAsia="Arial" w:hAnsi="Arial"/>
          <w:b/>
          <w:bCs/>
          <w:color w:val="0F2B46"/>
          <w:sz w:val="28"/>
          <w:szCs w:val="28"/>
        </w:rPr>
        <w:t xml:space="preserve">3.6 Module 6: Causal Insight Graph Synthesizer (CIGS)</w:t>
      </w:r>
    </w:p>
    <w:p>
      <w:pPr>
        <w:spacing w:after="140" w:line="276"/>
        <w:jc w:val="left"/>
      </w:pPr>
      <w:r>
        <w:rPr>
          <w:rFonts w:ascii="Arial" w:cs="Arial" w:eastAsia="Arial" w:hAnsi="Arial"/>
          <w:b/>
          <w:bCs/>
          <w:color w:val="1C2833"/>
          <w:sz w:val="22"/>
          <w:szCs w:val="22"/>
        </w:rPr>
        <w:t xml:space="preserve">Purpose: </w:t>
      </w:r>
      <w:r>
        <w:rPr>
          <w:rFonts w:ascii="Arial" w:cs="Arial" w:eastAsia="Arial" w:hAnsi="Arial"/>
          <w:color w:val="1C2833"/>
          <w:sz w:val="22"/>
          <w:szCs w:val="22"/>
        </w:rPr>
        <w:t xml:space="preserve">Assemble validated cross-stratum correlations into a directed acyclic graph (DAG) representing the causal structure of the observed multi-stratum event.</w:t>
      </w:r>
    </w:p>
    <w:p>
      <w:pPr>
        <w:spacing w:after="140" w:line="276"/>
        <w:jc w:val="left"/>
      </w:pPr>
      <w:r>
        <w:rPr>
          <w:rFonts w:ascii="Arial" w:cs="Arial" w:eastAsia="Arial" w:hAnsi="Arial"/>
          <w:b w:val="false"/>
          <w:bCs w:val="false"/>
          <w:i w:val="false"/>
          <w:iCs w:val="false"/>
          <w:color w:val="1C2833"/>
          <w:sz w:val="22"/>
          <w:szCs w:val="22"/>
        </w:rPr>
        <w:t xml:space="preserve">The CIGS produces a structured output containing: the root cause DST (the stratum-0 deviation that initiated the causal cascade), intermediate propagation nodes (how the deviation propagated through S₁), terminal effect nodes (the observable impact in S₂), the affected entity intersection (entities common across all correlated DSTs), the aggregate confidence score, and recommended remediation actions.</w:t>
      </w:r>
    </w:p>
    <w:p>
      <w:pPr>
        <w:spacing w:after="60"/>
      </w:pPr>
    </w:p>
    <w:p>
      <w:pPr>
        <w:pStyle w:val="Heading2"/>
        <w:spacing w:after="160" w:before="300"/>
      </w:pPr>
      <w:r>
        <w:rPr>
          <w:rFonts w:ascii="Arial" w:cs="Arial" w:eastAsia="Arial" w:hAnsi="Arial"/>
          <w:b/>
          <w:bCs/>
          <w:color w:val="0F2B46"/>
          <w:sz w:val="28"/>
          <w:szCs w:val="28"/>
        </w:rPr>
        <w:t xml:space="preserve">3.7 Module 7: Predictive Precursor Engine (PPE)</w:t>
      </w:r>
    </w:p>
    <w:p>
      <w:pPr>
        <w:spacing w:after="140" w:line="276"/>
        <w:jc w:val="left"/>
      </w:pPr>
      <w:r>
        <w:rPr>
          <w:rFonts w:ascii="Arial" w:cs="Arial" w:eastAsia="Arial" w:hAnsi="Arial"/>
          <w:b/>
          <w:bCs/>
          <w:color w:val="1C2833"/>
          <w:sz w:val="22"/>
          <w:szCs w:val="22"/>
        </w:rPr>
        <w:t xml:space="preserve">Purpose: </w:t>
      </w:r>
      <w:r>
        <w:rPr>
          <w:rFonts w:ascii="Arial" w:cs="Arial" w:eastAsia="Arial" w:hAnsi="Arial"/>
          <w:color w:val="1C2833"/>
          <w:sz w:val="22"/>
          <w:szCs w:val="22"/>
        </w:rPr>
        <w:t xml:space="preserve">Learn temporal sequences of DSTs that historically preceded major incidents, and issue predictive warnings when early DSTs in a known sequence appear.</w:t>
      </w:r>
    </w:p>
    <w:p>
      <w:pPr>
        <w:spacing w:after="140" w:line="276"/>
        <w:jc w:val="left"/>
      </w:pPr>
      <w:r>
        <w:rPr>
          <w:rFonts w:ascii="Arial" w:cs="Arial" w:eastAsia="Arial" w:hAnsi="Arial"/>
          <w:b w:val="false"/>
          <w:bCs w:val="false"/>
          <w:i w:val="false"/>
          <w:iCs w:val="false"/>
          <w:color w:val="1C2833"/>
          <w:sz w:val="22"/>
          <w:szCs w:val="22"/>
        </w:rPr>
        <w:t xml:space="preserve">The PPE maintains a Precursor Sequence Library (PSL) — a collection of ordered DST patterns extracted from historical causal insight graphs. When a new DST matches the first k elements of a known sequence of length n, the PPE computes:</w:t>
      </w:r>
    </w:p>
    <w:p>
      <w:pPr>
        <w:spacing w:after="60"/>
      </w:pPr>
    </w:p>
    <w:p>
      <w:pPr>
        <w:spacing w:after="140" w:line="276"/>
        <w:jc w:val="center"/>
      </w:pPr>
      <w:r>
        <w:rPr>
          <w:rFonts w:ascii="Courier New" w:cs="Courier New" w:eastAsia="Courier New" w:hAnsi="Courier New"/>
          <w:b/>
          <w:bCs/>
          <w:color w:val="1C2833"/>
          <w:sz w:val="20"/>
          <w:szCs w:val="20"/>
        </w:rPr>
        <w:t xml:space="preserve">P(incident | prefix) = count(prefix → incident) / count(prefix) × temporal_decay(age)</w:t>
      </w:r>
    </w:p>
    <w:p>
      <w:pPr>
        <w:spacing w:after="60"/>
      </w:pPr>
    </w:p>
    <w:p>
      <w:pPr>
        <w:spacing w:after="140" w:line="276"/>
        <w:jc w:val="left"/>
      </w:pPr>
      <w:r>
        <w:rPr>
          <w:rFonts w:ascii="Arial" w:cs="Arial" w:eastAsia="Arial" w:hAnsi="Arial"/>
          <w:b w:val="false"/>
          <w:bCs w:val="false"/>
          <w:i w:val="false"/>
          <w:iCs w:val="false"/>
          <w:color w:val="1C2833"/>
          <w:sz w:val="22"/>
          <w:szCs w:val="22"/>
        </w:rPr>
        <w:t xml:space="preserve">When P exceeds a configurable threshold, a predictive warning is issued with the predicted incident type, confidence, and estimated time to impact.</w:t>
      </w:r>
    </w:p>
    <w:p>
      <w:r>
        <w:br w:type="page"/>
      </w:r>
    </w:p>
    <w:p>
      <w:pPr>
        <w:pStyle w:val="Heading1"/>
        <w:spacing w:after="200" w:before="400"/>
      </w:pPr>
      <w:r>
        <w:rPr>
          <w:rFonts w:ascii="Arial" w:cs="Arial" w:eastAsia="Arial" w:hAnsi="Arial"/>
          <w:b/>
          <w:bCs/>
          <w:color w:val="0F2B46"/>
          <w:sz w:val="32"/>
          <w:szCs w:val="32"/>
        </w:rPr>
        <w:t xml:space="preserve">4. Domain Use Cases: Problem Statements and Novel Solutions</w:t>
      </w:r>
    </w:p>
    <w:p>
      <w:pPr>
        <w:spacing w:after="140" w:line="276"/>
        <w:jc w:val="left"/>
      </w:pPr>
      <w:r>
        <w:rPr>
          <w:rFonts w:ascii="Arial" w:cs="Arial" w:eastAsia="Arial" w:hAnsi="Arial"/>
          <w:b w:val="false"/>
          <w:bCs w:val="false"/>
          <w:i w:val="false"/>
          <w:iCs w:val="false"/>
          <w:color w:val="1C2833"/>
          <w:sz w:val="22"/>
          <w:szCs w:val="22"/>
        </w:rPr>
        <w:t xml:space="preserve">The following five use cases demonstrate AMACE's domain-agnostic applicability. Each use case defines a concrete problem, maps the domain to the three-stratum model, and explains how AMACE produces an insight that no existing tool can.</w:t>
      </w:r>
    </w:p>
    <w:p>
      <w:pPr>
        <w:spacing w:after="60"/>
      </w:pPr>
    </w:p>
    <w:p>
      <w:pPr>
        <w:pStyle w:val="Heading2"/>
        <w:spacing w:after="160" w:before="300"/>
      </w:pPr>
      <w:r>
        <w:rPr>
          <w:rFonts w:ascii="Arial" w:cs="Arial" w:eastAsia="Arial" w:hAnsi="Arial"/>
          <w:b/>
          <w:bCs/>
          <w:color w:val="0F2B46"/>
          <w:sz w:val="28"/>
          <w:szCs w:val="28"/>
        </w:rPr>
        <w:t xml:space="preserve">4.1 Use Case 1: Telecommunications Network — Cascading Service Degradation</w:t>
      </w:r>
    </w:p>
    <w:p>
      <w:pPr>
        <w:pStyle w:val="Heading3"/>
        <w:spacing w:after="120" w:before="240"/>
      </w:pPr>
      <w:r>
        <w:rPr>
          <w:rFonts w:ascii="Arial" w:cs="Arial" w:eastAsia="Arial" w:hAnsi="Arial"/>
          <w:b/>
          <w:bCs/>
          <w:color w:val="1A6FB5"/>
          <w:sz w:val="24"/>
          <w:szCs w:val="24"/>
        </w:rPr>
        <w:t xml:space="preserve">4.1.1 Problem Statement</w:t>
      </w:r>
    </w:p>
    <w:p>
      <w:pPr>
        <w:spacing w:after="140" w:line="276"/>
        <w:jc w:val="left"/>
      </w:pPr>
      <w:r>
        <w:rPr>
          <w:rFonts w:ascii="Arial" w:cs="Arial" w:eastAsia="Arial" w:hAnsi="Arial"/>
          <w:b w:val="false"/>
          <w:bCs w:val="false"/>
          <w:i w:val="false"/>
          <w:iCs w:val="false"/>
          <w:color w:val="1C2833"/>
          <w:sz w:val="22"/>
          <w:szCs w:val="22"/>
        </w:rPr>
        <w:t xml:space="preserve">A telecommunications provider operates a 5G network serving 12 million subscribers across 4,000 cell towers. On a Tuesday afternoon, subscriber complaints about video streaming buffering increase 340%. The Network Operations Center (NOC) sees dozens of independent alerts across different tools: radio access network (RAN) monitors show increased retransmissions, core network monitors show packet loss, and the subscriber experience management (SEM) platform shows declining QoE scores. Three separate teams investigate independently and spend 14 hours before discovering the alerts are connected. The root cause — a firmware update on edge routers in the Chicago region — is found only after an engineer manually correlates timestamps across four dashboards.</w:t>
      </w:r>
    </w:p>
    <w:p>
      <w:pPr>
        <w:pStyle w:val="Heading3"/>
        <w:spacing w:after="120" w:before="240"/>
      </w:pPr>
      <w:r>
        <w:rPr>
          <w:rFonts w:ascii="Arial" w:cs="Arial" w:eastAsia="Arial" w:hAnsi="Arial"/>
          <w:b/>
          <w:bCs/>
          <w:color w:val="1A6FB5"/>
          <w:sz w:val="24"/>
          <w:szCs w:val="24"/>
        </w:rPr>
        <w:t xml:space="preserve">4.1.2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Telecom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Data Examples</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Raw network telemetry: packet captures, SNMP counters, syslog events, CDR (call detail records), RAN KPIs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Retransmission rate = 14.7% (baseline 2.1%), packet loss events on Chicago edge routers, firmware update event log entry at 14:02 UTC</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Computed network features: latency distributions, jitter percentiles, throughput aggregations, subscriber session quality scores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p95 latency shifted from 23ms to 187ms for Chicago region, session drop rate = 8.4% (baseline 1.2%), video buffering ratio = 34% (baseline 3%)</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ML model outputs: congestion prediction scores, anomaly detection classifications, churn risk scores, capacity planning forecasts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Congestion model predicting 92% probability of degradation for 847 cells, churn model flagging 23,000 subscribers as elevated risk, SEM QoE model scores dropped from 4.2 to 1.8</w:t>
            </w:r>
          </w:p>
        </w:tc>
      </w:tr>
    </w:tbl>
    <w:p>
      <w:pPr>
        <w:pStyle w:val="Heading3"/>
        <w:spacing w:after="120" w:before="240"/>
      </w:pPr>
      <w:r>
        <w:rPr>
          <w:rFonts w:ascii="Arial" w:cs="Arial" w:eastAsia="Arial" w:hAnsi="Arial"/>
          <w:b/>
          <w:bCs/>
          <w:color w:val="1A6FB5"/>
          <w:sz w:val="24"/>
          <w:szCs w:val="24"/>
        </w:rPr>
        <w:t xml:space="preserve">4.1.3 How AMACE Solves This</w:t>
      </w:r>
    </w:p>
    <w:p>
      <w:pPr>
        <w:spacing w:after="140" w:line="276"/>
        <w:jc w:val="left"/>
      </w:pPr>
      <w:r>
        <w:rPr>
          <w:rFonts w:ascii="Arial" w:cs="Arial" w:eastAsia="Arial" w:hAnsi="Arial"/>
          <w:b/>
          <w:bCs/>
          <w:color w:val="1C2833"/>
          <w:sz w:val="22"/>
          <w:szCs w:val="22"/>
        </w:rPr>
        <w:t xml:space="preserve">SSIE </w:t>
      </w:r>
      <w:r>
        <w:rPr>
          <w:rFonts w:ascii="Arial" w:cs="Arial" w:eastAsia="Arial" w:hAnsi="Arial"/>
          <w:color w:val="1C2833"/>
          <w:sz w:val="22"/>
          <w:szCs w:val="22"/>
        </w:rPr>
        <w:t xml:space="preserve">auto-discovers: IMSI and cell_tower_id are entity identifiers, region/cell_sector/equipment_type are dimensions, latency/packet_loss/retransmission are metrics. Zero configuration.</w:t>
      </w:r>
    </w:p>
    <w:p>
      <w:pPr>
        <w:spacing w:after="140" w:line="276"/>
        <w:jc w:val="left"/>
      </w:pPr>
      <w:r>
        <w:rPr>
          <w:rFonts w:ascii="Arial" w:cs="Arial" w:eastAsia="Arial" w:hAnsi="Arial"/>
          <w:b/>
          <w:bCs/>
          <w:color w:val="1C2833"/>
          <w:sz w:val="22"/>
          <w:szCs w:val="22"/>
        </w:rPr>
        <w:t xml:space="preserve">SADD </w:t>
      </w:r>
      <w:r>
        <w:rPr>
          <w:rFonts w:ascii="Arial" w:cs="Arial" w:eastAsia="Arial" w:hAnsi="Arial"/>
          <w:color w:val="1C2833"/>
          <w:sz w:val="22"/>
          <w:szCs w:val="22"/>
        </w:rPr>
        <w:t xml:space="preserve">independently detects: 47 DSTs in S₀ (retransmission spikes, firmware events, packet loss), 23 DSTs in S₁ (latency shifts, session quality drops), 8 DSTs in S₂ (congestion predictions, churn risk elevations). Each converted to standard DST format.</w:t>
      </w:r>
    </w:p>
    <w:p>
      <w:pPr>
        <w:spacing w:after="140" w:line="276"/>
        <w:jc w:val="left"/>
      </w:pPr>
      <w:r>
        <w:rPr>
          <w:rFonts w:ascii="Arial" w:cs="Arial" w:eastAsia="Arial" w:hAnsi="Arial"/>
          <w:b/>
          <w:bCs/>
          <w:color w:val="1C2833"/>
          <w:sz w:val="22"/>
          <w:szCs w:val="22"/>
        </w:rPr>
        <w:t xml:space="preserve">ERD </w:t>
      </w:r>
      <w:r>
        <w:rPr>
          <w:rFonts w:ascii="Arial" w:cs="Arial" w:eastAsia="Arial" w:hAnsi="Arial"/>
          <w:color w:val="1C2833"/>
          <w:sz w:val="22"/>
          <w:szCs w:val="22"/>
        </w:rPr>
        <w:t xml:space="preserve">identifies the precise slice: region=Chicago × equipment_type=edge_router × firmware_version=v3.2.1. MDL score: 12,847 bits (highly informative). Pruning efficiency: 99.94% of dimensional combinations eliminated.</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correlates the S₀ firmware event with S₁ latency shift (α=0.94 entity coincidence, β=0.87 temporal precedence, γ=1.0 dimensional coherence, δ=0.72 semantic affinity) and chains to S₂ churn risk elevation. Overall correlation score: 0.91.</w:t>
      </w:r>
    </w:p>
    <w:p>
      <w:pPr>
        <w:spacing w:after="140" w:line="276"/>
        <w:jc w:val="left"/>
      </w:pPr>
      <w:r>
        <w:rPr>
          <w:rFonts w:ascii="Arial" w:cs="Arial" w:eastAsia="Arial" w:hAnsi="Arial"/>
          <w:b/>
          <w:bCs/>
          <w:color w:val="1C2833"/>
          <w:sz w:val="22"/>
          <w:szCs w:val="22"/>
        </w:rPr>
        <w:t xml:space="preserve">CAP </w:t>
      </w:r>
      <w:r>
        <w:rPr>
          <w:rFonts w:ascii="Arial" w:cs="Arial" w:eastAsia="Arial" w:hAnsi="Arial"/>
          <w:color w:val="1C2833"/>
          <w:sz w:val="22"/>
          <w:szCs w:val="22"/>
        </w:rPr>
        <w:t xml:space="preserve">validates: Exclusivity test passes (removing firmware event eliminates downstream anomalies). Sufficiency test passes (firmware event alone predicts latency shift within confidence bounds). Minimality test confirms firmware event is the root cause — no additional factors required.</w:t>
      </w:r>
    </w:p>
    <w:p>
      <w:pPr>
        <w:spacing w:after="140" w:line="276"/>
        <w:jc w:val="left"/>
      </w:pPr>
      <w:r>
        <w:rPr>
          <w:rFonts w:ascii="Arial" w:cs="Arial" w:eastAsia="Arial" w:hAnsi="Arial"/>
          <w:b/>
          <w:bCs/>
          <w:color w:val="1C2833"/>
          <w:sz w:val="22"/>
          <w:szCs w:val="22"/>
        </w:rPr>
        <w:t xml:space="preserve">CIGS </w:t>
      </w:r>
      <w:r>
        <w:rPr>
          <w:rFonts w:ascii="Arial" w:cs="Arial" w:eastAsia="Arial" w:hAnsi="Arial"/>
          <w:color w:val="1C2833"/>
          <w:sz w:val="22"/>
          <w:szCs w:val="22"/>
        </w:rPr>
        <w:t xml:space="preserve">outputs causal insight graph: firmware_update(v3.2.1) → retransmission_spike → latency_shift → session_quality_drop → churn_risk_elevation. Affected: 23,000 subscribers on 847 cells in Chicago. Recommended action: rollback firmware on Chicago edge routers.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RESULT</w:t>
            </w:r>
          </w:p>
          <w:p>
            <w:pPr>
              <w:spacing w:after="0" w:line="276"/>
            </w:pPr>
            <w:r>
              <w:rPr>
                <w:rFonts w:ascii="Arial" w:cs="Arial" w:eastAsia="Arial" w:hAnsi="Arial"/>
                <w:color w:val="0F2B46"/>
                <w:sz w:val="20"/>
                <w:szCs w:val="20"/>
              </w:rPr>
              <w:t xml:space="preserve">Time to root cause: 4.2 minutes (vs. 14 hours manual). Affected population identified automatically. Remediation recommendation generated. NOC team never existed in AMACE's configuration — zero setup.</w:t>
            </w:r>
          </w:p>
        </w:tc>
      </w:tr>
    </w:tbl>
    <w:p>
      <w:r>
        <w:br w:type="page"/>
      </w:r>
    </w:p>
    <w:p>
      <w:pPr>
        <w:pStyle w:val="Heading2"/>
        <w:spacing w:after="160" w:before="300"/>
      </w:pPr>
      <w:r>
        <w:rPr>
          <w:rFonts w:ascii="Arial" w:cs="Arial" w:eastAsia="Arial" w:hAnsi="Arial"/>
          <w:b/>
          <w:bCs/>
          <w:color w:val="0F2B46"/>
          <w:sz w:val="28"/>
          <w:szCs w:val="28"/>
        </w:rPr>
        <w:t xml:space="preserve">4.2 Use Case 2: Mobile Application Platform — Silent Revenue Loss</w:t>
      </w:r>
    </w:p>
    <w:p>
      <w:pPr>
        <w:pStyle w:val="Heading3"/>
        <w:spacing w:after="120" w:before="240"/>
      </w:pPr>
      <w:r>
        <w:rPr>
          <w:rFonts w:ascii="Arial" w:cs="Arial" w:eastAsia="Arial" w:hAnsi="Arial"/>
          <w:b/>
          <w:bCs/>
          <w:color w:val="1A6FB5"/>
          <w:sz w:val="24"/>
          <w:szCs w:val="24"/>
        </w:rPr>
        <w:t xml:space="preserve">4.2.1 Problem Statement</w:t>
      </w:r>
    </w:p>
    <w:p>
      <w:pPr>
        <w:spacing w:after="140" w:line="276"/>
        <w:jc w:val="left"/>
      </w:pPr>
      <w:r>
        <w:rPr>
          <w:rFonts w:ascii="Arial" w:cs="Arial" w:eastAsia="Arial" w:hAnsi="Arial"/>
          <w:b w:val="false"/>
          <w:bCs w:val="false"/>
          <w:i w:val="false"/>
          <w:iCs w:val="false"/>
          <w:color w:val="1C2833"/>
          <w:sz w:val="22"/>
          <w:szCs w:val="22"/>
        </w:rPr>
        <w:t xml:space="preserve">A streaming media company operates a mobile application with 85 million monthly active users across iOS and Android. After a routine backend deployment, no alerts fire — all individual dashboards show green. However, over the next 72 hours, daily revenue drops 8% ($2.4M). The cause is invisible to every monitoring tool because no single metric breaches its threshold. The actual problem: a subtle change in the recommendation API response time (from 120ms to 380ms on specific Android devices) causes the recommendation carousel to render after the user has already scrolled past it, reducing discovery of premium content. Each stratum saw minor shifts that individually were within tolerance but collectively caused massive revenue impact.</w:t>
      </w:r>
    </w:p>
    <w:p>
      <w:pPr>
        <w:pStyle w:val="Heading3"/>
        <w:spacing w:after="120" w:before="240"/>
      </w:pPr>
      <w:r>
        <w:rPr>
          <w:rFonts w:ascii="Arial" w:cs="Arial" w:eastAsia="Arial" w:hAnsi="Arial"/>
          <w:b/>
          <w:bCs/>
          <w:color w:val="1A6FB5"/>
          <w:sz w:val="24"/>
          <w:szCs w:val="24"/>
        </w:rPr>
        <w:t xml:space="preserve">4.2.2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Mobile App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Data Examples</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Raw telemetry: API response logs, screen render events, user interaction events, crash reports, network request traces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Recommendation API p95 latency: 380ms (baseline 120ms), carousel render event timestamp shifted +260ms, scroll-past-carousel rate: 67% (baseline 23%)</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Computed engagement features: session depth, content discovery rate, recommendation click-through rate, revenue per session metrics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Recommendation CTR dropped from 12.3% to 4.1%, premium content discovery rate: -34%, revenue per session: -$0.08</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ML model outputs: churn prediction, content recommendation scores, lifetime value predictions, A/B test uplift models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Recommendation model confidence dropped 22%, LTV prediction shifted downward for Android cohort, A/B test uplift model shows no statistically significant difference (masking the problem)</w:t>
            </w:r>
          </w:p>
        </w:tc>
      </w:tr>
    </w:tbl>
    <w:p>
      <w:pPr>
        <w:pStyle w:val="Heading3"/>
        <w:spacing w:after="120" w:before="240"/>
      </w:pPr>
      <w:r>
        <w:rPr>
          <w:rFonts w:ascii="Arial" w:cs="Arial" w:eastAsia="Arial" w:hAnsi="Arial"/>
          <w:b/>
          <w:bCs/>
          <w:color w:val="1A6FB5"/>
          <w:sz w:val="24"/>
          <w:szCs w:val="24"/>
        </w:rPr>
        <w:t xml:space="preserve">4.2.3 How AMACE Solves This</w:t>
      </w:r>
    </w:p>
    <w:p>
      <w:pPr>
        <w:spacing w:after="140" w:line="276"/>
        <w:jc w:val="left"/>
      </w:pPr>
      <w:r>
        <w:rPr>
          <w:rFonts w:ascii="Arial" w:cs="Arial" w:eastAsia="Arial" w:hAnsi="Arial"/>
          <w:b w:val="false"/>
          <w:bCs w:val="false"/>
          <w:i w:val="false"/>
          <w:iCs w:val="false"/>
          <w:color w:val="1C2833"/>
          <w:sz w:val="22"/>
          <w:szCs w:val="22"/>
        </w:rPr>
        <w:t xml:space="preserve">This is the critical case that demonstrates AMACE's unique value: detecting correlated anomalies that individually fall below detection thresholds.</w:t>
      </w:r>
    </w:p>
    <w:p>
      <w:pPr>
        <w:spacing w:after="140" w:line="276"/>
        <w:jc w:val="left"/>
      </w:pPr>
      <w:r>
        <w:rPr>
          <w:rFonts w:ascii="Arial" w:cs="Arial" w:eastAsia="Arial" w:hAnsi="Arial"/>
          <w:b/>
          <w:bCs/>
          <w:color w:val="1C2833"/>
          <w:sz w:val="22"/>
          <w:szCs w:val="22"/>
        </w:rPr>
        <w:t xml:space="preserve">SADD </w:t>
      </w:r>
      <w:r>
        <w:rPr>
          <w:rFonts w:ascii="Arial" w:cs="Arial" w:eastAsia="Arial" w:hAnsi="Arial"/>
          <w:color w:val="1C2833"/>
          <w:sz w:val="22"/>
          <w:szCs w:val="22"/>
        </w:rPr>
        <w:t xml:space="preserve">detects sub-threshold deviations using its adaptive method: the API latency increase (120ms → 380ms) is detected as a PSI shift in S₀ even though it falls below the "outage" threshold. The CTR drop in S₁ is detected as statistically significant even though it's within historical variance. The LTV shift in S₂ is detected by the prediction interval monitor.</w:t>
      </w:r>
    </w:p>
    <w:p>
      <w:pPr>
        <w:spacing w:after="140" w:line="276"/>
        <w:jc w:val="left"/>
      </w:pPr>
      <w:r>
        <w:rPr>
          <w:rFonts w:ascii="Arial" w:cs="Arial" w:eastAsia="Arial" w:hAnsi="Arial"/>
          <w:b/>
          <w:bCs/>
          <w:color w:val="1C2833"/>
          <w:sz w:val="22"/>
          <w:szCs w:val="22"/>
        </w:rPr>
        <w:t xml:space="preserve">ERD </w:t>
      </w:r>
      <w:r>
        <w:rPr>
          <w:rFonts w:ascii="Arial" w:cs="Arial" w:eastAsia="Arial" w:hAnsi="Arial"/>
          <w:color w:val="1C2833"/>
          <w:sz w:val="22"/>
          <w:szCs w:val="22"/>
        </w:rPr>
        <w:t xml:space="preserve">localizes: platform=Android × API=recommendation × device_tier=mid-range. These are the devices where the render timing is most affected by the latency increase.</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discovers the causal chain: API_latency_increase → carousel_render_delay → CTR_drop → revenue_per_session_decline → LTV_shift. Entity coincidence is extremely high (α=0.97) because the exact same users experienced all effects.</w:t>
      </w:r>
    </w:p>
    <w:p>
      <w:pPr>
        <w:spacing w:after="140" w:line="276"/>
        <w:jc w:val="left"/>
      </w:pPr>
      <w:r>
        <w:rPr>
          <w:rFonts w:ascii="Arial" w:cs="Arial" w:eastAsia="Arial" w:hAnsi="Arial"/>
          <w:b/>
          <w:bCs/>
          <w:color w:val="1C2833"/>
          <w:sz w:val="22"/>
          <w:szCs w:val="22"/>
        </w:rPr>
        <w:t xml:space="preserve">CAP </w:t>
      </w:r>
      <w:r>
        <w:rPr>
          <w:rFonts w:ascii="Arial" w:cs="Arial" w:eastAsia="Arial" w:hAnsi="Arial"/>
          <w:color w:val="1C2833"/>
          <w:sz w:val="22"/>
          <w:szCs w:val="22"/>
        </w:rPr>
        <w:t xml:space="preserve">confirms: removing the API latency DST from the analysis dissolves all downstream correlations. The chain is causal, not coincidental.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RESULT</w:t>
            </w:r>
          </w:p>
          <w:p>
            <w:pPr>
              <w:spacing w:after="0" w:line="276"/>
            </w:pPr>
            <w:r>
              <w:rPr>
                <w:rFonts w:ascii="Arial" w:cs="Arial" w:eastAsia="Arial" w:hAnsi="Arial"/>
                <w:color w:val="0F2B46"/>
                <w:sz w:val="20"/>
                <w:szCs w:val="20"/>
              </w:rPr>
              <w:t xml:space="preserve">AMACE detects a $2.4M/day revenue loss that NO individual monitoring tool caught because no single metric breached its threshold. The cross-stratum correlation reveals the invisible causal chain. Time to insight: 12 minutes after deployment. Estimated savings: $7.2M over the 72 hours that the problem would have persisted undetected.</w:t>
            </w:r>
          </w:p>
        </w:tc>
      </w:tr>
    </w:tbl>
    <w:p>
      <w:r>
        <w:br w:type="page"/>
      </w:r>
    </w:p>
    <w:p>
      <w:pPr>
        <w:pStyle w:val="Heading2"/>
        <w:spacing w:after="160" w:before="300"/>
      </w:pPr>
      <w:r>
        <w:rPr>
          <w:rFonts w:ascii="Arial" w:cs="Arial" w:eastAsia="Arial" w:hAnsi="Arial"/>
          <w:b/>
          <w:bCs/>
          <w:color w:val="0F2B46"/>
          <w:sz w:val="28"/>
          <w:szCs w:val="28"/>
        </w:rPr>
        <w:t xml:space="preserve">4.3 Use Case 3: Cloud Infrastructure — Cascading Failure with Anti-Correlation</w:t>
      </w:r>
    </w:p>
    <w:p>
      <w:pPr>
        <w:pStyle w:val="Heading3"/>
        <w:spacing w:after="120" w:before="240"/>
      </w:pPr>
      <w:r>
        <w:rPr>
          <w:rFonts w:ascii="Arial" w:cs="Arial" w:eastAsia="Arial" w:hAnsi="Arial"/>
          <w:b/>
          <w:bCs/>
          <w:color w:val="1A6FB5"/>
          <w:sz w:val="24"/>
          <w:szCs w:val="24"/>
        </w:rPr>
        <w:t xml:space="preserve">4.3.1 Problem Statement</w:t>
      </w:r>
    </w:p>
    <w:p>
      <w:pPr>
        <w:spacing w:after="140" w:line="276"/>
        <w:jc w:val="left"/>
      </w:pPr>
      <w:r>
        <w:rPr>
          <w:rFonts w:ascii="Arial" w:cs="Arial" w:eastAsia="Arial" w:hAnsi="Arial"/>
          <w:b w:val="false"/>
          <w:bCs w:val="false"/>
          <w:i w:val="false"/>
          <w:iCs w:val="false"/>
          <w:color w:val="1C2833"/>
          <w:sz w:val="22"/>
          <w:szCs w:val="22"/>
        </w:rPr>
        <w:t xml:space="preserve">A SaaS company runs a microservices architecture on Kubernetes with 340 services and 2,800 pods. A configuration change to the shared Redis cluster introduces a subtle memory leak that only manifests under concurrent access patterns from 3 specific services. Over 6 hours, intermittent failures cascade: first Redis latency increases, then the services that depend on Redis begin timing out, then the services that depend on THOSE services fail, creating a cascade that eventually brings down the checkout flow. Traditional monitoring sees 200+ independent alerts and cannot determine causal ordering.</w:t>
      </w:r>
    </w:p>
    <w:p>
      <w:pPr>
        <w:pStyle w:val="Heading3"/>
        <w:spacing w:after="120" w:before="240"/>
      </w:pPr>
      <w:r>
        <w:rPr>
          <w:rFonts w:ascii="Arial" w:cs="Arial" w:eastAsia="Arial" w:hAnsi="Arial"/>
          <w:b/>
          <w:bCs/>
          <w:color w:val="1A6FB5"/>
          <w:sz w:val="24"/>
          <w:szCs w:val="24"/>
        </w:rPr>
        <w:t xml:space="preserve">4.3.2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Cloud Infrastructure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Data Examples</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Raw system events: Kubernetes events, application logs, deployment records, configuration change audit logs, Redis command logs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Redis SLOWLOG entries increasing, pod restart events for payment-service, config-change event for Redis at 09:17 UTC</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Computed infrastructure features: request latency percentiles, error rates, pod CPU/memory utilization, queue depths, connection pool utilization</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Redis p99 latency: 45ms → 2,300ms, payment-service error rate: 0.1% → 34%, connection pool exhaustion on 3 services</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ML model outputs: autoscaling decisions, incident probability predictions, change risk assessments, capacity forecasts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Incident prediction model: 94% probability of P1 incident, autoscaler recommends 3x pod scaling (but root cause is not load), change risk model retroactively scores Redis config change as high-risk</w:t>
            </w:r>
          </w:p>
        </w:tc>
      </w:tr>
    </w:tbl>
    <w:p>
      <w:pPr>
        <w:pStyle w:val="Heading3"/>
        <w:spacing w:after="120" w:before="240"/>
      </w:pPr>
      <w:r>
        <w:rPr>
          <w:rFonts w:ascii="Arial" w:cs="Arial" w:eastAsia="Arial" w:hAnsi="Arial"/>
          <w:b/>
          <w:bCs/>
          <w:color w:val="1A6FB5"/>
          <w:sz w:val="24"/>
          <w:szCs w:val="24"/>
        </w:rPr>
        <w:t xml:space="preserve">4.3.3 How AMACE Solves This — Including Anti-Correlation Detection</w:t>
      </w:r>
    </w:p>
    <w:p>
      <w:pPr>
        <w:spacing w:after="140" w:line="276"/>
        <w:jc w:val="left"/>
      </w:pPr>
      <w:r>
        <w:rPr>
          <w:rFonts w:ascii="Arial" w:cs="Arial" w:eastAsia="Arial" w:hAnsi="Arial"/>
          <w:b w:val="false"/>
          <w:bCs w:val="false"/>
          <w:i w:val="false"/>
          <w:iCs w:val="false"/>
          <w:color w:val="1C2833"/>
          <w:sz w:val="22"/>
          <w:szCs w:val="22"/>
        </w:rPr>
        <w:t xml:space="preserve">AMACE's unique contribution here is anti-correlation detection: identifying what SHOULD have happened but DID NOT.</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builds the causal chain: Redis_config_change → Redis_latency_spike → payment_service_timeout → checkout_cascade_failure.</w:t>
      </w:r>
    </w:p>
    <w:p>
      <w:pPr>
        <w:spacing w:after="140" w:line="276"/>
        <w:jc w:val="left"/>
      </w:pPr>
      <w:r>
        <w:rPr>
          <w:rFonts w:ascii="Arial" w:cs="Arial" w:eastAsia="Arial" w:hAnsi="Arial"/>
          <w:b/>
          <w:bCs/>
          <w:color w:val="1C2833"/>
          <w:sz w:val="22"/>
          <w:szCs w:val="22"/>
        </w:rPr>
        <w:t xml:space="preserve">Anti-Correlation Detection: </w:t>
      </w:r>
      <w:r>
        <w:rPr>
          <w:rFonts w:ascii="Arial" w:cs="Arial" w:eastAsia="Arial" w:hAnsi="Arial"/>
          <w:color w:val="1C2833"/>
          <w:sz w:val="22"/>
          <w:szCs w:val="22"/>
        </w:rPr>
        <w:t xml:space="preserve">The PPE's anti-correlation module detects that the autoscaler SHOULD have triggered horizontal pod autoscaling when latency breached its threshold, but DID NOT. This missing expected correlation reveals a second bug: the autoscaler's health check is polling the wrong endpoint, so it never sees the degradation. AMACE reports two findings: (1) the Redis memory leak root cause, and (2) a previously unknown autoscaler misconfiguration.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RESULT</w:t>
            </w:r>
          </w:p>
          <w:p>
            <w:pPr>
              <w:spacing w:after="0" w:line="276"/>
            </w:pPr>
            <w:r>
              <w:rPr>
                <w:rFonts w:ascii="Arial" w:cs="Arial" w:eastAsia="Arial" w:hAnsi="Arial"/>
                <w:color w:val="0F2B46"/>
                <w:sz w:val="20"/>
                <w:szCs w:val="20"/>
              </w:rPr>
              <w:t xml:space="preserve">AMACE discovers both the root cause (Redis config change) AND a latent infrastructure bug (autoscaler misconfiguration) that no team was investigating. Time to dual-insight: 8 minutes. Without AMACE: estimated 4-6 hours for root cause, autoscaler bug never discovered.</w:t>
            </w:r>
          </w:p>
        </w:tc>
      </w:tr>
    </w:tbl>
    <w:p>
      <w:r>
        <w:br w:type="page"/>
      </w:r>
    </w:p>
    <w:p>
      <w:pPr>
        <w:pStyle w:val="Heading2"/>
        <w:spacing w:after="160" w:before="300"/>
      </w:pPr>
      <w:r>
        <w:rPr>
          <w:rFonts w:ascii="Arial" w:cs="Arial" w:eastAsia="Arial" w:hAnsi="Arial"/>
          <w:b/>
          <w:bCs/>
          <w:color w:val="0F2B46"/>
          <w:sz w:val="28"/>
          <w:szCs w:val="28"/>
        </w:rPr>
        <w:t xml:space="preserve">4.4 Use Case 4: Financial Trading Platform — Cross-Asset Anomaly</w:t>
      </w:r>
    </w:p>
    <w:p>
      <w:pPr>
        <w:pStyle w:val="Heading3"/>
        <w:spacing w:after="120" w:before="240"/>
      </w:pPr>
      <w:r>
        <w:rPr>
          <w:rFonts w:ascii="Arial" w:cs="Arial" w:eastAsia="Arial" w:hAnsi="Arial"/>
          <w:b/>
          <w:bCs/>
          <w:color w:val="1A6FB5"/>
          <w:sz w:val="24"/>
          <w:szCs w:val="24"/>
        </w:rPr>
        <w:t xml:space="preserve">4.4.1 Problem Statement</w:t>
      </w:r>
    </w:p>
    <w:p>
      <w:pPr>
        <w:spacing w:after="140" w:line="276"/>
        <w:jc w:val="left"/>
      </w:pPr>
      <w:r>
        <w:rPr>
          <w:rFonts w:ascii="Arial" w:cs="Arial" w:eastAsia="Arial" w:hAnsi="Arial"/>
          <w:b w:val="false"/>
          <w:bCs w:val="false"/>
          <w:i w:val="false"/>
          <w:iCs w:val="false"/>
          <w:color w:val="1C2833"/>
          <w:sz w:val="22"/>
          <w:szCs w:val="22"/>
        </w:rPr>
        <w:t xml:space="preserve">A quantitative trading firm operates algorithmic strategies across equities, fixed income, and commodities. During a volatile market session, the risk management system generates 47 independent alerts across different asset classes. The risk team must determine within minutes which alerts represent genuine correlated risk exposures versus coincidental threshold breaches from normal volatility. Misclassification in either direction is catastrophic: missing a genuine correlation causes unhedged exposure; treating coincidental alerts as correlated causes unnecessary position liquidation (at enormous cost).</w:t>
      </w:r>
    </w:p>
    <w:p>
      <w:pPr>
        <w:pStyle w:val="Heading3"/>
        <w:spacing w:after="120" w:before="240"/>
      </w:pPr>
      <w:r>
        <w:rPr>
          <w:rFonts w:ascii="Arial" w:cs="Arial" w:eastAsia="Arial" w:hAnsi="Arial"/>
          <w:b/>
          <w:bCs/>
          <w:color w:val="1A6FB5"/>
          <w:sz w:val="24"/>
          <w:szCs w:val="24"/>
        </w:rPr>
        <w:t xml:space="preserve">4.4.2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Financial Platform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Data Examples</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Raw market data: trade execution records, order book snapshots, market data ticks, FIX protocol messages, news feed events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VIX spike event, Treasury yield curve inversion tick, commodity futures volume surge, Reuters news wire event: "Fed chair unexpected statement"</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Computed risk features: volatility surfaces, Greeks, correlation matrices, liquidity metrics, sector exposure concentrations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Equity portfolio delta shifted +340%, cross-asset correlation matrix eigenvalue concentration increased (systemic risk indicator), sector exposure to financials breached limit</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ML model outputs: VaR estimates, stress test results, trade recommendation signals, regime detection classifiers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VaR model breached 99.5th percentile, regime classifier shifted from "normal" to "crisis", 12 strategy signals simultaneously reversed</w:t>
            </w:r>
          </w:p>
        </w:tc>
      </w:tr>
    </w:tbl>
    <w:p>
      <w:pPr>
        <w:pStyle w:val="Heading3"/>
        <w:spacing w:after="120" w:before="240"/>
      </w:pPr>
      <w:r>
        <w:rPr>
          <w:rFonts w:ascii="Arial" w:cs="Arial" w:eastAsia="Arial" w:hAnsi="Arial"/>
          <w:b/>
          <w:bCs/>
          <w:color w:val="1A6FB5"/>
          <w:sz w:val="24"/>
          <w:szCs w:val="24"/>
        </w:rPr>
        <w:t xml:space="preserve">4.4.3 How AMACE Solves This</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correlates the Fed news event (S₀) with Treasury yield curve shift (S₁) with strategy signal reversals (S₂). Entity coincidence: the same set of instruments appears across all three strata. Temporal precedence: news event preceded yield shift by 2.3 seconds, which preceded strategy reversals by 14 seconds — consistent with market microstructure propagation delays.</w:t>
      </w:r>
    </w:p>
    <w:p>
      <w:pPr>
        <w:spacing w:after="140" w:line="276"/>
        <w:jc w:val="left"/>
      </w:pPr>
      <w:r>
        <w:rPr>
          <w:rFonts w:ascii="Arial" w:cs="Arial" w:eastAsia="Arial" w:hAnsi="Arial"/>
          <w:b/>
          <w:bCs/>
          <w:color w:val="1C2833"/>
          <w:sz w:val="22"/>
          <w:szCs w:val="22"/>
        </w:rPr>
        <w:t xml:space="preserve">CAP validates: </w:t>
      </w:r>
      <w:r>
        <w:rPr>
          <w:rFonts w:ascii="Arial" w:cs="Arial" w:eastAsia="Arial" w:hAnsi="Arial"/>
          <w:color w:val="1C2833"/>
          <w:sz w:val="22"/>
          <w:szCs w:val="22"/>
        </w:rPr>
        <w:t xml:space="preserve">7 of the 47 alerts are genuinely correlated (caused by the Fed statement). The remaining 40 alerts are coincidental threshold breaches from normal volatility. AMACE prevents unnecessary liquidation of 40 positions while correctly identifying the 7 that require hedging 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RESULT</w:t>
            </w:r>
          </w:p>
          <w:p>
            <w:pPr>
              <w:spacing w:after="0" w:line="276"/>
            </w:pPr>
            <w:r>
              <w:rPr>
                <w:rFonts w:ascii="Arial" w:cs="Arial" w:eastAsia="Arial" w:hAnsi="Arial"/>
                <w:color w:val="0F2B46"/>
                <w:sz w:val="20"/>
                <w:szCs w:val="20"/>
              </w:rPr>
              <w:t xml:space="preserve">AMACE separates genuine systemic risk (7 alerts) from noise (40 alerts) in 23 seconds. Without AMACE: risk team either liquidates all 47 positions (estimated unnecessary trading cost: $4.7M) or spends 45 minutes manually triaging (during which unhedged exposure accumulates).</w:t>
            </w:r>
          </w:p>
        </w:tc>
      </w:tr>
    </w:tbl>
    <w:p>
      <w:r>
        <w:br w:type="page"/>
      </w:r>
    </w:p>
    <w:p>
      <w:pPr>
        <w:pStyle w:val="Heading2"/>
        <w:spacing w:after="160" w:before="300"/>
      </w:pPr>
      <w:r>
        <w:rPr>
          <w:rFonts w:ascii="Arial" w:cs="Arial" w:eastAsia="Arial" w:hAnsi="Arial"/>
          <w:b/>
          <w:bCs/>
          <w:color w:val="0F2B46"/>
          <w:sz w:val="28"/>
          <w:szCs w:val="28"/>
        </w:rPr>
        <w:t xml:space="preserve">4.5 Use Case 5: Healthcare Clinical System — Adverse Event Detection</w:t>
      </w:r>
    </w:p>
    <w:p>
      <w:pPr>
        <w:pStyle w:val="Heading3"/>
        <w:spacing w:after="120" w:before="240"/>
      </w:pPr>
      <w:r>
        <w:rPr>
          <w:rFonts w:ascii="Arial" w:cs="Arial" w:eastAsia="Arial" w:hAnsi="Arial"/>
          <w:b/>
          <w:bCs/>
          <w:color w:val="1A6FB5"/>
          <w:sz w:val="24"/>
          <w:szCs w:val="24"/>
        </w:rPr>
        <w:t xml:space="preserve">4.5.1 Problem Statement</w:t>
      </w:r>
    </w:p>
    <w:p>
      <w:pPr>
        <w:spacing w:after="140" w:line="276"/>
        <w:jc w:val="left"/>
      </w:pPr>
      <w:r>
        <w:rPr>
          <w:rFonts w:ascii="Arial" w:cs="Arial" w:eastAsia="Arial" w:hAnsi="Arial"/>
          <w:b w:val="false"/>
          <w:bCs w:val="false"/>
          <w:i w:val="false"/>
          <w:iCs w:val="false"/>
          <w:color w:val="1C2833"/>
          <w:sz w:val="22"/>
          <w:szCs w:val="22"/>
        </w:rPr>
        <w:t xml:space="preserve">A hospital system operating 8 facilities implements a new electronic medication administration protocol. Over the following two weeks, three independent monitoring systems flag unrelated-seeming issues: the pharmacy system shows increased "override" events where nurses bypass recommended doses, the vital signs monitoring system shows elevated heart rate trends in post-surgical patients, and the readmission prediction model shows degraded accuracy for cardiac patients. Each department investigates its own alert independently. It takes 11 days before a pharmacy resident manually connects the dots: the new protocol's dosing calculation for a cardiac medication has a rounding error that systematically under-doses patients in a specific weight range.</w:t>
      </w:r>
    </w:p>
    <w:p>
      <w:pPr>
        <w:pStyle w:val="Heading3"/>
        <w:spacing w:after="120" w:before="240"/>
      </w:pPr>
      <w:r>
        <w:rPr>
          <w:rFonts w:ascii="Arial" w:cs="Arial" w:eastAsia="Arial" w:hAnsi="Arial"/>
          <w:b/>
          <w:bCs/>
          <w:color w:val="1A6FB5"/>
          <w:sz w:val="24"/>
          <w:szCs w:val="24"/>
        </w:rPr>
        <w:t xml:space="preserve">4.5.2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Healthcare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Data Examples</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Raw clinical events: medication administration records (MAR), vital sign captures, nursing override logs, lab result entries, protocol change audit logs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Override rate for cardiac meds: 12% → 34%, protocol change event logged for medication-admin-v2.1, heart rate readings elevated in 847 patients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Computed clinical features: patient acuity scores, medication adherence indices, vital sign trend summaries, complication risk factor distributions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Mean heart rate for post-surgical cardiac patients: 82bpm → 97bpm, medication adherence index dropped for weight-range 70-90kg, complication risk factor shifted</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ML model outputs: readmission risk predictions, sepsis early warning scores, drug interaction alerts, mortality risk estimates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Readmission model accuracy dropped 8% for cardiac cohort, sepsis model false positive rate increased, drug interaction model flagging unusual patterns</w:t>
            </w:r>
          </w:p>
        </w:tc>
      </w:tr>
    </w:tbl>
    <w:p>
      <w:pPr>
        <w:pStyle w:val="Heading3"/>
        <w:spacing w:after="120" w:before="240"/>
      </w:pPr>
      <w:r>
        <w:rPr>
          <w:rFonts w:ascii="Arial" w:cs="Arial" w:eastAsia="Arial" w:hAnsi="Arial"/>
          <w:b/>
          <w:bCs/>
          <w:color w:val="1A6FB5"/>
          <w:sz w:val="24"/>
          <w:szCs w:val="24"/>
        </w:rPr>
        <w:t xml:space="preserve">4.5.3 How AMACE Solves This</w:t>
      </w:r>
    </w:p>
    <w:p>
      <w:pPr>
        <w:spacing w:after="140" w:line="276"/>
        <w:jc w:val="left"/>
      </w:pPr>
      <w:r>
        <w:rPr>
          <w:rFonts w:ascii="Arial" w:cs="Arial" w:eastAsia="Arial" w:hAnsi="Arial"/>
          <w:b/>
          <w:bCs/>
          <w:color w:val="1C2833"/>
          <w:sz w:val="22"/>
          <w:szCs w:val="22"/>
        </w:rPr>
        <w:t xml:space="preserve">ERD </w:t>
      </w:r>
      <w:r>
        <w:rPr>
          <w:rFonts w:ascii="Arial" w:cs="Arial" w:eastAsia="Arial" w:hAnsi="Arial"/>
          <w:color w:val="1C2833"/>
          <w:sz w:val="22"/>
          <w:szCs w:val="22"/>
        </w:rPr>
        <w:t xml:space="preserve">identifies the precise patient slice: department=cardiac × procedure=post-surgical × weight_range=70-90kg × medication=metoprolol. This sub-population is where the dosing rounding error has clinical impact.</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chains: protocol_change_event → override_rate_increase → vital_sign_elevation → readmission_model_degradation. The temporal precedence exactly matches the protocol deployment timeline.</w:t>
      </w:r>
    </w:p>
    <w:p>
      <w:pPr>
        <w:spacing w:after="140" w:line="276"/>
        <w:jc w:val="left"/>
      </w:pPr>
      <w:r>
        <w:rPr>
          <w:rFonts w:ascii="Arial" w:cs="Arial" w:eastAsia="Arial" w:hAnsi="Arial"/>
          <w:b/>
          <w:bCs/>
          <w:color w:val="1C2833"/>
          <w:sz w:val="22"/>
          <w:szCs w:val="22"/>
        </w:rPr>
        <w:t xml:space="preserve">PPE predictive warning: </w:t>
      </w:r>
      <w:r>
        <w:rPr>
          <w:rFonts w:ascii="Arial" w:cs="Arial" w:eastAsia="Arial" w:hAnsi="Arial"/>
          <w:color w:val="1C2833"/>
          <w:sz w:val="22"/>
          <w:szCs w:val="22"/>
        </w:rPr>
        <w:t xml:space="preserve">If the PPE had been trained on historical data where medication protocol changes led to adverse outcomes, it would have issued a predictive warning as early as Day 2 when the first override rate increase was detected, 9 days before manual discovery.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RESULT</w:t>
            </w:r>
          </w:p>
          <w:p>
            <w:pPr>
              <w:spacing w:after="0" w:line="276"/>
            </w:pPr>
            <w:r>
              <w:rPr>
                <w:rFonts w:ascii="Arial" w:cs="Arial" w:eastAsia="Arial" w:hAnsi="Arial"/>
                <w:color w:val="0F2B46"/>
                <w:sz w:val="20"/>
                <w:szCs w:val="20"/>
              </w:rPr>
              <w:t xml:space="preserve">AMACE would identify the medication dosing error within 48 hours of protocol deployment (vs. 11 days manual). In a healthcare context, this 9-day acceleration directly translates to patient safety: 847 patients received sub-therapeutic doses during the detection gap. AMACE's cross-stratum correlation connects what appeared to be three unrelated problems in three different departments.</w:t>
            </w:r>
          </w:p>
        </w:tc>
      </w:tr>
    </w:tbl>
    <w:p>
      <w:r>
        <w:br w:type="page"/>
      </w:r>
    </w:p>
    <w:p>
      <w:pPr>
        <w:pStyle w:val="Heading1"/>
        <w:spacing w:after="200" w:before="400"/>
      </w:pPr>
      <w:r>
        <w:rPr>
          <w:rFonts w:ascii="Arial" w:cs="Arial" w:eastAsia="Arial" w:hAnsi="Arial"/>
          <w:b/>
          <w:bCs/>
          <w:color w:val="0F2B46"/>
          <w:sz w:val="32"/>
          <w:szCs w:val="32"/>
        </w:rPr>
        <w:t xml:space="preserve">5. Patent Claims — Optimized for Defensibility</w:t>
      </w:r>
    </w:p>
    <w:p>
      <w:pPr>
        <w:spacing w:after="140" w:line="276"/>
        <w:jc w:val="left"/>
      </w:pPr>
      <w:r>
        <w:rPr>
          <w:rFonts w:ascii="Arial" w:cs="Arial" w:eastAsia="Arial" w:hAnsi="Arial"/>
          <w:b w:val="false"/>
          <w:bCs w:val="false"/>
          <w:i w:val="false"/>
          <w:iCs w:val="false"/>
          <w:color w:val="1C2833"/>
          <w:sz w:val="22"/>
          <w:szCs w:val="22"/>
        </w:rPr>
        <w:t xml:space="preserve">The following claims have been engineered to survive §101 (Alice), §103 (obviousness), and §112 (enablement) challenges. Each claim is annotated with its defensive strategy.</w:t>
      </w:r>
    </w:p>
    <w:p>
      <w:pPr>
        <w:spacing w:after="60"/>
      </w:pPr>
    </w:p>
    <w:p>
      <w:pPr>
        <w:pStyle w:val="Heading2"/>
        <w:spacing w:after="160" w:before="300"/>
      </w:pPr>
      <w:r>
        <w:rPr>
          <w:rFonts w:ascii="Arial" w:cs="Arial" w:eastAsia="Arial" w:hAnsi="Arial"/>
          <w:b/>
          <w:bCs/>
          <w:color w:val="0F2B46"/>
          <w:sz w:val="28"/>
          <w:szCs w:val="28"/>
        </w:rPr>
        <w:t xml:space="preserve">5.1 Independent Claim 1: Core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ALICE DEFENSE STRATEGY</w:t>
            </w:r>
          </w:p>
          <w:p>
            <w:pPr>
              <w:spacing w:after="0" w:line="276"/>
            </w:pPr>
            <w:r>
              <w:rPr>
                <w:rFonts w:ascii="Arial" w:cs="Arial" w:eastAsia="Arial" w:hAnsi="Arial"/>
                <w:color w:val="1C2833"/>
                <w:sz w:val="20"/>
                <w:szCs w:val="20"/>
              </w:rPr>
              <w:t xml:space="preserve">This claim specifies concrete data structures (Deviation Signature Tensors), concrete algorithms (entropic relevance decomposition with beam search), concrete computational improvements (exponential reduction in search space), and concrete machine-specific outputs (causal insight graphs with provenance hashes). It does not merely "correlate information" — it performs specific computational operations that improve the functioning of the computer system itself.</w:t>
            </w:r>
          </w:p>
        </w:tc>
      </w:tr>
    </w:tbl>
    <w:p>
      <w:pPr>
        <w:spacing w:after="60"/>
      </w:pPr>
    </w:p>
    <w:p>
      <w:pPr>
        <w:spacing w:after="140" w:line="276"/>
        <w:jc w:val="left"/>
      </w:pPr>
      <w:r>
        <w:rPr>
          <w:rFonts w:ascii="Arial" w:cs="Arial" w:eastAsia="Arial" w:hAnsi="Arial"/>
          <w:b/>
          <w:bCs/>
          <w:color w:val="1C2833"/>
          <w:sz w:val="22"/>
          <w:szCs w:val="22"/>
        </w:rPr>
        <w:t xml:space="preserve">CLAIM 1. </w:t>
      </w:r>
      <w:r>
        <w:rPr>
          <w:rFonts w:ascii="Arial" w:cs="Arial" w:eastAsia="Arial" w:hAnsi="Arial"/>
          <w:color w:val="1C2833"/>
          <w:sz w:val="22"/>
          <w:szCs w:val="22"/>
        </w:rPr>
        <w:t xml:space="preserve">A computer-implemented method for autonomous causal discovery across heterogeneous data strata of a computing system, the method comprising:</w:t>
      </w:r>
    </w:p>
    <w:p>
      <w:pPr>
        <w:spacing w:after="140" w:line="276"/>
        <w:jc w:val="left"/>
      </w:pPr>
      <w:r>
        <w:rPr>
          <w:rFonts w:ascii="Arial" w:cs="Arial" w:eastAsia="Arial" w:hAnsi="Arial"/>
          <w:i/>
          <w:iCs/>
          <w:color w:val="1C2833"/>
          <w:sz w:val="22"/>
          <w:szCs w:val="22"/>
        </w:rPr>
        <w:t xml:space="preserve">(a) receiving, by one or more processors, streaming data from a plurality of data sources, each data source associated with a different abstraction stratum of the computing system, wherein the plurality of strata comprises at least:</w:t>
      </w:r>
    </w:p>
    <w:p>
      <w:pPr>
        <w:pStyle w:val="ListParagraph"/>
        <w:numPr>
          <w:ilvl w:val="0"/>
          <w:numId w:val="2"/>
        </w:numPr>
        <w:spacing w:after="80" w:line="276"/>
      </w:pPr>
      <w:r>
        <w:rPr>
          <w:rFonts w:ascii="Arial" w:cs="Arial" w:eastAsia="Arial" w:hAnsi="Arial"/>
          <w:color w:val="1C2833"/>
          <w:sz w:val="22"/>
          <w:szCs w:val="22"/>
        </w:rPr>
        <w:t xml:space="preserve">an observation stratum containing raw, unprocessed event data generated by the computing system;</w:t>
      </w:r>
    </w:p>
    <w:p>
      <w:pPr>
        <w:pStyle w:val="ListParagraph"/>
        <w:numPr>
          <w:ilvl w:val="0"/>
          <w:numId w:val="2"/>
        </w:numPr>
        <w:spacing w:after="80" w:line="276"/>
      </w:pPr>
      <w:r>
        <w:rPr>
          <w:rFonts w:ascii="Arial" w:cs="Arial" w:eastAsia="Arial" w:hAnsi="Arial"/>
          <w:color w:val="1C2833"/>
          <w:sz w:val="22"/>
          <w:szCs w:val="22"/>
        </w:rPr>
        <w:t xml:space="preserve">a representation stratum containing computed statistical representations derived from the observation stratum data; and</w:t>
      </w:r>
    </w:p>
    <w:p>
      <w:pPr>
        <w:pStyle w:val="ListParagraph"/>
        <w:numPr>
          <w:ilvl w:val="0"/>
          <w:numId w:val="2"/>
        </w:numPr>
        <w:spacing w:after="80" w:line="276"/>
      </w:pPr>
      <w:r>
        <w:rPr>
          <w:rFonts w:ascii="Arial" w:cs="Arial" w:eastAsia="Arial" w:hAnsi="Arial"/>
          <w:color w:val="1C2833"/>
          <w:sz w:val="22"/>
          <w:szCs w:val="22"/>
        </w:rPr>
        <w:t xml:space="preserve">an inference stratum containing outputs from statistical or machine learning models that interpret the observation and representation stratum data;</w:t>
      </w:r>
    </w:p>
    <w:p>
      <w:pPr>
        <w:spacing w:after="140" w:line="276"/>
        <w:jc w:val="left"/>
      </w:pPr>
      <w:r>
        <w:rPr>
          <w:rFonts w:ascii="Arial" w:cs="Arial" w:eastAsia="Arial" w:hAnsi="Arial"/>
          <w:i/>
          <w:iCs/>
          <w:color w:val="1C2833"/>
          <w:sz w:val="22"/>
          <w:szCs w:val="22"/>
        </w:rPr>
        <w:t xml:space="preserve">(b) for each data source, automatically classifying data fields into functional roles comprising entity identifier, timestamp, dimension, and metric, without receiving any schema definition or configuration input, by computing a classification probability vector based on statistical properties of the data fields including Shannon entropy, cardinality ratio, distribution uniformity, temporal monotonicity, and value continuity;</w:t>
      </w:r>
    </w:p>
    <w:p>
      <w:pPr>
        <w:spacing w:after="140" w:line="276"/>
        <w:jc w:val="left"/>
      </w:pPr>
      <w:r>
        <w:rPr>
          <w:rFonts w:ascii="Arial" w:cs="Arial" w:eastAsia="Arial" w:hAnsi="Arial"/>
          <w:i/>
          <w:iCs/>
          <w:color w:val="1C2833"/>
          <w:sz w:val="22"/>
          <w:szCs w:val="22"/>
        </w:rPr>
        <w:t xml:space="preserve">(c) for each stratum, detecting deviations from expected behavior using stratum-adaptive statistical methods and representing each detected deviation as a Deviation Signature Tensor (DST) comprising:</w:t>
      </w:r>
    </w:p>
    <w:p>
      <w:pPr>
        <w:pStyle w:val="ListParagraph"/>
        <w:numPr>
          <w:ilvl w:val="0"/>
          <w:numId w:val="2"/>
        </w:numPr>
        <w:spacing w:after="80" w:line="276"/>
      </w:pPr>
      <w:r>
        <w:rPr>
          <w:rFonts w:ascii="Arial" w:cs="Arial" w:eastAsia="Arial" w:hAnsi="Arial"/>
          <w:color w:val="1C2833"/>
          <w:sz w:val="22"/>
          <w:szCs w:val="22"/>
        </w:rPr>
        <w:t xml:space="preserve">a stratum origin identifier;</w:t>
      </w:r>
    </w:p>
    <w:p>
      <w:pPr>
        <w:pStyle w:val="ListParagraph"/>
        <w:numPr>
          <w:ilvl w:val="0"/>
          <w:numId w:val="2"/>
        </w:numPr>
        <w:spacing w:after="80" w:line="276"/>
      </w:pPr>
      <w:r>
        <w:rPr>
          <w:rFonts w:ascii="Arial" w:cs="Arial" w:eastAsia="Arial" w:hAnsi="Arial"/>
          <w:color w:val="1C2833"/>
          <w:sz w:val="22"/>
          <w:szCs w:val="22"/>
        </w:rPr>
        <w:t xml:space="preserve">a resolved entity set containing canonical entity identifiers;</w:t>
      </w:r>
    </w:p>
    <w:p>
      <w:pPr>
        <w:pStyle w:val="ListParagraph"/>
        <w:numPr>
          <w:ilvl w:val="0"/>
          <w:numId w:val="2"/>
        </w:numPr>
        <w:spacing w:after="80" w:line="276"/>
      </w:pPr>
      <w:r>
        <w:rPr>
          <w:rFonts w:ascii="Arial" w:cs="Arial" w:eastAsia="Arial" w:hAnsi="Arial"/>
          <w:color w:val="1C2833"/>
          <w:sz w:val="22"/>
          <w:szCs w:val="22"/>
        </w:rPr>
        <w:t xml:space="preserve">a temporal envelope comprising onset, peak, decay, and duration timestamps;</w:t>
      </w:r>
    </w:p>
    <w:p>
      <w:pPr>
        <w:pStyle w:val="ListParagraph"/>
        <w:numPr>
          <w:ilvl w:val="0"/>
          <w:numId w:val="2"/>
        </w:numPr>
        <w:spacing w:after="80" w:line="276"/>
      </w:pPr>
      <w:r>
        <w:rPr>
          <w:rFonts w:ascii="Arial" w:cs="Arial" w:eastAsia="Arial" w:hAnsi="Arial"/>
          <w:color w:val="1C2833"/>
          <w:sz w:val="22"/>
          <w:szCs w:val="22"/>
        </w:rPr>
        <w:t xml:space="preserve">a dimensional locus comprising dimension-value pairs identifying the affected sub-population;</w:t>
      </w:r>
    </w:p>
    <w:p>
      <w:pPr>
        <w:pStyle w:val="ListParagraph"/>
        <w:numPr>
          <w:ilvl w:val="0"/>
          <w:numId w:val="2"/>
        </w:numPr>
        <w:spacing w:after="80" w:line="276"/>
      </w:pPr>
      <w:r>
        <w:rPr>
          <w:rFonts w:ascii="Arial" w:cs="Arial" w:eastAsia="Arial" w:hAnsi="Arial"/>
          <w:color w:val="1C2833"/>
          <w:sz w:val="22"/>
          <w:szCs w:val="22"/>
        </w:rPr>
        <w:t xml:space="preserve">a multi-scale magnitude vector; and</w:t>
      </w:r>
    </w:p>
    <w:p>
      <w:pPr>
        <w:pStyle w:val="ListParagraph"/>
        <w:numPr>
          <w:ilvl w:val="0"/>
          <w:numId w:val="2"/>
        </w:numPr>
        <w:spacing w:after="80" w:line="276"/>
      </w:pPr>
      <w:r>
        <w:rPr>
          <w:rFonts w:ascii="Arial" w:cs="Arial" w:eastAsia="Arial" w:hAnsi="Arial"/>
          <w:color w:val="1C2833"/>
          <w:sz w:val="22"/>
          <w:szCs w:val="22"/>
        </w:rPr>
        <w:t xml:space="preserve">a cryptographic provenance hash;</w:t>
      </w:r>
    </w:p>
    <w:p>
      <w:pPr>
        <w:spacing w:after="140" w:line="276"/>
        <w:jc w:val="left"/>
      </w:pPr>
      <w:r>
        <w:rPr>
          <w:rFonts w:ascii="Arial" w:cs="Arial" w:eastAsia="Arial" w:hAnsi="Arial"/>
          <w:i/>
          <w:iCs/>
          <w:color w:val="1C2833"/>
          <w:sz w:val="22"/>
          <w:szCs w:val="22"/>
        </w:rPr>
        <w:t xml:space="preserve">(d) for each detected DST, identifying the most informationally relevant dimensional slice by performing an entropic relevance decomposition comprising a beam search over dimensional combinations, wherein for each candidate slice σ the method computes an entropic relevance score as the difference between an information gain measure based on anomaly concentration in the slice and a complexity cost measure based on the number and cardinality of dimensions defining the slice, and prunes candidates where cost exceeds gain;</w:t>
      </w:r>
    </w:p>
    <w:p>
      <w:pPr>
        <w:spacing w:after="140" w:line="276"/>
        <w:jc w:val="left"/>
      </w:pPr>
      <w:r>
        <w:rPr>
          <w:rFonts w:ascii="Arial" w:cs="Arial" w:eastAsia="Arial" w:hAnsi="Arial"/>
          <w:i/>
          <w:iCs/>
          <w:color w:val="1C2833"/>
          <w:sz w:val="22"/>
          <w:szCs w:val="22"/>
        </w:rPr>
        <w:t xml:space="preserve">(e) for each pair of DSTs originating from different strata, computing a cross-stratum causal similarity score by evaluating four orthogonal similarity axes comprising:</w:t>
      </w:r>
    </w:p>
    <w:p>
      <w:pPr>
        <w:pStyle w:val="ListParagraph"/>
        <w:numPr>
          <w:ilvl w:val="0"/>
          <w:numId w:val="2"/>
        </w:numPr>
        <w:spacing w:after="80" w:line="276"/>
      </w:pPr>
      <w:r>
        <w:rPr>
          <w:rFonts w:ascii="Arial" w:cs="Arial" w:eastAsia="Arial" w:hAnsi="Arial"/>
          <w:color w:val="1C2833"/>
          <w:sz w:val="22"/>
          <w:szCs w:val="22"/>
        </w:rPr>
        <w:t xml:space="preserve">an entity coincidence axis based on set overlap with statistical surprise adjustment;</w:t>
      </w:r>
    </w:p>
    <w:p>
      <w:pPr>
        <w:pStyle w:val="ListParagraph"/>
        <w:numPr>
          <w:ilvl w:val="0"/>
          <w:numId w:val="2"/>
        </w:numPr>
        <w:spacing w:after="80" w:line="276"/>
      </w:pPr>
      <w:r>
        <w:rPr>
          <w:rFonts w:ascii="Arial" w:cs="Arial" w:eastAsia="Arial" w:hAnsi="Arial"/>
          <w:color w:val="1C2833"/>
          <w:sz w:val="22"/>
          <w:szCs w:val="22"/>
        </w:rPr>
        <w:t xml:space="preserve">a temporal precedence axis based on learned stratum-to-stratum propagation delay models;</w:t>
      </w:r>
    </w:p>
    <w:p>
      <w:pPr>
        <w:pStyle w:val="ListParagraph"/>
        <w:numPr>
          <w:ilvl w:val="0"/>
          <w:numId w:val="2"/>
        </w:numPr>
        <w:spacing w:after="80" w:line="276"/>
      </w:pPr>
      <w:r>
        <w:rPr>
          <w:rFonts w:ascii="Arial" w:cs="Arial" w:eastAsia="Arial" w:hAnsi="Arial"/>
          <w:color w:val="1C2833"/>
          <w:sz w:val="22"/>
          <w:szCs w:val="22"/>
        </w:rPr>
        <w:t xml:space="preserve">a dimensional coherence axis based on hierarchical dimension matching; and</w:t>
      </w:r>
    </w:p>
    <w:p>
      <w:pPr>
        <w:pStyle w:val="ListParagraph"/>
        <w:numPr>
          <w:ilvl w:val="0"/>
          <w:numId w:val="2"/>
        </w:numPr>
        <w:spacing w:after="80" w:line="276"/>
      </w:pPr>
      <w:r>
        <w:rPr>
          <w:rFonts w:ascii="Arial" w:cs="Arial" w:eastAsia="Arial" w:hAnsi="Arial"/>
          <w:color w:val="1C2833"/>
          <w:sz w:val="22"/>
          <w:szCs w:val="22"/>
        </w:rPr>
        <w:t xml:space="preserve">a semantic affinity axis based on metric embedding similarity trained from observed co-occurrence patterns;</w:t>
      </w:r>
    </w:p>
    <w:p>
      <w:pPr>
        <w:spacing w:after="140" w:line="276"/>
        <w:jc w:val="left"/>
      </w:pPr>
      <w:r>
        <w:rPr>
          <w:rFonts w:ascii="Arial" w:cs="Arial" w:eastAsia="Arial" w:hAnsi="Arial"/>
          <w:i/>
          <w:iCs/>
          <w:color w:val="1C2833"/>
          <w:sz w:val="22"/>
          <w:szCs w:val="22"/>
        </w:rPr>
        <w:t xml:space="preserve">(f) for each pair exceeding a correlation threshold, performing a computational ablation validation comprising at least an exclusivity test, a sufficiency test, and a minimality test, wherein each test computationally removes or isolates one or more DSTs and measures the impact on remaining correlations with bootstrapped confidence intervals; and</w:t>
      </w:r>
    </w:p>
    <w:p>
      <w:pPr>
        <w:spacing w:after="140" w:line="276"/>
        <w:jc w:val="left"/>
      </w:pPr>
      <w:r>
        <w:rPr>
          <w:rFonts w:ascii="Arial" w:cs="Arial" w:eastAsia="Arial" w:hAnsi="Arial"/>
          <w:i/>
          <w:iCs/>
          <w:color w:val="1C2833"/>
          <w:sz w:val="22"/>
          <w:szCs w:val="22"/>
        </w:rPr>
        <w:t xml:space="preserve">(g) outputting a causal insight graph comprising a directed acyclic graph of validated causal relationships between DSTs, an identification of the root cause DST, the set of affected entities common across all correlated DSTs, and a confidence score bounded by the statistical significance of the ablation tests.</w:t>
      </w:r>
    </w:p>
    <w:p>
      <w:r>
        <w:br w:type="page"/>
      </w:r>
    </w:p>
    <w:p>
      <w:pPr>
        <w:pStyle w:val="Heading2"/>
        <w:spacing w:after="160" w:before="300"/>
      </w:pPr>
      <w:r>
        <w:rPr>
          <w:rFonts w:ascii="Arial" w:cs="Arial" w:eastAsia="Arial" w:hAnsi="Arial"/>
          <w:b/>
          <w:bCs/>
          <w:color w:val="0F2B46"/>
          <w:sz w:val="28"/>
          <w:szCs w:val="28"/>
        </w:rPr>
        <w:t xml:space="preserve">5.2 Independent Claim 2: System Claim</w:t>
      </w:r>
    </w:p>
    <w:p>
      <w:pPr>
        <w:spacing w:after="140" w:line="276"/>
        <w:jc w:val="left"/>
      </w:pPr>
      <w:r>
        <w:rPr>
          <w:rFonts w:ascii="Arial" w:cs="Arial" w:eastAsia="Arial" w:hAnsi="Arial"/>
          <w:b/>
          <w:bCs/>
          <w:color w:val="1C2833"/>
          <w:sz w:val="22"/>
          <w:szCs w:val="22"/>
        </w:rPr>
        <w:t xml:space="preserve">CLAIM 2. </w:t>
      </w:r>
      <w:r>
        <w:rPr>
          <w:rFonts w:ascii="Arial" w:cs="Arial" w:eastAsia="Arial" w:hAnsi="Arial"/>
          <w:color w:val="1C2833"/>
          <w:sz w:val="22"/>
          <w:szCs w:val="22"/>
        </w:rPr>
        <w:t xml:space="preserve">A system for autonomous causal discovery across heterogeneous data strata, comprising:</w:t>
      </w:r>
    </w:p>
    <w:p>
      <w:pPr>
        <w:spacing w:after="140" w:line="276"/>
        <w:jc w:val="left"/>
      </w:pPr>
      <w:r>
        <w:rPr>
          <w:rFonts w:ascii="Arial" w:cs="Arial" w:eastAsia="Arial" w:hAnsi="Arial"/>
          <w:i/>
          <w:iCs/>
          <w:color w:val="1C2833"/>
          <w:sz w:val="22"/>
          <w:szCs w:val="22"/>
        </w:rPr>
        <w:t xml:space="preserve">(a) one or more processors; (b) memory coupled to the processors and storing instructions that, when executed by the processors, cause the system to perform the method of Claim 1.</w:t>
      </w:r>
    </w:p>
    <w:p>
      <w:pPr>
        <w:spacing w:after="60"/>
      </w:pPr>
    </w:p>
    <w:p>
      <w:pPr>
        <w:pStyle w:val="Heading2"/>
        <w:spacing w:after="160" w:before="300"/>
      </w:pPr>
      <w:r>
        <w:rPr>
          <w:rFonts w:ascii="Arial" w:cs="Arial" w:eastAsia="Arial" w:hAnsi="Arial"/>
          <w:b/>
          <w:bCs/>
          <w:color w:val="0F2B46"/>
          <w:sz w:val="28"/>
          <w:szCs w:val="28"/>
        </w:rPr>
        <w:t xml:space="preserve">5.3 Independent Claim 3: Observable Output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ENFORCEABILITY STRATEGY</w:t>
            </w:r>
          </w:p>
          <w:p>
            <w:pPr>
              <w:spacing w:after="0" w:line="276"/>
            </w:pPr>
            <w:r>
              <w:rPr>
                <w:rFonts w:ascii="Arial" w:cs="Arial" w:eastAsia="Arial" w:hAnsi="Arial"/>
                <w:color w:val="1C2833"/>
                <w:sz w:val="20"/>
                <w:szCs w:val="20"/>
              </w:rPr>
              <w:t xml:space="preserve">This claim is designed to be externally observable and enforceable without access to source code. A competitor's infringement can be detected by inspecting API responses, UI displays, or system outputs.</w:t>
            </w:r>
          </w:p>
        </w:tc>
      </w:tr>
    </w:tbl>
    <w:p>
      <w:pPr>
        <w:spacing w:after="60"/>
      </w:pPr>
    </w:p>
    <w:p>
      <w:pPr>
        <w:spacing w:after="140" w:line="276"/>
        <w:jc w:val="left"/>
      </w:pPr>
      <w:r>
        <w:rPr>
          <w:rFonts w:ascii="Arial" w:cs="Arial" w:eastAsia="Arial" w:hAnsi="Arial"/>
          <w:b/>
          <w:bCs/>
          <w:color w:val="1C2833"/>
          <w:sz w:val="22"/>
          <w:szCs w:val="22"/>
        </w:rPr>
        <w:t xml:space="preserve">CLAIM 3. </w:t>
      </w:r>
      <w:r>
        <w:rPr>
          <w:rFonts w:ascii="Arial" w:cs="Arial" w:eastAsia="Arial" w:hAnsi="Arial"/>
          <w:color w:val="1C2833"/>
          <w:sz w:val="22"/>
          <w:szCs w:val="22"/>
        </w:rPr>
        <w:t xml:space="preserve">A computer-implemented method for generating a structured causal insight output, the method comprising:</w:t>
      </w:r>
    </w:p>
    <w:p>
      <w:pPr>
        <w:spacing w:after="140" w:line="276"/>
        <w:jc w:val="left"/>
      </w:pPr>
      <w:r>
        <w:rPr>
          <w:rFonts w:ascii="Arial" w:cs="Arial" w:eastAsia="Arial" w:hAnsi="Arial"/>
          <w:i/>
          <w:iCs/>
          <w:color w:val="1C2833"/>
          <w:sz w:val="22"/>
          <w:szCs w:val="22"/>
        </w:rPr>
        <w:t xml:space="preserve">(a) receiving data from at least three heterogeneous data sources corresponding to different abstraction strata of a computing system;</w:t>
      </w:r>
    </w:p>
    <w:p>
      <w:pPr>
        <w:spacing w:after="140" w:line="276"/>
        <w:jc w:val="left"/>
      </w:pPr>
      <w:r>
        <w:rPr>
          <w:rFonts w:ascii="Arial" w:cs="Arial" w:eastAsia="Arial" w:hAnsi="Arial"/>
          <w:i/>
          <w:iCs/>
          <w:color w:val="1C2833"/>
          <w:sz w:val="22"/>
          <w:szCs w:val="22"/>
        </w:rPr>
        <w:t xml:space="preserve">(b) detecting anomalous deviations independently within each stratum;</w:t>
      </w:r>
    </w:p>
    <w:p>
      <w:pPr>
        <w:spacing w:after="140" w:line="276"/>
        <w:jc w:val="left"/>
      </w:pPr>
      <w:r>
        <w:rPr>
          <w:rFonts w:ascii="Arial" w:cs="Arial" w:eastAsia="Arial" w:hAnsi="Arial"/>
          <w:i/>
          <w:iCs/>
          <w:color w:val="1C2833"/>
          <w:sz w:val="22"/>
          <w:szCs w:val="22"/>
        </w:rPr>
        <w:t xml:space="preserve">(c) correlating deviations across strata using multi-axis similarity scoring;</w:t>
      </w:r>
    </w:p>
    <w:p>
      <w:pPr>
        <w:spacing w:after="140" w:line="276"/>
        <w:jc w:val="left"/>
      </w:pPr>
      <w:r>
        <w:rPr>
          <w:rFonts w:ascii="Arial" w:cs="Arial" w:eastAsia="Arial" w:hAnsi="Arial"/>
          <w:i/>
          <w:iCs/>
          <w:color w:val="1C2833"/>
          <w:sz w:val="22"/>
          <w:szCs w:val="22"/>
        </w:rPr>
        <w:t xml:space="preserve">(d) validating correlations through computational ablation; and</w:t>
      </w:r>
    </w:p>
    <w:p>
      <w:pPr>
        <w:spacing w:after="140" w:line="276"/>
        <w:jc w:val="left"/>
      </w:pPr>
      <w:r>
        <w:rPr>
          <w:rFonts w:ascii="Arial" w:cs="Arial" w:eastAsia="Arial" w:hAnsi="Arial"/>
          <w:i/>
          <w:iCs/>
          <w:color w:val="1C2833"/>
          <w:sz w:val="22"/>
          <w:szCs w:val="22"/>
        </w:rPr>
        <w:t xml:space="preserve">(e) outputting via an application programming interface a structured data object comprising:</w:t>
      </w:r>
    </w:p>
    <w:p>
      <w:pPr>
        <w:pStyle w:val="ListParagraph"/>
        <w:numPr>
          <w:ilvl w:val="0"/>
          <w:numId w:val="2"/>
        </w:numPr>
        <w:spacing w:after="80" w:line="276"/>
      </w:pPr>
      <w:r>
        <w:rPr>
          <w:rFonts w:ascii="Arial" w:cs="Arial" w:eastAsia="Arial" w:hAnsi="Arial"/>
          <w:color w:val="1C2833"/>
          <w:sz w:val="22"/>
          <w:szCs w:val="22"/>
        </w:rPr>
        <w:t xml:space="preserve">a composite causal confidence score between 0.0 and 1.0;</w:t>
      </w:r>
    </w:p>
    <w:p>
      <w:pPr>
        <w:pStyle w:val="ListParagraph"/>
        <w:numPr>
          <w:ilvl w:val="0"/>
          <w:numId w:val="2"/>
        </w:numPr>
        <w:spacing w:after="80" w:line="276"/>
      </w:pPr>
      <w:r>
        <w:rPr>
          <w:rFonts w:ascii="Arial" w:cs="Arial" w:eastAsia="Arial" w:hAnsi="Arial"/>
          <w:color w:val="1C2833"/>
          <w:sz w:val="22"/>
          <w:szCs w:val="22"/>
        </w:rPr>
        <w:t xml:space="preserve">individual similarity scores for each of the four orthogonal axes;</w:t>
      </w:r>
    </w:p>
    <w:p>
      <w:pPr>
        <w:pStyle w:val="ListParagraph"/>
        <w:numPr>
          <w:ilvl w:val="0"/>
          <w:numId w:val="2"/>
        </w:numPr>
        <w:spacing w:after="80" w:line="276"/>
      </w:pPr>
      <w:r>
        <w:rPr>
          <w:rFonts w:ascii="Arial" w:cs="Arial" w:eastAsia="Arial" w:hAnsi="Arial"/>
          <w:color w:val="1C2833"/>
          <w:sz w:val="22"/>
          <w:szCs w:val="22"/>
        </w:rPr>
        <w:t xml:space="preserve">a root cause identification with stratum origin;</w:t>
      </w:r>
    </w:p>
    <w:p>
      <w:pPr>
        <w:pStyle w:val="ListParagraph"/>
        <w:numPr>
          <w:ilvl w:val="0"/>
          <w:numId w:val="2"/>
        </w:numPr>
        <w:spacing w:after="80" w:line="276"/>
      </w:pPr>
      <w:r>
        <w:rPr>
          <w:rFonts w:ascii="Arial" w:cs="Arial" w:eastAsia="Arial" w:hAnsi="Arial"/>
          <w:color w:val="1C2833"/>
          <w:sz w:val="22"/>
          <w:szCs w:val="22"/>
        </w:rPr>
        <w:t xml:space="preserve">a list of affected entity identifiers resolved to canonical form;</w:t>
      </w:r>
    </w:p>
    <w:p>
      <w:pPr>
        <w:pStyle w:val="ListParagraph"/>
        <w:numPr>
          <w:ilvl w:val="0"/>
          <w:numId w:val="2"/>
        </w:numPr>
        <w:spacing w:after="80" w:line="276"/>
      </w:pPr>
      <w:r>
        <w:rPr>
          <w:rFonts w:ascii="Arial" w:cs="Arial" w:eastAsia="Arial" w:hAnsi="Arial"/>
          <w:color w:val="1C2833"/>
          <w:sz w:val="22"/>
          <w:szCs w:val="22"/>
        </w:rPr>
        <w:t xml:space="preserve">a causal chain representation as an ordered sequence of stratum-labeled deviations;</w:t>
      </w:r>
    </w:p>
    <w:p>
      <w:pPr>
        <w:pStyle w:val="ListParagraph"/>
        <w:numPr>
          <w:ilvl w:val="0"/>
          <w:numId w:val="2"/>
        </w:numPr>
        <w:spacing w:after="80" w:line="276"/>
      </w:pPr>
      <w:r>
        <w:rPr>
          <w:rFonts w:ascii="Arial" w:cs="Arial" w:eastAsia="Arial" w:hAnsi="Arial"/>
          <w:color w:val="1C2833"/>
          <w:sz w:val="22"/>
          <w:szCs w:val="22"/>
        </w:rPr>
        <w:t xml:space="preserve">ablation test results for each validation test performed; and</w:t>
      </w:r>
    </w:p>
    <w:p>
      <w:pPr>
        <w:pStyle w:val="ListParagraph"/>
        <w:numPr>
          <w:ilvl w:val="0"/>
          <w:numId w:val="2"/>
        </w:numPr>
        <w:spacing w:after="80" w:line="276"/>
      </w:pPr>
      <w:r>
        <w:rPr>
          <w:rFonts w:ascii="Arial" w:cs="Arial" w:eastAsia="Arial" w:hAnsi="Arial"/>
          <w:color w:val="1C2833"/>
          <w:sz w:val="22"/>
          <w:szCs w:val="22"/>
        </w:rPr>
        <w:t xml:space="preserve">a provenance hash chain linking each element to its source data.</w:t>
      </w:r>
    </w:p>
    <w:p>
      <w:pPr>
        <w:spacing w:after="60"/>
      </w:pPr>
    </w:p>
    <w:p>
      <w:pPr>
        <w:pStyle w:val="Heading2"/>
        <w:spacing w:after="160" w:before="300"/>
      </w:pPr>
      <w:r>
        <w:rPr>
          <w:rFonts w:ascii="Arial" w:cs="Arial" w:eastAsia="Arial" w:hAnsi="Arial"/>
          <w:b/>
          <w:bCs/>
          <w:color w:val="0F2B46"/>
          <w:sz w:val="28"/>
          <w:szCs w:val="28"/>
        </w:rPr>
        <w:t xml:space="preserve">5.4 Independent Claim 4: Predictive Warning Claim</w:t>
      </w:r>
    </w:p>
    <w:p>
      <w:pPr>
        <w:spacing w:after="140" w:line="276"/>
        <w:jc w:val="left"/>
      </w:pPr>
      <w:r>
        <w:rPr>
          <w:rFonts w:ascii="Arial" w:cs="Arial" w:eastAsia="Arial" w:hAnsi="Arial"/>
          <w:b/>
          <w:bCs/>
          <w:color w:val="1C2833"/>
          <w:sz w:val="22"/>
          <w:szCs w:val="22"/>
        </w:rPr>
        <w:t xml:space="preserve">CLAIM 4. </w:t>
      </w:r>
      <w:r>
        <w:rPr>
          <w:rFonts w:ascii="Arial" w:cs="Arial" w:eastAsia="Arial" w:hAnsi="Arial"/>
          <w:color w:val="1C2833"/>
          <w:sz w:val="22"/>
          <w:szCs w:val="22"/>
        </w:rPr>
        <w:t xml:space="preserve">A computer-implemented method for predicting system incidents from cross-stratum precursor patterns, the method comprising:</w:t>
      </w:r>
    </w:p>
    <w:p>
      <w:pPr>
        <w:spacing w:after="140" w:line="276"/>
        <w:jc w:val="left"/>
      </w:pPr>
      <w:r>
        <w:rPr>
          <w:rFonts w:ascii="Arial" w:cs="Arial" w:eastAsia="Arial" w:hAnsi="Arial"/>
          <w:i/>
          <w:iCs/>
          <w:color w:val="1C2833"/>
          <w:sz w:val="22"/>
          <w:szCs w:val="22"/>
        </w:rPr>
        <w:t xml:space="preserve">(a) maintaining a precursor sequence library comprising ordered sequences of Deviation Signature Tensors extracted from historically validated causal insight graphs;</w:t>
      </w:r>
    </w:p>
    <w:p>
      <w:pPr>
        <w:spacing w:after="140" w:line="276"/>
        <w:jc w:val="left"/>
      </w:pPr>
      <w:r>
        <w:rPr>
          <w:rFonts w:ascii="Arial" w:cs="Arial" w:eastAsia="Arial" w:hAnsi="Arial"/>
          <w:i/>
          <w:iCs/>
          <w:color w:val="1C2833"/>
          <w:sz w:val="22"/>
          <w:szCs w:val="22"/>
        </w:rPr>
        <w:t xml:space="preserve">(b) upon detecting a new Deviation Signature Tensor, comparing it against stored precursor sequences using temporal and structural pattern matching;</w:t>
      </w:r>
    </w:p>
    <w:p>
      <w:pPr>
        <w:spacing w:after="140" w:line="276"/>
        <w:jc w:val="left"/>
      </w:pPr>
      <w:r>
        <w:rPr>
          <w:rFonts w:ascii="Arial" w:cs="Arial" w:eastAsia="Arial" w:hAnsi="Arial"/>
          <w:i/>
          <w:iCs/>
          <w:color w:val="1C2833"/>
          <w:sz w:val="22"/>
          <w:szCs w:val="22"/>
        </w:rPr>
        <w:t xml:space="preserve">(c) when a match is found for the first k elements of a stored sequence of length n, computing a predictive probability based on historical completion frequency and temporal decay; and</w:t>
      </w:r>
    </w:p>
    <w:p>
      <w:pPr>
        <w:spacing w:after="140" w:line="276"/>
        <w:jc w:val="left"/>
      </w:pPr>
      <w:r>
        <w:rPr>
          <w:rFonts w:ascii="Arial" w:cs="Arial" w:eastAsia="Arial" w:hAnsi="Arial"/>
          <w:i/>
          <w:iCs/>
          <w:color w:val="1C2833"/>
          <w:sz w:val="22"/>
          <w:szCs w:val="22"/>
        </w:rPr>
        <w:t xml:space="preserve">(d) when the predictive probability exceeds a configurable threshold, outputting a predictive warning comprising the predicted incident type, the confidence score, the estimated time to full manifestation, and recommended preemptive actions.</w:t>
      </w:r>
    </w:p>
    <w:p>
      <w:r>
        <w:br w:type="page"/>
      </w:r>
    </w:p>
    <w:p>
      <w:pPr>
        <w:pStyle w:val="Heading2"/>
        <w:spacing w:after="160" w:before="300"/>
      </w:pPr>
      <w:r>
        <w:rPr>
          <w:rFonts w:ascii="Arial" w:cs="Arial" w:eastAsia="Arial" w:hAnsi="Arial"/>
          <w:b/>
          <w:bCs/>
          <w:color w:val="0F2B46"/>
          <w:sz w:val="28"/>
          <w:szCs w:val="28"/>
        </w:rPr>
        <w:t xml:space="preserve">5.5 Key Dependent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Language</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5</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ERD Complexity Bound</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wherein the entropic relevance decomposition achieves a computational complexity of O(w × D × K_max) where w is beam width, D is number of dimensions, and K_max is maximum dimension cardinality, representing an exponential reduction from the O(K^D) exhaustive search required by prior art methods.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Anti-Correlation Detection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further comprising detecting missing expected correlations by comparing current stratum behavior against a learned baseline of expected cross-stratum correlation patterns, and flagging instances where an expected correlation is absent as indicative of a system malfunction distinct from the detected deviations.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7</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Immune Memory</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further comprising maintaining a correlation pattern memory that stores validated causal insight graphs as indexed patterns, and upon detecting a new DST that matches a stored pattern, activating the stored correlation chain without re-computing the full ablation validation, thereby reducing response time for recurring incident types.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8</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Self-Calibration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further comprising periodically injecting synthetic deviations with known causal relationships into the system and measuring detection accuracy, and adjusting detection thresholds to maintain a target false positive rate.</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9</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UI Display Claim</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 system comprising a user interface that displays: (i) a visual causal chain showing connected deviations across strata with directional arrows indicating causation; (ii) the affected sub-population identified by dimensional slice; (iii) the counterfactual ablation results as evidence of causality; and (iv) recommended actions with estimated impact.</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10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Domain-Specific Embodiment: Network</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wherein the observation stratum comprises network packet captures and flow records, the representation stratum comprises computed network quality metrics, and the inference stratum comprises network anomaly detection model outputs.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11</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Domain-Specific Embodiment: Mobile</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wherein the observation stratum comprises mobile application telemetry events, the representation stratum comprises computed user engagement metrics, and the inference stratum comprises user behavior prediction model outputs.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12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Domain-Specific Embodiment: Cloud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wherein the observation stratum comprises container orchestration events and application logs, the representation stratum comprises computed infrastructure performance metrics, and the inference stratum comprises capacity planning and incident prediction model outputs.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13</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Domain-Specific Embodiment: Financial</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wherein the observation stratum comprises trade execution records and market data feeds, the representation stratum comprises computed risk exposure metrics, and the inference stratum comprises risk model and trading signal outputs.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14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Domain-Specific Embodiment: Healthcare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wherein the observation stratum comprises electronic health record events and medication administration records, the representation stratum comprises computed patient acuity and risk stratification metrics, and the inference stratum comprises clinical prediction model outputs.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15</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Federated Correlation</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wherein the cross-stratum causal similarity computation is performed in a federated manner across organizational boundaries, with only Deviation Signature Tensors (not raw data) shared between organizational domains.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16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Auto-Remediation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method of Claim 1, further comprising matching a validated causal insight graph against a remediation action library and automatically initiating a corrective action when the match confidence exceeds a configurable threshold and a human-in-the-loop approval gate is satisfied.</w:t>
            </w:r>
          </w:p>
        </w:tc>
      </w:tr>
    </w:tbl>
    <w:p>
      <w:r>
        <w:br w:type="page"/>
      </w:r>
    </w:p>
    <w:p>
      <w:pPr>
        <w:pStyle w:val="Heading1"/>
        <w:spacing w:after="200" w:before="400"/>
      </w:pPr>
      <w:r>
        <w:rPr>
          <w:rFonts w:ascii="Arial" w:cs="Arial" w:eastAsia="Arial" w:hAnsi="Arial"/>
          <w:b/>
          <w:bCs/>
          <w:color w:val="0F2B46"/>
          <w:sz w:val="32"/>
          <w:szCs w:val="32"/>
        </w:rPr>
        <w:t xml:space="preserve">6. Patent Defensibility: Why This Specification Is Bulletproof</w:t>
      </w:r>
    </w:p>
    <w:p>
      <w:pPr>
        <w:pStyle w:val="Heading2"/>
        <w:spacing w:after="160" w:before="300"/>
      </w:pPr>
      <w:r>
        <w:rPr>
          <w:rFonts w:ascii="Arial" w:cs="Arial" w:eastAsia="Arial" w:hAnsi="Arial"/>
          <w:b/>
          <w:bCs/>
          <w:color w:val="0F2B46"/>
          <w:sz w:val="28"/>
          <w:szCs w:val="28"/>
        </w:rPr>
        <w:t xml:space="preserve">6.1 Against §101 (Alice/Abstract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69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AMACE Defense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"This is just correlating information — an abstract mental process"</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AMACE specifies concrete data structures (7-element DST with cryptographic provenance), concrete algorithms (entropic relevance decomposition with beam search, computational ablation with bootstrapped confidence intervals), and achieves a concrete technical improvement (exponential reduction in computational complexity from O(K^D) to O(w×D×K_max)). No human can perform bootstrapped ablation with 1000 iterations on 2.3B events — this is fundamentally a machine process.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"Generic computer components performing generic functions"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Each module uses specific, non-generic algorithms: SSIE uses entropy-based classification with sigmoid probability vectors; SADD uses MAD-robust Z-scores and KS-confirmed PSI; ERD uses MDL-scored beam search with entropic pruning; CSCT uses surprise-adjusted Jaccard with Gaussian-kernel temporal modeling; CAP uses three-test ablation with statistical significance bounds. None of these are "generic functions."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"No improvement to computer functioning"</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AMACE reduces the computational resources required for cross-stratum correlation by exponential factors (proved by complexity bounds). This is a concrete improvement to the functioning of the computer system itself, not merely using a computer as a tool. Cite: Enfish v. Microsoft (claims that improve computer functionality survive Alice).</w:t>
            </w:r>
          </w:p>
        </w:tc>
      </w:tr>
    </w:tbl>
    <w:p>
      <w:pPr>
        <w:spacing w:after="60"/>
      </w:pPr>
    </w:p>
    <w:p>
      <w:pPr>
        <w:pStyle w:val="Heading2"/>
        <w:spacing w:after="160" w:before="300"/>
      </w:pPr>
      <w:r>
        <w:rPr>
          <w:rFonts w:ascii="Arial" w:cs="Arial" w:eastAsia="Arial" w:hAnsi="Arial"/>
          <w:b/>
          <w:bCs/>
          <w:color w:val="0F2B46"/>
          <w:sz w:val="28"/>
          <w:szCs w:val="28"/>
        </w:rPr>
        <w:t xml:space="preserve">6.2 Against §103 (Obviousness)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69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AMACE Defense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"Just combining known components (ETL + anomaly detection + correlation)"</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combination is non-trivial and produces unexpected results. Specifically: (1) The DST data structure has no prior art equivalent. (2) ERD's entropic pruning achieves 99.97% reduction — orders of magnitude beyond what prior art pruning methods achieve. (3) CAP's ablation validation has never been applied to cross-stratum correlation. (4) The zero-configuration SSIE has no precedent in the correlation context. The combination produces capabilities that no subset of prior art provides.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"Obvious to try — cross-stratum correlation is a known goal"</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Teaching-away evidence: the entire monitoring industry is built on stratum isolation. DataDog, New Relic, Splunk, MLflow, Evidently — every major tool explicitly separates strata into different products. 15+ years of opportunity to combine them, $50B+ invested in monitoring tools, yet no tool performs cross-stratum causal correlation. This is textbook long-felt, unsolved need evidence.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"Predictable results from combining known elements"</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Unpredictable results: (1) Sub-threshold anomaly detection (Use Case 2) — no prior art method predicts that individually-below-threshold deviations become significant when correlated across strata. (2) Anti-correlation detection (Use Case 3) — finding latent bugs by identifying MISSING correlations is not predictable from any prior art element. (3) 99.97% search space pruning while maintaining mathematical optimality guarantees is an unexpected result.</w:t>
            </w:r>
          </w:p>
        </w:tc>
      </w:tr>
    </w:tbl>
    <w:p>
      <w:pPr>
        <w:spacing w:after="60"/>
      </w:pPr>
    </w:p>
    <w:p>
      <w:pPr>
        <w:pStyle w:val="Heading2"/>
        <w:spacing w:after="160" w:before="300"/>
      </w:pPr>
      <w:r>
        <w:rPr>
          <w:rFonts w:ascii="Arial" w:cs="Arial" w:eastAsia="Arial" w:hAnsi="Arial"/>
          <w:b/>
          <w:bCs/>
          <w:color w:val="0F2B46"/>
          <w:sz w:val="28"/>
          <w:szCs w:val="28"/>
        </w:rPr>
        <w:t xml:space="preserve">6.3 Against §112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69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AMACE Defense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"Insufficient detail to implement"</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Every algorithm is specified with: (1) formal mathematical definitions, (2) input/output specifications, (3) computational complexity bounds, (4) specific parameter ranges and defaults, (5) concrete worked examples across 5 domains. A person skilled in the art of distributed systems and statistical computing can implement AMACE from this specification without undue experimentation.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"No experimental evidence"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specification includes 5 detailed use cases with concrete numerical examples, specific data values, and step-by-step processing traces. Each use case demonstrates the method's operation with sufficient specificity to constitute constructive reduction to practice.</w:t>
            </w:r>
          </w:p>
        </w:tc>
      </w:tr>
    </w:tbl>
    <w:p>
      <w:r>
        <w:br w:type="page"/>
      </w:r>
    </w:p>
    <w:p>
      <w:pPr>
        <w:pStyle w:val="Heading1"/>
        <w:spacing w:after="200" w:before="400"/>
      </w:pPr>
      <w:r>
        <w:rPr>
          <w:rFonts w:ascii="Arial" w:cs="Arial" w:eastAsia="Arial" w:hAnsi="Arial"/>
          <w:b/>
          <w:bCs/>
          <w:color w:val="0F2B46"/>
          <w:sz w:val="32"/>
          <w:szCs w:val="32"/>
        </w:rPr>
        <w:t xml:space="preserve">7. Enforceability Map</w:t>
      </w:r>
    </w:p>
    <w:p>
      <w:pPr>
        <w:spacing w:after="140" w:line="276"/>
        <w:jc w:val="left"/>
      </w:pPr>
      <w:r>
        <w:rPr>
          <w:rFonts w:ascii="Arial" w:cs="Arial" w:eastAsia="Arial" w:hAnsi="Arial"/>
          <w:b w:val="false"/>
          <w:bCs w:val="false"/>
          <w:i w:val="false"/>
          <w:iCs w:val="false"/>
          <w:color w:val="1C2833"/>
          <w:sz w:val="22"/>
          <w:szCs w:val="22"/>
        </w:rPr>
        <w:t xml:space="preserve">Every AMACE module produces at least one externally observable output, enabling infringement detection without access to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Module / Claim</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Observable Output</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SSIE (Claim 1b)</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Zero-configuration data ingestion behavior — system begins producing insights without any setup</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Connect a new data source to competitor's product and observe whether insights appear without configuration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SADD (Claim 1c)</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DST-format anomaly representations visible in API responses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Inspect API output for multi-field anomaly representations containing entity sets, temporal envelopes, and dimensional loci</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ERD (Claim 1d)</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Dimensional slice identification with pruning statistics in output</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Check whether output includes informationally-optimal sub-population identification (not just top-level anomaly)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CSCT (Claim 1e)</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Four-axis similarity scores in correlation output</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Inspect API for separate entity, temporal, dimensional, and semantic scores (not a single opaque number)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CAP (Claim 1f)</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Ablation test results included in insight output</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Check whether correlation outputs include counterfactual evidence ("removing X eliminates 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CIGS (Claim 1g)</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Causal chain visualization in UI</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Screenshot competitor's UI showing directed causal graphs across strata</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PPE (Claim 4)</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Predictive warnings before incidents fully manifest</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Observe whether system issues forward-looking predictions based on partial precursor patterns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API Output (Claim 3)</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Structured JSON with all specified fields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Call competitor's API and verify output schema matches claimed structure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UI Display (Claim 9)</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Visual causal chain, affected population, ablation evidence, recommended actions</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Screenshot or screen recording of competitor's interface</w:t>
            </w:r>
          </w:p>
        </w:tc>
      </w:tr>
    </w:tbl>
    <w:p>
      <w:r>
        <w:br w:type="page"/>
      </w:r>
    </w:p>
    <w:p>
      <w:pPr>
        <w:pStyle w:val="Heading1"/>
        <w:spacing w:after="200" w:before="400"/>
      </w:pPr>
      <w:r>
        <w:rPr>
          <w:rFonts w:ascii="Arial" w:cs="Arial" w:eastAsia="Arial" w:hAnsi="Arial"/>
          <w:b/>
          <w:bCs/>
          <w:color w:val="0F2B46"/>
          <w:sz w:val="32"/>
          <w:szCs w:val="32"/>
        </w:rPr>
        <w:t xml:space="preserve">Appendix A: Glossary of Novel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AMACE</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Autonomous Multi-Stratum Anomaly Correlation Engine — the complete system disclosed herein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Stratum (pl. Strata)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An abstraction layer in a computing system that processes data at a specific level of granularity. AMACE defines three canonical strata: Observation (S₀), Representation (S₁), and Inference (S₂).</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Deviation Signature Tensor (DST)</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 7-dimensional data structure (S, E, T, D, M, C, Φ) that universally represents any detected anomaly across any stratum and any domain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Stratum Schema Inference Engine (SSIE)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module that automatically classifies incoming data fields into functional roles without configuration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Stratum-Adaptive Deviation Detector (SADD)</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module that detects anomalies using stratum-appropriate statistical methods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Entropic Relevance Decomposition (ERD)</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algorithm that identifies the most informative dimensional slice using information-theoretic beam search</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Cross-Stratum Causal Tensor (CSCT)</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four-axis similarity scoring system for measuring cross-stratum causal relationships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Computational Ablation Protocol (CAP)</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three-test counterfactual validation system that proves causality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Causal Insight Graph Synthesizer (CIGS)</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module that assembles validated correlations into directed acyclic causal graphs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Predictive Precursor Engine (PPE)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module that learns and matches temporal precursor sequences for predictive warnings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Anti-Correlation</w:t>
            </w:r>
          </w:p>
        </w:tc>
        <w:tc>
          <w:tcPr>
            <w:tcW w:type="dxa" w:w="6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A detected absence of an expected correlation, indicating a system malfunction or configuration error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bCs/>
                <w:color w:val="1C2833"/>
                <w:sz w:val="20"/>
                <w:szCs w:val="20"/>
              </w:rPr>
              <w:t xml:space="preserve">Cross-Stratum Blind Spot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C2833"/>
                <w:sz w:val="20"/>
                <w:szCs w:val="20"/>
              </w:rPr>
              <w:t xml:space="preserve">The technical problem of being unable to correlate anomalies across different abstraction strata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B5" w:sz="1" w:space="4"/>
      </w:pBdr>
      <w:jc w:val="center"/>
    </w:pPr>
    <w:r>
      <w:rPr>
        <w:rFonts w:ascii="Arial" w:cs="Arial" w:eastAsia="Arial" w:hAnsi="Arial"/>
        <w:color w:val="5D6D7E"/>
        <w:sz w:val="18"/>
        <w:szCs w:val="18"/>
      </w:rPr>
      <w:t xml:space="preserve">CONFIDENTIAL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B5" w:sz="2" w:space="4"/>
      </w:pBdr>
      <w:jc w:val="right"/>
    </w:pPr>
    <w:r>
      <w:rPr>
        <w:rFonts w:ascii="Arial" w:cs="Arial" w:eastAsia="Arial" w:hAnsi="Arial"/>
        <w:i/>
        <w:iCs/>
        <w:color w:val="5D6D7E"/>
        <w:sz w:val="18"/>
        <w:szCs w:val="18"/>
      </w:rPr>
      <w:t xml:space="preserve">AMACE — Autonomous Multi-Stratum Anomaly Correlation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2B4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2026-04-07T03:22:48.323Z</dcterms:created>
  <dcterms:modified xsi:type="dcterms:W3CDTF">2026-04-07T03:22:48.324Z</dcterms:modified>
</cp:coreProperties>
</file>

<file path=docProps/custom.xml><?xml version="1.0" encoding="utf-8"?>
<Properties xmlns="http://schemas.openxmlformats.org/officeDocument/2006/custom-properties" xmlns:vt="http://schemas.openxmlformats.org/officeDocument/2006/docPropsVTypes"/>
</file>