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A5F"/>
          <w:sz w:val="32"/>
          <w:szCs w:val="32"/>
        </w:rPr>
        <w:t xml:space="preserve">EvoCRM v2: A Foundation Model for Customer Relationship Prediction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Perceiver IO hub · FT-Transformer towers · LoRA-based transfer · Leak-audited labels</w:t>
      </w:r>
    </w:p>
    <w:p>
      <w:pPr>
        <w:pStyle w:val="Heading2"/>
      </w:pPr>
      <w:r>
        <w:t xml:space="preserve">1. Problem and Thesis</w:t>
      </w:r>
    </w:p>
    <w:p>
      <w:pPr>
        <w:spacing w:after="80"/>
      </w:pPr>
      <w:r>
        <w:t xml:space="preserve">CRM prediction is typically tackled with one specialist model per task (churn classifier, CLV regressor, recommender, etc.), which duplicates feature engineering, wastes cross-task signal, and produces inconsistent customer representations. EvoCRM v2 proposes a single hub-and-spoke foundation model that jointly learns churn (binary), next-purchase category (multi-class), and customer lifetime value (regression) across multiple source datasets, then transfers to unseen target domains via parameter-efficient LoRA fine-tuning.</w:t>
      </w:r>
    </w:p>
    <w:p>
      <w:pPr>
        <w:pStyle w:val="Heading2"/>
      </w:pPr>
      <w:r>
        <w:t xml:space="preserve">2.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Hub: </w:t>
      </w:r>
      <w:r>
        <w:t xml:space="preserve">routes heterogeneous inputs (tabular RFM, interaction sequences, product-catalog) through a Perceiver IO latent array of size 64x128, decoupling input size from compute cost.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Customer Tower: </w:t>
      </w:r>
      <w:r>
        <w:t xml:space="preserve">is an FT-Transformer that tokenizes every numerical feature into a learned d-dimensional embedding, enabling self-attention to capture feature interactions natively.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Interaction Tower + Catalog Tower: </w:t>
      </w:r>
      <w:r>
        <w:t xml:space="preserve">embed variable-length interaction histories and static category signals, projected to the hub's input space.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Spokes: </w:t>
      </w:r>
      <w:r>
        <w:t xml:space="preserve">Each of the three task heads is an output query that cross-attends to the latent array; this makes the hub-and-spoke diagram architecturally literal rather than metaphorical.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LoRA: </w:t>
      </w:r>
      <w:r>
        <w:t xml:space="preserve">applied to attention out_proj layers (rank-8) enable overnight adaptation on fresh outcome signals with the base model frozen.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EvoCRM v1 (deprecated)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EvoCRM v2 (this work)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Hub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XLNet permutation LM + two-stream attention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Perceiver IO: learned latent array + cross-attention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Customer Tower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MLP + BatchNorm on raw features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FT-Transformer: per-feature tokenization + self-attn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heads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Six MLP heads on shared embedding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Output-query cross-attention (true spokes)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Adaptation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LoRA on unstated modules (narrative only)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LoRA on attention out_proj, base frozen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Foundation claim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Single-dataset multi-task (weak)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Multi-dataset pretrain + transfer eval</w:t>
            </w:r>
          </w:p>
        </w:tc>
      </w:tr>
    </w:tbl>
    <w:p>
      <w:pPr>
        <w:pStyle w:val="Heading2"/>
      </w:pPr>
      <w:r>
        <w:t xml:space="preserve">3. Tasks and Temporal Discipline</w:t>
      </w:r>
    </w:p>
    <w:p>
      <w:pPr>
        <w:spacing w:after="80"/>
      </w:pPr>
      <w:r>
        <w:t xml:space="preserve">Every label is constructed strictly after a cutoff_date; every feature is constructed strictly before it. This closes the label-leakage failure mode observed in EvoCRM v1 (churn AUC of 0.99 traced to recency being computed over the observation window). Validation invariants enforced programmatically: (a) churners have CLV=0 by construction, (b) every recency value is &gt;= 0, (c) category label is only valid for non-churners.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5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 (post-cutoff)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Churn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Binary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orders in 90d observation window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AUC-ROC, F1, Accuracy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Next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of first post-cutoff order (top-K + 'other')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Macro-F1, Accuracy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Regression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Revenue in 90d observation window (log1p-transformed)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RMSE, MAE</w:t>
            </w:r>
          </w:p>
        </w:tc>
      </w:tr>
    </w:tbl>
    <w:p>
      <w:pPr>
        <w:pStyle w:val="Heading2"/>
      </w:pPr>
      <w:r>
        <w:t xml:space="preserve">4. Datasets</w:t>
      </w:r>
    </w:p>
    <w:p>
      <w:pPr>
        <w:spacing w:after="80"/>
      </w:pPr>
      <w:r>
        <w:t xml:space="preserve">Three sources for pretraining + transfer evaluation. Foundation-model status requires cross-dataset generalization; single-dataset evaluation was explicitly rejected.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Olist: </w:t>
      </w:r>
      <w:r>
        <w:t xml:space="preserve">Brazilian e-commerce. 99k customers, 100k orders, 32k products, real product-category text. Primary.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RetailRocket: </w:t>
      </w:r>
      <w:r>
        <w:t xml:space="preserve">Event-stream e-commerce. 1.4M users, sparse transactions. Tests transfer to a very different distribution.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Synthetic Olist: </w:t>
      </w:r>
      <w:r>
        <w:t xml:space="preserve">deterministic synthetic generator (Poisson-rate per customer) for offline validation and unit tests; any AUC &gt; 0.95 on synthetic is a leakage alarm.</w:t>
      </w:r>
    </w:p>
    <w:p>
      <w:pPr>
        <w:pStyle w:val="Heading2"/>
      </w:pPr>
      <w:r>
        <w:t xml:space="preserve">5. Contributions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Architectural: </w:t>
      </w:r>
      <w:r>
        <w:t xml:space="preserve">The hub-and-spoke metaphor is realized architecturally: output queries cross-attend to a shared latent array, not just sharing an embedding.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Methodological: </w:t>
      </w:r>
      <w:r>
        <w:t xml:space="preserve">Leak-audited label construction with programmatic invariants replaces the fragile informal convention used in v1.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Foundation-model: </w:t>
      </w:r>
      <w:r>
        <w:t xml:space="preserve">Multi-dataset pretraining averaged over hub + FT-T weights (a 'hub soup'), followed by LoRA transfer with base frozen.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Empirical: </w:t>
      </w:r>
      <w:r>
        <w:t xml:space="preserve">Against per-task classical specialists (GBM / RF / LogReg) on identical tabular features; against from-scratch and full-finetune variants.</w:t>
      </w:r>
    </w:p>
    <w:p>
      <w:pPr>
        <w:pStyle w:val="Heading2"/>
      </w:pPr>
      <w:r>
        <w:t xml:space="preserve">6. Experimental Protocol</w:t>
      </w:r>
    </w:p>
    <w:p>
      <w:pPr>
        <w:spacing w:after="80"/>
      </w:pPr>
      <w:r>
        <w:t xml:space="preserve">(a) Baseline: train EvoCRM from scratch on each target. (b) Transfer-LoRA: pretrain on other sources, freeze base, fine-tune rank-8 LoRA adapters on target. (c) Transfer-Full: pretrain + full fine-tune. Primary metric per task as above; paired bootstrap at 95% for significance. Expected healthy AUC range: 0.70–0.85; anything higher triggers the leakage audit.</w:t>
      </w:r>
    </w:p>
    <w:p>
      <w:pPr>
        <w:pStyle w:val="Heading2"/>
      </w:pPr>
      <w:r>
        <w:t xml:space="preserve">7. Honest Limitations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Hub averaging </w:t>
      </w:r>
      <w:r>
        <w:t xml:space="preserve">is a pragmatic approximation of true joint pretraining; a dataset-id embedding + unified sampling would be more principled (future work).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FT-Transformer </w:t>
      </w:r>
      <w:r>
        <w:t xml:space="preserve">weights are averaged via shape match only; datasets with different feature counts transfer only the hub, not the customer tower.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LoRA surface </w:t>
      </w:r>
      <w:r>
        <w:t xml:space="preserve">is rank-8 on attention out_proj only; higher-capacity adaptation (full LoRA or IA3) may be needed for large distribution shift.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2026-04-17T08:27:20.515Z</dcterms:created>
  <dcterms:modified xsi:type="dcterms:W3CDTF">2026-04-17T08:27:20.516Z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