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pBdr>
          <w:bottom w:val="single" w:color="0B5345" w:sz="4"/>
        </w:pBdr>
        <w:spacing w:after="300"/>
        <w:jc w:val="center"/>
      </w:pPr>
    </w:p>
    <w:p>
      <w:pPr>
        <w:spacing w:after="80"/>
        <w:jc w:val="center"/>
      </w:pPr>
      <w:r>
        <w:rPr>
          <w:rFonts w:ascii="Arial" w:cs="Arial" w:eastAsia="Arial" w:hAnsi="Arial"/>
          <w:b/>
          <w:bCs/>
          <w:color w:val="0F2B46"/>
          <w:sz w:val="48"/>
          <w:szCs w:val="48"/>
        </w:rPr>
        <w:t xml:space="preserve">AMACE PATENT CLAIMS</w:t>
      </w:r>
    </w:p>
    <w:p>
      <w:pPr>
        <w:spacing w:after="120"/>
        <w:jc w:val="center"/>
      </w:pPr>
      <w:r>
        <w:rPr>
          <w:rFonts w:ascii="Arial" w:cs="Arial" w:eastAsia="Arial" w:hAnsi="Arial"/>
          <w:color w:val="0B5345"/>
          <w:sz w:val="32"/>
          <w:szCs w:val="32"/>
        </w:rPr>
        <w:t xml:space="preserve">Realistic Assessment and Final Filing Strategy</w:t>
      </w:r>
    </w:p>
    <w:p>
      <w:pPr>
        <w:pBdr>
          <w:bottom w:val="single" w:color="0B5345" w:sz="4"/>
        </w:pBdr>
        <w:spacing w:after="300"/>
        <w:jc w:val="center"/>
      </w:pPr>
    </w:p>
    <w:p>
      <w:pPr>
        <w:spacing w:after="80"/>
        <w:jc w:val="center"/>
      </w:pPr>
      <w:r>
        <w:rPr>
          <w:rFonts w:ascii="Arial" w:cs="Arial" w:eastAsia="Arial" w:hAnsi="Arial"/>
          <w:i/>
          <w:iCs/>
          <w:color w:val="5D6D7E"/>
          <w:sz w:val="22"/>
          <w:szCs w:val="22"/>
        </w:rPr>
        <w:t xml:space="preserve">Honest Risk Assessment • Prioritized Claim List • Filing Recommendation</w:t>
      </w:r>
    </w:p>
    <w:p>
      <w:pPr>
        <w:spacing w:after="80" w:before="300"/>
        <w:jc w:val="center"/>
      </w:pPr>
      <w:r>
        <w:rPr>
          <w:rFonts w:ascii="Arial" w:cs="Arial" w:eastAsia="Arial" w:hAnsi="Arial"/>
          <w:color w:val="5D6D7E"/>
          <w:sz w:val="22"/>
          <w:szCs w:val="22"/>
        </w:rPr>
        <w:t xml:space="preserve">April 2026 — Confidential</w:t>
      </w:r>
    </w:p>
    <w:p>
      <w:r>
        <w:br w:type="page"/>
      </w:r>
    </w:p>
    <w:p>
      <w:pPr>
        <w:pStyle w:val="Heading1"/>
        <w:spacing w:after="200" w:before="400"/>
      </w:pPr>
      <w:r>
        <w:rPr>
          <w:rFonts w:ascii="Arial" w:cs="Arial" w:eastAsia="Arial" w:hAnsi="Arial"/>
          <w:b/>
          <w:bCs/>
          <w:color w:val="0F2B46"/>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0F2B46"/>
          <w:sz w:val="32"/>
          <w:szCs w:val="32"/>
        </w:rPr>
        <w:t xml:space="preserve">1. Honest Assessment: What Is Actually Patentable Here</w:t>
      </w:r>
    </w:p>
    <w:p>
      <w:pPr>
        <w:spacing w:after="140" w:line="300"/>
      </w:pPr>
      <w:r>
        <w:rPr>
          <w:rFonts w:ascii="Arial" w:cs="Arial" w:eastAsia="Arial" w:hAnsi="Arial"/>
          <w:b w:val="false"/>
          <w:bCs w:val="false"/>
          <w:i w:val="false"/>
          <w:iCs w:val="false"/>
          <w:color w:val="1C2833"/>
          <w:sz w:val="22"/>
          <w:szCs w:val="22"/>
        </w:rPr>
        <w:t xml:space="preserve">Before listing claims, we need to be direct about what an examiner will challenge and what will survive. Not every idea we’ve developed is equally patentable. Some are genuinely novel. Some are well-known techniques applied in a new context. Some are in the gray zone.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20"/>
              <w:left w:type="dxa" w:w="200"/>
              <w:bottom w:type="dxa" w:w="120"/>
              <w:right w:type="dxa" w:w="200"/>
            </w:tcMar>
          </w:tcPr>
          <w:p>
            <w:pPr>
              <w:spacing w:after="80"/>
            </w:pPr>
            <w:r>
              <w:rPr>
                <w:rFonts w:ascii="Arial" w:cs="Arial" w:eastAsia="Arial" w:hAnsi="Arial"/>
                <w:b/>
                <w:bCs/>
                <w:color w:val="C75B12"/>
                <w:sz w:val="22"/>
                <w:szCs w:val="22"/>
              </w:rPr>
              <w:t xml:space="preserve">THE HONEST TRUTH</w:t>
            </w:r>
          </w:p>
          <w:p>
            <w:pPr>
              <w:spacing w:after="0" w:line="280"/>
            </w:pPr>
            <w:r>
              <w:rPr>
                <w:rFonts w:ascii="Arial" w:cs="Arial" w:eastAsia="Arial" w:hAnsi="Arial"/>
                <w:color w:val="1C2833"/>
                <w:sz w:val="20"/>
                <w:szCs w:val="20"/>
              </w:rPr>
              <w:t xml:space="preserve">Of the 32 claims we’ve drafted across the full AMACE specification, I assess roughly 18–22 as having a high probability of grant, 6–8 as moderate (will require strong argument but are defensible), and 4–6 as weak (should be dropped or reworked to avoid wasting examiner goodwill). The list below keeps only the realistic ones.</w:t>
            </w:r>
          </w:p>
        </w:tc>
      </w:tr>
    </w:tbl>
    <w:p>
      <w:pPr>
        <w:spacing w:after="80"/>
      </w:pPr>
    </w:p>
    <w:p>
      <w:pPr>
        <w:pStyle w:val="Heading2"/>
        <w:spacing w:after="160" w:before="300"/>
      </w:pPr>
      <w:r>
        <w:rPr>
          <w:rFonts w:ascii="Arial" w:cs="Arial" w:eastAsia="Arial" w:hAnsi="Arial"/>
          <w:b/>
          <w:bCs/>
          <w:color w:val="0F2B46"/>
          <w:sz w:val="28"/>
          <w:szCs w:val="28"/>
        </w:rPr>
        <w:t xml:space="preserve">1.1 What Examiners Will Challenge</w:t>
      </w:r>
    </w:p>
    <w:p>
      <w:pPr>
        <w:pStyle w:val="ListParagraph"/>
        <w:numPr>
          <w:ilvl w:val="0"/>
          <w:numId w:val="2"/>
        </w:numPr>
        <w:spacing w:after="80" w:line="300"/>
      </w:pPr>
      <w:r>
        <w:rPr>
          <w:rFonts w:ascii="Arial" w:cs="Arial" w:eastAsia="Arial" w:hAnsi="Arial"/>
          <w:b/>
          <w:bCs/>
          <w:color w:val="1C2833"/>
          <w:sz w:val="22"/>
          <w:szCs w:val="22"/>
        </w:rPr>
        <w:t xml:space="preserve">§101 (Alice): </w:t>
      </w:r>
      <w:r>
        <w:rPr>
          <w:rFonts w:ascii="Arial" w:cs="Arial" w:eastAsia="Arial" w:hAnsi="Arial"/>
          <w:color w:val="1C2833"/>
          <w:sz w:val="22"/>
          <w:szCs w:val="22"/>
        </w:rPr>
        <w:t xml:space="preserve">Any claim that reads like “correlate information across data sources” will be attacked as an abstract mental process. Our defense is the specific data structures (DST), specific algorithms (ERD beam search, CAP ablation), and specific complexity improvements (O(K^D) → O(w×D×K_max)). Claims that lean on these specifics survive. Claims that stay generic die.</w:t>
      </w:r>
    </w:p>
    <w:p>
      <w:pPr>
        <w:pStyle w:val="ListParagraph"/>
        <w:numPr>
          <w:ilvl w:val="0"/>
          <w:numId w:val="2"/>
        </w:numPr>
        <w:spacing w:after="80" w:line="300"/>
      </w:pPr>
      <w:r>
        <w:rPr>
          <w:rFonts w:ascii="Arial" w:cs="Arial" w:eastAsia="Arial" w:hAnsi="Arial"/>
          <w:b/>
          <w:bCs/>
          <w:color w:val="1C2833"/>
          <w:sz w:val="22"/>
          <w:szCs w:val="22"/>
        </w:rPr>
        <w:t xml:space="preserve">§103 (Obviousness): </w:t>
      </w:r>
      <w:r>
        <w:rPr>
          <w:rFonts w:ascii="Arial" w:cs="Arial" w:eastAsia="Arial" w:hAnsi="Arial"/>
          <w:color w:val="1C2833"/>
          <w:sz w:val="22"/>
          <w:szCs w:val="22"/>
        </w:rPr>
        <w:t xml:space="preserve">The examiner will argue “AIOps + anomaly detection + correlation = obvious combination.” Our defense is teaching-away (the industry builds siloed tools), long-felt need (15+ years, no solution), unexpected results (99.97% pruning), and the specific non-obvious elements (surprise-adjusted Jaccard, Gaussian-kernel temporal scoring, counterfactual ablation). Claims with specific math survive. Claims with generic steps die.</w:t>
      </w:r>
    </w:p>
    <w:p>
      <w:pPr>
        <w:pStyle w:val="ListParagraph"/>
        <w:numPr>
          <w:ilvl w:val="0"/>
          <w:numId w:val="2"/>
        </w:numPr>
        <w:spacing w:after="80" w:line="300"/>
      </w:pPr>
      <w:r>
        <w:rPr>
          <w:rFonts w:ascii="Arial" w:cs="Arial" w:eastAsia="Arial" w:hAnsi="Arial"/>
          <w:b/>
          <w:bCs/>
          <w:color w:val="1C2833"/>
          <w:sz w:val="22"/>
          <w:szCs w:val="22"/>
        </w:rPr>
        <w:t xml:space="preserve">§112 (Enablement): </w:t>
      </w:r>
      <w:r>
        <w:rPr>
          <w:rFonts w:ascii="Arial" w:cs="Arial" w:eastAsia="Arial" w:hAnsi="Arial"/>
          <w:color w:val="1C2833"/>
          <w:sz w:val="22"/>
          <w:szCs w:val="22"/>
        </w:rPr>
        <w:t xml:space="preserve">Every claim must be implementable by a skilled person from the specification alone. Our “How It Works” document provides the arithmetic detail needed. Claims referencing algorithms we’ve fully specified survive. Claims referencing vague concepts die.</w:t>
      </w:r>
    </w:p>
    <w:p>
      <w:pPr>
        <w:spacing w:after="80"/>
      </w:pPr>
    </w:p>
    <w:p>
      <w:pPr>
        <w:pStyle w:val="Heading2"/>
        <w:spacing w:after="160" w:before="300"/>
      </w:pPr>
      <w:r>
        <w:rPr>
          <w:rFonts w:ascii="Arial" w:cs="Arial" w:eastAsia="Arial" w:hAnsi="Arial"/>
          <w:b/>
          <w:bCs/>
          <w:color w:val="0F2B46"/>
          <w:sz w:val="28"/>
          <w:szCs w:val="28"/>
        </w:rPr>
        <w:t xml:space="preserve">1.2 What We Should DROP</w:t>
      </w:r>
    </w:p>
    <w:p>
      <w:pPr>
        <w:spacing w:after="140" w:line="300"/>
      </w:pPr>
      <w:r>
        <w:rPr>
          <w:rFonts w:ascii="Arial" w:cs="Arial" w:eastAsia="Arial" w:hAnsi="Arial"/>
          <w:b w:val="false"/>
          <w:bCs w:val="false"/>
          <w:i w:val="false"/>
          <w:iCs w:val="false"/>
          <w:color w:val="1C2833"/>
          <w:sz w:val="22"/>
          <w:szCs w:val="22"/>
        </w:rPr>
        <w:t xml:space="preserve">Being honest about weaknesses strengthens the overall filing. These should be removed or reworked:</w:t>
      </w:r>
    </w:p>
    <w:p>
      <w:pPr>
        <w:pStyle w:val="ListParagraph"/>
        <w:numPr>
          <w:ilvl w:val="0"/>
          <w:numId w:val="2"/>
        </w:numPr>
        <w:spacing w:after="80" w:line="300"/>
      </w:pPr>
      <w:r>
        <w:rPr>
          <w:rFonts w:ascii="Arial" w:cs="Arial" w:eastAsia="Arial" w:hAnsi="Arial"/>
          <w:b/>
          <w:bCs/>
          <w:color w:val="1C2833"/>
          <w:sz w:val="22"/>
          <w:szCs w:val="22"/>
        </w:rPr>
        <w:t xml:space="preserve">Generic “correlate anomalies across layers” language </w:t>
      </w:r>
      <w:r>
        <w:rPr>
          <w:rFonts w:ascii="Arial" w:cs="Arial" w:eastAsia="Arial" w:hAnsi="Arial"/>
          <w:color w:val="1C2833"/>
          <w:sz w:val="22"/>
          <w:szCs w:val="22"/>
        </w:rPr>
        <w:t xml:space="preserve">without specifying the four-axis tensor, the DST structure, or the ablation protocol. Too abstract.</w:t>
      </w:r>
    </w:p>
    <w:p>
      <w:pPr>
        <w:pStyle w:val="ListParagraph"/>
        <w:numPr>
          <w:ilvl w:val="0"/>
          <w:numId w:val="2"/>
        </w:numPr>
        <w:spacing w:after="80" w:line="300"/>
      </w:pPr>
      <w:r>
        <w:rPr>
          <w:rFonts w:ascii="Arial" w:cs="Arial" w:eastAsia="Arial" w:hAnsi="Arial"/>
          <w:b/>
          <w:bCs/>
          <w:color w:val="1C2833"/>
          <w:sz w:val="22"/>
          <w:szCs w:val="22"/>
        </w:rPr>
        <w:t xml:space="preserve">The “immune memory” claim as originally drafted </w:t>
      </w:r>
      <w:r>
        <w:rPr>
          <w:rFonts w:ascii="Arial" w:cs="Arial" w:eastAsia="Arial" w:hAnsi="Arial"/>
          <w:color w:val="1C2833"/>
          <w:sz w:val="22"/>
          <w:szCs w:val="22"/>
        </w:rPr>
        <w:t xml:space="preserve">— storing patterns as “antibodies” is metaphorical. Reframe as a “pattern index with decay-weighted retrieval” (which is what it actually is).</w:t>
      </w:r>
    </w:p>
    <w:p>
      <w:pPr>
        <w:pStyle w:val="ListParagraph"/>
        <w:numPr>
          <w:ilvl w:val="0"/>
          <w:numId w:val="2"/>
        </w:numPr>
        <w:spacing w:after="80" w:line="300"/>
      </w:pPr>
      <w:r>
        <w:rPr>
          <w:rFonts w:ascii="Arial" w:cs="Arial" w:eastAsia="Arial" w:hAnsi="Arial"/>
          <w:b/>
          <w:bCs/>
          <w:color w:val="1C2833"/>
          <w:sz w:val="22"/>
          <w:szCs w:val="22"/>
        </w:rPr>
        <w:t xml:space="preserve">Overly broad domain embodiment claims </w:t>
      </w:r>
      <w:r>
        <w:rPr>
          <w:rFonts w:ascii="Arial" w:cs="Arial" w:eastAsia="Arial" w:hAnsi="Arial"/>
          <w:color w:val="1C2833"/>
          <w:sz w:val="22"/>
          <w:szCs w:val="22"/>
        </w:rPr>
        <w:t xml:space="preserve">that just say “wherein the data comes from healthcare.” These add no novelty. Keep only embodiments with domain-specific technical elements (like the foldable hinge-display claim).</w:t>
      </w:r>
    </w:p>
    <w:p>
      <w:pPr>
        <w:pStyle w:val="ListParagraph"/>
        <w:numPr>
          <w:ilvl w:val="0"/>
          <w:numId w:val="2"/>
        </w:numPr>
        <w:spacing w:after="80" w:line="300"/>
      </w:pPr>
      <w:r>
        <w:rPr>
          <w:rFonts w:ascii="Arial" w:cs="Arial" w:eastAsia="Arial" w:hAnsi="Arial"/>
          <w:b/>
          <w:bCs/>
          <w:color w:val="1C2833"/>
          <w:sz w:val="22"/>
          <w:szCs w:val="22"/>
        </w:rPr>
        <w:t xml:space="preserve">The “correlation algebra” claim </w:t>
      </w:r>
      <w:r>
        <w:rPr>
          <w:rFonts w:ascii="Arial" w:cs="Arial" w:eastAsia="Arial" w:hAnsi="Arial"/>
          <w:color w:val="1C2833"/>
          <w:sz w:val="22"/>
          <w:szCs w:val="22"/>
        </w:rPr>
        <w:t xml:space="preserve">(AND, OR, SEQUENCE operators) — this is well-known in complex event processing (CEP). Not novel enough.</w:t>
      </w:r>
    </w:p>
    <w:p>
      <w:r>
        <w:br w:type="page"/>
      </w:r>
    </w:p>
    <w:p>
      <w:pPr>
        <w:pStyle w:val="Heading1"/>
        <w:spacing w:after="200" w:before="400"/>
      </w:pPr>
      <w:r>
        <w:rPr>
          <w:rFonts w:ascii="Arial" w:cs="Arial" w:eastAsia="Arial" w:hAnsi="Arial"/>
          <w:b/>
          <w:bCs/>
          <w:color w:val="0F2B46"/>
          <w:sz w:val="32"/>
          <w:szCs w:val="32"/>
        </w:rPr>
        <w:t xml:space="preserve">2. Tier 1: Highest Probability of Grant (90%+)</w:t>
      </w:r>
    </w:p>
    <w:p>
      <w:pPr>
        <w:spacing w:after="140" w:line="300"/>
      </w:pPr>
      <w:r>
        <w:rPr>
          <w:rFonts w:ascii="Arial" w:cs="Arial" w:eastAsia="Arial" w:hAnsi="Arial"/>
          <w:b w:val="false"/>
          <w:bCs w:val="false"/>
          <w:i w:val="false"/>
          <w:iCs w:val="false"/>
          <w:color w:val="1C2833"/>
          <w:sz w:val="22"/>
          <w:szCs w:val="22"/>
        </w:rPr>
        <w:t xml:space="preserve">These claims contain genuinely novel technical elements that have no clear prior art equivalent. They specify concrete data structures, algorithms, and measurable improvements. An examiner may initially reject them (this is normal), but they are defensible through the arguments we’ve prepared.</w:t>
      </w:r>
    </w:p>
    <w:p>
      <w:pPr>
        <w:spacing w:after="80"/>
      </w:pPr>
    </w:p>
    <w:p>
      <w:pPr>
        <w:pStyle w:val="Heading2"/>
        <w:spacing w:after="160" w:before="300"/>
      </w:pPr>
      <w:r>
        <w:rPr>
          <w:rFonts w:ascii="Arial" w:cs="Arial" w:eastAsia="Arial" w:hAnsi="Arial"/>
          <w:b/>
          <w:bCs/>
          <w:color w:val="0F2B46"/>
          <w:sz w:val="28"/>
          <w:szCs w:val="28"/>
        </w:rPr>
        <w:t xml:space="preserve">Claim 1: The Deviation Signature Tensor (DST) and Cross-Stratum Correlation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5345" w:sz="1"/>
              <w:left w:val="single" w:color="0B5345" w:sz="8"/>
              <w:bottom w:val="single" w:color="0B5345" w:sz="1"/>
              <w:right w:val="single" w:color="0B5345" w:sz="1"/>
            </w:tcBorders>
            <w:shd w:fill="E8F5E9" w:val="clear"/>
            <w:tcMar>
              <w:top w:type="dxa" w:w="120"/>
              <w:left w:type="dxa" w:w="200"/>
              <w:bottom w:type="dxa" w:w="120"/>
              <w:right w:type="dxa" w:w="200"/>
            </w:tcMar>
          </w:tcPr>
          <w:p>
            <w:pPr>
              <w:spacing w:after="80"/>
            </w:pPr>
            <w:r>
              <w:rPr>
                <w:rFonts w:ascii="Arial" w:cs="Arial" w:eastAsia="Arial" w:hAnsi="Arial"/>
                <w:b/>
                <w:bCs/>
                <w:color w:val="0B5345"/>
                <w:sz w:val="22"/>
                <w:szCs w:val="22"/>
              </w:rPr>
              <w:t xml:space="preserve">GRANT PROBABILITY: 90–95%</w:t>
            </w:r>
          </w:p>
          <w:p>
            <w:pPr>
              <w:spacing w:after="0" w:line="280"/>
            </w:pPr>
            <w:r>
              <w:rPr>
                <w:rFonts w:ascii="Arial" w:cs="Arial" w:eastAsia="Arial" w:hAnsi="Arial"/>
                <w:color w:val="1C2833"/>
                <w:sz w:val="20"/>
                <w:szCs w:val="20"/>
              </w:rPr>
              <w:t xml:space="preserve">This is the anchor claim. It specifies a novel data structure (DST) and a novel multi-axis correlation method. No prior art defines a 7-element anomaly representation that enables cross-stratum comparison.</w:t>
            </w:r>
          </w:p>
        </w:tc>
      </w:tr>
    </w:tbl>
    <w:p>
      <w:pPr>
        <w:spacing w:after="80"/>
      </w:pPr>
    </w:p>
    <w:p>
      <w:pPr>
        <w:spacing w:after="140" w:line="300"/>
        <w:jc w:val="left"/>
      </w:pPr>
      <w:r>
        <w:rPr>
          <w:rFonts w:ascii="Arial" w:cs="Arial" w:eastAsia="Arial" w:hAnsi="Arial"/>
          <w:b/>
          <w:bCs/>
          <w:i/>
          <w:iCs/>
          <w:color w:val="1C2833"/>
          <w:sz w:val="22"/>
          <w:szCs w:val="22"/>
        </w:rPr>
        <w:t xml:space="preserve">A computer-implemented method for autonomous causal discovery across heterogeneous data strata of a computing system, the method comprising:</w:t>
      </w:r>
    </w:p>
    <w:p>
      <w:pPr>
        <w:spacing w:after="140" w:line="300"/>
        <w:jc w:val="left"/>
      </w:pPr>
      <w:r>
        <w:rPr>
          <w:rFonts w:ascii="Arial" w:cs="Arial" w:eastAsia="Arial" w:hAnsi="Arial"/>
          <w:i/>
          <w:iCs/>
          <w:color w:val="1C2833"/>
          <w:sz w:val="22"/>
          <w:szCs w:val="22"/>
        </w:rPr>
        <w:t xml:space="preserve">(a) receiving streaming data from a plurality of data sources associated with at least three abstraction strata: an observation stratum containing raw event data, a representation stratum containing computed statistical representations, and an inference stratum containing machine learning model outputs;</w:t>
      </w:r>
    </w:p>
    <w:p>
      <w:pPr>
        <w:spacing w:after="140" w:line="300"/>
        <w:jc w:val="left"/>
      </w:pPr>
      <w:r>
        <w:rPr>
          <w:rFonts w:ascii="Arial" w:cs="Arial" w:eastAsia="Arial" w:hAnsi="Arial"/>
          <w:i/>
          <w:iCs/>
          <w:color w:val="1C2833"/>
          <w:sz w:val="22"/>
          <w:szCs w:val="22"/>
        </w:rPr>
        <w:t xml:space="preserve">(b) for each data source, automatically classifying data fields into functional roles by computing a classification probability vector based on Shannon entropy, cardinality ratio, distribution uniformity, temporal monotonicity, and value continuity, without receiving any schema definition or configuration input;</w:t>
      </w:r>
    </w:p>
    <w:p>
      <w:pPr>
        <w:spacing w:after="140" w:line="300"/>
        <w:jc w:val="left"/>
      </w:pPr>
      <w:r>
        <w:rPr>
          <w:rFonts w:ascii="Arial" w:cs="Arial" w:eastAsia="Arial" w:hAnsi="Arial"/>
          <w:i/>
          <w:iCs/>
          <w:color w:val="1C2833"/>
          <w:sz w:val="22"/>
          <w:szCs w:val="22"/>
        </w:rPr>
        <w:t xml:space="preserve">(c) detecting deviations using stratum-adaptive methods and representing each as a Deviation Signature Tensor comprising: a stratum origin identifier, a resolved entity set, a temporal envelope with onset/peak/decay/duration timestamps, a dimensional locus of dimension-value pairs, a multi-scale magnitude vector, a statistical confidence interval, and a cryptographic provenance hash;</w:t>
      </w:r>
    </w:p>
    <w:p>
      <w:pPr>
        <w:spacing w:after="140" w:line="300"/>
        <w:jc w:val="left"/>
      </w:pPr>
      <w:r>
        <w:rPr>
          <w:rFonts w:ascii="Arial" w:cs="Arial" w:eastAsia="Arial" w:hAnsi="Arial"/>
          <w:i/>
          <w:iCs/>
          <w:color w:val="1C2833"/>
          <w:sz w:val="22"/>
          <w:szCs w:val="22"/>
        </w:rPr>
        <w:t xml:space="preserve">(d) for each DST, identifying the most informationally relevant dimensional slice by performing an entropic relevance decomposition comprising a beam search wherein each candidate slice is scored as the difference between an information gain measure and a complexity cost measure, pruning candidates where cost exceeds gain;</w:t>
      </w:r>
    </w:p>
    <w:p>
      <w:pPr>
        <w:spacing w:after="140" w:line="300"/>
        <w:jc w:val="left"/>
      </w:pPr>
      <w:r>
        <w:rPr>
          <w:rFonts w:ascii="Arial" w:cs="Arial" w:eastAsia="Arial" w:hAnsi="Arial"/>
          <w:i/>
          <w:iCs/>
          <w:color w:val="1C2833"/>
          <w:sz w:val="22"/>
          <w:szCs w:val="22"/>
        </w:rPr>
        <w:t xml:space="preserve">(e) for each cross-stratum DST pair, computing a causal similarity score by evaluating four orthogonal axes: entity coincidence with statistical surprise adjustment, temporal precedence based on learned propagation delay models, dimensional coherence with hierarchical matching, and semantic affinity based on metric embedding similarity;</w:t>
      </w:r>
    </w:p>
    <w:p>
      <w:pPr>
        <w:spacing w:after="140" w:line="300"/>
        <w:jc w:val="left"/>
      </w:pPr>
      <w:r>
        <w:rPr>
          <w:rFonts w:ascii="Arial" w:cs="Arial" w:eastAsia="Arial" w:hAnsi="Arial"/>
          <w:i/>
          <w:iCs/>
          <w:color w:val="1C2833"/>
          <w:sz w:val="22"/>
          <w:szCs w:val="22"/>
        </w:rPr>
        <w:t xml:space="preserve">(f) for each pair exceeding a correlation threshold, performing computational ablation validation comprising an exclusivity test, a sufficiency test, and a minimality test, each with bootstrapped confidence intervals; and</w:t>
      </w:r>
    </w:p>
    <w:p>
      <w:pPr>
        <w:spacing w:after="140" w:line="300"/>
        <w:jc w:val="left"/>
      </w:pPr>
      <w:r>
        <w:rPr>
          <w:rFonts w:ascii="Arial" w:cs="Arial" w:eastAsia="Arial" w:hAnsi="Arial"/>
          <w:i/>
          <w:iCs/>
          <w:color w:val="1C2833"/>
          <w:sz w:val="22"/>
          <w:szCs w:val="22"/>
        </w:rPr>
        <w:t xml:space="preserve">(g) outputting a causal insight graph comprising a directed acyclic graph of validated relationships, a root cause identification, an affected entity intersection, and a confidence score bounded by ablation test significance.</w:t>
      </w:r>
    </w:p>
    <w:p>
      <w:pPr>
        <w:spacing w:after="80"/>
      </w:pPr>
    </w:p>
    <w:p>
      <w:pPr>
        <w:spacing w:after="140" w:line="300"/>
      </w:pPr>
      <w:r>
        <w:rPr>
          <w:rFonts w:ascii="Arial" w:cs="Arial" w:eastAsia="Arial" w:hAnsi="Arial"/>
          <w:b/>
          <w:bCs/>
          <w:i w:val="false"/>
          <w:iCs w:val="false"/>
          <w:color w:val="1C2833"/>
          <w:sz w:val="22"/>
          <w:szCs w:val="22"/>
        </w:rPr>
        <w:t xml:space="preserve">Why this survives:</w:t>
      </w:r>
    </w:p>
    <w:p>
      <w:pPr>
        <w:pStyle w:val="ListParagraph"/>
        <w:numPr>
          <w:ilvl w:val="0"/>
          <w:numId w:val="2"/>
        </w:numPr>
        <w:spacing w:after="80" w:line="300"/>
      </w:pPr>
      <w:r>
        <w:rPr>
          <w:rFonts w:ascii="Arial" w:cs="Arial" w:eastAsia="Arial" w:hAnsi="Arial"/>
          <w:b/>
          <w:bCs/>
          <w:color w:val="1C2833"/>
          <w:sz w:val="22"/>
          <w:szCs w:val="22"/>
        </w:rPr>
        <w:t xml:space="preserve">§101: </w:t>
      </w:r>
      <w:r>
        <w:rPr>
          <w:rFonts w:ascii="Arial" w:cs="Arial" w:eastAsia="Arial" w:hAnsi="Arial"/>
          <w:color w:val="1C2833"/>
          <w:sz w:val="22"/>
          <w:szCs w:val="22"/>
        </w:rPr>
        <w:t xml:space="preserve">Specifies concrete data structures (DST with 7 defined components), concrete algorithms (entropy-based classification, beam search with MDL scoring, Gaussian-kernel temporal scoring, bootstrapped ablation), and a concrete technical improvement (exponential reduction in computational complexity).</w:t>
      </w:r>
    </w:p>
    <w:p>
      <w:pPr>
        <w:pStyle w:val="ListParagraph"/>
        <w:numPr>
          <w:ilvl w:val="0"/>
          <w:numId w:val="2"/>
        </w:numPr>
        <w:spacing w:after="80" w:line="300"/>
      </w:pPr>
      <w:r>
        <w:rPr>
          <w:rFonts w:ascii="Arial" w:cs="Arial" w:eastAsia="Arial" w:hAnsi="Arial"/>
          <w:b/>
          <w:bCs/>
          <w:color w:val="1C2833"/>
          <w:sz w:val="22"/>
          <w:szCs w:val="22"/>
        </w:rPr>
        <w:t xml:space="preserve">§103: </w:t>
      </w:r>
      <w:r>
        <w:rPr>
          <w:rFonts w:ascii="Arial" w:cs="Arial" w:eastAsia="Arial" w:hAnsi="Arial"/>
          <w:color w:val="1C2833"/>
          <w:sz w:val="22"/>
          <w:szCs w:val="22"/>
        </w:rPr>
        <w:t xml:space="preserve">The combination of surprise-adjusted entity coincidence + learned propagation delay models + entropic beam search + three-test ablation validation has no prior art equivalent. Each individual technique may exist, but their integration into a four-axis tensor with ablation validation within a three-stratum framework is non-obvious.</w:t>
      </w:r>
    </w:p>
    <w:p>
      <w:pPr>
        <w:pStyle w:val="ListParagraph"/>
        <w:numPr>
          <w:ilvl w:val="0"/>
          <w:numId w:val="2"/>
        </w:numPr>
        <w:spacing w:after="80" w:line="300"/>
      </w:pPr>
      <w:r>
        <w:rPr>
          <w:rFonts w:ascii="Arial" w:cs="Arial" w:eastAsia="Arial" w:hAnsi="Arial"/>
          <w:b/>
          <w:bCs/>
          <w:color w:val="1C2833"/>
          <w:sz w:val="22"/>
          <w:szCs w:val="22"/>
        </w:rPr>
        <w:t xml:space="preserve">§112: </w:t>
      </w:r>
      <w:r>
        <w:rPr>
          <w:rFonts w:ascii="Arial" w:cs="Arial" w:eastAsia="Arial" w:hAnsi="Arial"/>
          <w:color w:val="1C2833"/>
          <w:sz w:val="22"/>
          <w:szCs w:val="22"/>
        </w:rPr>
        <w:t xml:space="preserve">Fully specified with actual formulas, worked examples, and complexity bounds in the supporting specification.</w:t>
      </w:r>
    </w:p>
    <w:p>
      <w:r>
        <w:br w:type="page"/>
      </w:r>
    </w:p>
    <w:p>
      <w:pPr>
        <w:pStyle w:val="Heading2"/>
        <w:spacing w:after="160" w:before="300"/>
      </w:pPr>
      <w:r>
        <w:rPr>
          <w:rFonts w:ascii="Arial" w:cs="Arial" w:eastAsia="Arial" w:hAnsi="Arial"/>
          <w:b/>
          <w:bCs/>
          <w:color w:val="0F2B46"/>
          <w:sz w:val="28"/>
          <w:szCs w:val="28"/>
        </w:rPr>
        <w:t xml:space="preserve">Claim 2: Computational Ablation Protocol (CAP) as Independent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5345" w:sz="1"/>
              <w:left w:val="single" w:color="0B5345" w:sz="8"/>
              <w:bottom w:val="single" w:color="0B5345" w:sz="1"/>
              <w:right w:val="single" w:color="0B5345" w:sz="1"/>
            </w:tcBorders>
            <w:shd w:fill="E8F5E9" w:val="clear"/>
            <w:tcMar>
              <w:top w:type="dxa" w:w="120"/>
              <w:left w:type="dxa" w:w="200"/>
              <w:bottom w:type="dxa" w:w="120"/>
              <w:right w:type="dxa" w:w="200"/>
            </w:tcMar>
          </w:tcPr>
          <w:p>
            <w:pPr>
              <w:spacing w:after="80"/>
            </w:pPr>
            <w:r>
              <w:rPr>
                <w:rFonts w:ascii="Arial" w:cs="Arial" w:eastAsia="Arial" w:hAnsi="Arial"/>
                <w:b/>
                <w:bCs/>
                <w:color w:val="0B5345"/>
                <w:sz w:val="22"/>
                <w:szCs w:val="22"/>
              </w:rPr>
              <w:t xml:space="preserve">GRANT PROBABILITY: 90–95%</w:t>
            </w:r>
          </w:p>
          <w:p>
            <w:pPr>
              <w:spacing w:after="0" w:line="280"/>
            </w:pPr>
            <w:r>
              <w:rPr>
                <w:rFonts w:ascii="Arial" w:cs="Arial" w:eastAsia="Arial" w:hAnsi="Arial"/>
                <w:color w:val="1C2833"/>
                <w:sz w:val="20"/>
                <w:szCs w:val="20"/>
              </w:rPr>
              <w:t xml:space="preserve">Counterfactual ablation for cross-stratum anomaly validation is genuinely novel. No AIOps or monitoring tool performs systematic data-removal-and-recomputation to prove causality between anomalies in different data strata.</w:t>
            </w:r>
          </w:p>
        </w:tc>
      </w:tr>
    </w:tbl>
    <w:p>
      <w:pPr>
        <w:spacing w:after="80"/>
      </w:pPr>
    </w:p>
    <w:p>
      <w:pPr>
        <w:spacing w:after="140" w:line="300"/>
        <w:jc w:val="left"/>
      </w:pPr>
      <w:r>
        <w:rPr>
          <w:rFonts w:ascii="Arial" w:cs="Arial" w:eastAsia="Arial" w:hAnsi="Arial"/>
          <w:b/>
          <w:bCs/>
          <w:i/>
          <w:iCs/>
          <w:color w:val="1C2833"/>
          <w:sz w:val="22"/>
          <w:szCs w:val="22"/>
        </w:rPr>
        <w:t xml:space="preserve">A computer-implemented method for validating causal relationships between anomalies detected in different abstraction strata of a computing system, the method comprising:</w:t>
      </w:r>
    </w:p>
    <w:p>
      <w:pPr>
        <w:spacing w:after="140" w:line="300"/>
        <w:jc w:val="left"/>
      </w:pPr>
      <w:r>
        <w:rPr>
          <w:rFonts w:ascii="Arial" w:cs="Arial" w:eastAsia="Arial" w:hAnsi="Arial"/>
          <w:i/>
          <w:iCs/>
          <w:color w:val="1C2833"/>
          <w:sz w:val="22"/>
          <w:szCs w:val="22"/>
        </w:rPr>
        <w:t xml:space="preserve">(a) receiving a candidate correlation between a first Deviation Signature Tensor from a first stratum and a second Deviation Signature Tensor from a different stratum;</w:t>
      </w:r>
    </w:p>
    <w:p>
      <w:pPr>
        <w:spacing w:after="140" w:line="300"/>
        <w:jc w:val="left"/>
      </w:pPr>
      <w:r>
        <w:rPr>
          <w:rFonts w:ascii="Arial" w:cs="Arial" w:eastAsia="Arial" w:hAnsi="Arial"/>
          <w:i/>
          <w:iCs/>
          <w:color w:val="1C2833"/>
          <w:sz w:val="22"/>
          <w:szCs w:val="22"/>
        </w:rPr>
        <w:t xml:space="preserve">(b) performing an exclusivity ablation by: removing all data records associated with the first tensor’s entity set from the dataset used to compute the second tensor’s anomaly, recomputing the second tensor’s anomaly score on the remaining data, and determining whether the anomaly score reduction exceeds a significance threshold;</w:t>
      </w:r>
    </w:p>
    <w:p>
      <w:pPr>
        <w:spacing w:after="140" w:line="300"/>
        <w:jc w:val="left"/>
      </w:pPr>
      <w:r>
        <w:rPr>
          <w:rFonts w:ascii="Arial" w:cs="Arial" w:eastAsia="Arial" w:hAnsi="Arial"/>
          <w:i/>
          <w:iCs/>
          <w:color w:val="1C2833"/>
          <w:sz w:val="22"/>
          <w:szCs w:val="22"/>
        </w:rPr>
        <w:t xml:space="preserve">(c) performing a sufficiency ablation by: using only the first tensor’s entity set and temporal envelope to predict the second tensor’s anomaly magnitude, and determining whether the prediction accuracy exceeds a sufficiency threshold;</w:t>
      </w:r>
    </w:p>
    <w:p>
      <w:pPr>
        <w:spacing w:after="140" w:line="300"/>
        <w:jc w:val="left"/>
      </w:pPr>
      <w:r>
        <w:rPr>
          <w:rFonts w:ascii="Arial" w:cs="Arial" w:eastAsia="Arial" w:hAnsi="Arial"/>
          <w:i/>
          <w:iCs/>
          <w:color w:val="1C2833"/>
          <w:sz w:val="22"/>
          <w:szCs w:val="22"/>
        </w:rPr>
        <w:t xml:space="preserve">(d) performing a minimality ablation for correlations involving three or more tensors by: iteratively removing each tensor and testing whether the remaining set still explains the observed anomaly, retaining only tensors whose removal reduces explanation quality below the sufficiency threshold;</w:t>
      </w:r>
    </w:p>
    <w:p>
      <w:pPr>
        <w:spacing w:after="140" w:line="300"/>
        <w:jc w:val="left"/>
      </w:pPr>
      <w:r>
        <w:rPr>
          <w:rFonts w:ascii="Arial" w:cs="Arial" w:eastAsia="Arial" w:hAnsi="Arial"/>
          <w:i/>
          <w:iCs/>
          <w:color w:val="1C2833"/>
          <w:sz w:val="22"/>
          <w:szCs w:val="22"/>
        </w:rPr>
        <w:t xml:space="preserve">(e) computing bootstrapped confidence intervals for each test using at least 1,000 random subsamples; and</w:t>
      </w:r>
    </w:p>
    <w:p>
      <w:pPr>
        <w:spacing w:after="140" w:line="300"/>
        <w:jc w:val="left"/>
      </w:pPr>
      <w:r>
        <w:rPr>
          <w:rFonts w:ascii="Arial" w:cs="Arial" w:eastAsia="Arial" w:hAnsi="Arial"/>
          <w:i/>
          <w:iCs/>
          <w:color w:val="1C2833"/>
          <w:sz w:val="22"/>
          <w:szCs w:val="22"/>
        </w:rPr>
        <w:t xml:space="preserve">(f) classifying the correlation as causal only when all applicable tests pass at a specified statistical significance level.</w:t>
      </w:r>
    </w:p>
    <w:p>
      <w:pPr>
        <w:spacing w:after="80"/>
      </w:pPr>
    </w:p>
    <w:p>
      <w:pPr>
        <w:spacing w:after="140" w:line="300"/>
      </w:pPr>
      <w:r>
        <w:rPr>
          <w:rFonts w:ascii="Arial" w:cs="Arial" w:eastAsia="Arial" w:hAnsi="Arial"/>
          <w:b/>
          <w:bCs/>
          <w:i w:val="false"/>
          <w:iCs w:val="false"/>
          <w:color w:val="1C2833"/>
          <w:sz w:val="22"/>
          <w:szCs w:val="22"/>
        </w:rPr>
        <w:t xml:space="preserve">Why this survives:</w:t>
      </w:r>
    </w:p>
    <w:p>
      <w:pPr>
        <w:pStyle w:val="ListParagraph"/>
        <w:numPr>
          <w:ilvl w:val="0"/>
          <w:numId w:val="2"/>
        </w:numPr>
        <w:spacing w:after="80" w:line="300"/>
      </w:pPr>
      <w:r>
        <w:rPr>
          <w:rFonts w:ascii="Arial" w:cs="Arial" w:eastAsia="Arial" w:hAnsi="Arial"/>
          <w:b/>
          <w:bCs/>
          <w:color w:val="1C2833"/>
          <w:sz w:val="22"/>
          <w:szCs w:val="22"/>
        </w:rPr>
        <w:t xml:space="preserve">This is the strongest single claim. </w:t>
      </w:r>
      <w:r>
        <w:rPr>
          <w:rFonts w:ascii="Arial" w:cs="Arial" w:eastAsia="Arial" w:hAnsi="Arial"/>
          <w:color w:val="1C2833"/>
          <w:sz w:val="22"/>
          <w:szCs w:val="22"/>
        </w:rPr>
        <w:t xml:space="preserve">Computational ablation (physically removing data and recomputing) applied to cross-stratum anomaly correlation is unprecedented. Existing causal inference methods (Granger causality, do-calculus) operate on time series or structural equation models, not on cross-stratum anomaly tensors with entity sets.</w:t>
      </w:r>
    </w:p>
    <w:p>
      <w:pPr>
        <w:pStyle w:val="ListParagraph"/>
        <w:numPr>
          <w:ilvl w:val="0"/>
          <w:numId w:val="2"/>
        </w:numPr>
        <w:spacing w:after="80" w:line="300"/>
      </w:pPr>
      <w:r>
        <w:rPr>
          <w:rFonts w:ascii="Arial" w:cs="Arial" w:eastAsia="Arial" w:hAnsi="Arial"/>
          <w:b/>
          <w:bCs/>
          <w:color w:val="1C2833"/>
          <w:sz w:val="22"/>
          <w:szCs w:val="22"/>
        </w:rPr>
        <w:t xml:space="preserve">The three-test structure (exclusivity + sufficiency + minimality) with bootstrapped confidence </w:t>
      </w:r>
      <w:r>
        <w:rPr>
          <w:rFonts w:ascii="Arial" w:cs="Arial" w:eastAsia="Arial" w:hAnsi="Arial"/>
          <w:color w:val="1C2833"/>
          <w:sz w:val="22"/>
          <w:szCs w:val="22"/>
        </w:rPr>
        <w:t xml:space="preserve">is a specific, novel protocol. No prior art describes this combination in any context, let alone cross-stratum anomaly correlation.</w:t>
      </w:r>
    </w:p>
    <w:p>
      <w:r>
        <w:br w:type="page"/>
      </w:r>
    </w:p>
    <w:p>
      <w:pPr>
        <w:pStyle w:val="Heading2"/>
        <w:spacing w:after="160" w:before="300"/>
      </w:pPr>
      <w:r>
        <w:rPr>
          <w:rFonts w:ascii="Arial" w:cs="Arial" w:eastAsia="Arial" w:hAnsi="Arial"/>
          <w:b/>
          <w:bCs/>
          <w:color w:val="0F2B46"/>
          <w:sz w:val="28"/>
          <w:szCs w:val="28"/>
        </w:rPr>
        <w:t xml:space="preserve">Claim 3: Entropic Relevance Decomposition (ERD)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5345" w:sz="1"/>
              <w:left w:val="single" w:color="0B5345" w:sz="8"/>
              <w:bottom w:val="single" w:color="0B5345" w:sz="1"/>
              <w:right w:val="single" w:color="0B5345" w:sz="1"/>
            </w:tcBorders>
            <w:shd w:fill="E8F5E9" w:val="clear"/>
            <w:tcMar>
              <w:top w:type="dxa" w:w="120"/>
              <w:left w:type="dxa" w:w="200"/>
              <w:bottom w:type="dxa" w:w="120"/>
              <w:right w:type="dxa" w:w="200"/>
            </w:tcMar>
          </w:tcPr>
          <w:p>
            <w:pPr>
              <w:spacing w:after="80"/>
            </w:pPr>
            <w:r>
              <w:rPr>
                <w:rFonts w:ascii="Arial" w:cs="Arial" w:eastAsia="Arial" w:hAnsi="Arial"/>
                <w:b/>
                <w:bCs/>
                <w:color w:val="0B5345"/>
                <w:sz w:val="22"/>
                <w:szCs w:val="22"/>
              </w:rPr>
              <w:t xml:space="preserve">GRANT PROBABILITY: 85–90%</w:t>
            </w:r>
          </w:p>
          <w:p>
            <w:pPr>
              <w:spacing w:after="0" w:line="280"/>
            </w:pPr>
            <w:r>
              <w:rPr>
                <w:rFonts w:ascii="Arial" w:cs="Arial" w:eastAsia="Arial" w:hAnsi="Arial"/>
                <w:color w:val="1C2833"/>
                <w:sz w:val="20"/>
                <w:szCs w:val="20"/>
              </w:rPr>
              <w:t xml:space="preserve">The beam search with information-gain-minus-complexity-cost scoring for dimensional anomaly localization is novel. OLAP drill-down is user-directed; ERD is autonomous and information-theoretically optimal. Slight risk: an examiner could cite data cube exploration papers, but our MDL-based pruning with beam search is distinguishable.</w:t>
            </w:r>
          </w:p>
        </w:tc>
      </w:tr>
    </w:tbl>
    <w:p>
      <w:pPr>
        <w:spacing w:after="80"/>
      </w:pPr>
    </w:p>
    <w:p>
      <w:pPr>
        <w:spacing w:after="140" w:line="300"/>
        <w:jc w:val="left"/>
      </w:pPr>
      <w:r>
        <w:rPr>
          <w:rFonts w:ascii="Arial" w:cs="Arial" w:eastAsia="Arial" w:hAnsi="Arial"/>
          <w:b/>
          <w:bCs/>
          <w:i/>
          <w:iCs/>
          <w:color w:val="1C2833"/>
          <w:sz w:val="22"/>
          <w:szCs w:val="22"/>
        </w:rPr>
        <w:t xml:space="preserve">A computer-implemented method for identifying the most informationally relevant dimensional sub-population affected by an anomaly, the method comprising:</w:t>
      </w:r>
    </w:p>
    <w:p>
      <w:pPr>
        <w:spacing w:after="140" w:line="300"/>
        <w:jc w:val="left"/>
      </w:pPr>
      <w:r>
        <w:rPr>
          <w:rFonts w:ascii="Arial" w:cs="Arial" w:eastAsia="Arial" w:hAnsi="Arial"/>
          <w:i/>
          <w:iCs/>
          <w:color w:val="1C2833"/>
          <w:sz w:val="22"/>
          <w:szCs w:val="22"/>
        </w:rPr>
        <w:t xml:space="preserve">(a) receiving an anomaly representation with associated dimensional attributes;</w:t>
      </w:r>
    </w:p>
    <w:p>
      <w:pPr>
        <w:spacing w:after="140" w:line="300"/>
        <w:jc w:val="left"/>
      </w:pPr>
      <w:r>
        <w:rPr>
          <w:rFonts w:ascii="Arial" w:cs="Arial" w:eastAsia="Arial" w:hAnsi="Arial"/>
          <w:i/>
          <w:iCs/>
          <w:color w:val="1C2833"/>
          <w:sz w:val="22"/>
          <w:szCs w:val="22"/>
        </w:rPr>
        <w:t xml:space="preserve">(b) initializing a beam of width w with the top-w single-dimension slices ranked by an entropic relevance score, wherein the entropic relevance score is computed as the difference between an information gain based on anomaly concentration in the slice relative to the parent population and a complexity cost based on the number and cardinality of dimensions defining the slice;</w:t>
      </w:r>
    </w:p>
    <w:p>
      <w:pPr>
        <w:spacing w:after="140" w:line="300"/>
        <w:jc w:val="left"/>
      </w:pPr>
      <w:r>
        <w:rPr>
          <w:rFonts w:ascii="Arial" w:cs="Arial" w:eastAsia="Arial" w:hAnsi="Arial"/>
          <w:i/>
          <w:iCs/>
          <w:color w:val="1C2833"/>
          <w:sz w:val="22"/>
          <w:szCs w:val="22"/>
        </w:rPr>
        <w:t xml:space="preserve">(c) iteratively expanding the beam by adding one dimension to each surviving slice, computing the entropic relevance score for each expansion, pruning expansions where complexity cost exceeds information gain, and retaining only the top-w candidates at each depth;</w:t>
      </w:r>
    </w:p>
    <w:p>
      <w:pPr>
        <w:spacing w:after="140" w:line="300"/>
        <w:jc w:val="left"/>
      </w:pPr>
      <w:r>
        <w:rPr>
          <w:rFonts w:ascii="Arial" w:cs="Arial" w:eastAsia="Arial" w:hAnsi="Arial"/>
          <w:i/>
          <w:iCs/>
          <w:color w:val="1C2833"/>
          <w:sz w:val="22"/>
          <w:szCs w:val="22"/>
        </w:rPr>
        <w:t xml:space="preserve">(d) terminating when no expansion at the current depth produces a higher score than the best slice at the previous depth; and</w:t>
      </w:r>
    </w:p>
    <w:p>
      <w:pPr>
        <w:spacing w:after="140" w:line="300"/>
        <w:jc w:val="left"/>
      </w:pPr>
      <w:r>
        <w:rPr>
          <w:rFonts w:ascii="Arial" w:cs="Arial" w:eastAsia="Arial" w:hAnsi="Arial"/>
          <w:i/>
          <w:iCs/>
          <w:color w:val="1C2833"/>
          <w:sz w:val="22"/>
          <w:szCs w:val="22"/>
        </w:rPr>
        <w:t xml:space="preserve">(e) outputting the highest-scoring slice as the most informationally relevant sub-population, along with the count of slices evaluated versus the total possible search space.</w:t>
      </w:r>
    </w:p>
    <w:p>
      <w:pPr>
        <w:spacing w:after="80"/>
      </w:pPr>
    </w:p>
    <w:p>
      <w:pPr>
        <w:spacing w:after="140" w:line="300"/>
      </w:pPr>
      <w:r>
        <w:rPr>
          <w:rFonts w:ascii="Arial" w:cs="Arial" w:eastAsia="Arial" w:hAnsi="Arial"/>
          <w:b/>
          <w:bCs/>
          <w:i w:val="false"/>
          <w:iCs w:val="false"/>
          <w:color w:val="1C2833"/>
          <w:sz w:val="22"/>
          <w:szCs w:val="22"/>
        </w:rPr>
        <w:t xml:space="preserve">Why this survives:</w:t>
      </w:r>
    </w:p>
    <w:p>
      <w:pPr>
        <w:pStyle w:val="ListParagraph"/>
        <w:numPr>
          <w:ilvl w:val="0"/>
          <w:numId w:val="2"/>
        </w:numPr>
        <w:spacing w:after="80" w:line="300"/>
      </w:pPr>
      <w:r>
        <w:rPr>
          <w:rFonts w:ascii="Arial" w:cs="Arial" w:eastAsia="Arial" w:hAnsi="Arial"/>
          <w:b/>
          <w:bCs/>
          <w:color w:val="1C2833"/>
          <w:sz w:val="22"/>
          <w:szCs w:val="22"/>
        </w:rPr>
        <w:t xml:space="preserve">The specific combination of beam search + MDL-inspired scoring + anomaly-driven stopping criterion </w:t>
      </w:r>
      <w:r>
        <w:rPr>
          <w:rFonts w:ascii="Arial" w:cs="Arial" w:eastAsia="Arial" w:hAnsi="Arial"/>
          <w:color w:val="1C2833"/>
          <w:sz w:val="22"/>
          <w:szCs w:val="22"/>
        </w:rPr>
        <w:t xml:space="preserve">is not found in prior art. OLAP systems do top-down drill-down. Data mining systems do subgroup discovery. Neither uses information-gain-minus-description-cost with beam search and automatic termination.</w:t>
      </w:r>
    </w:p>
    <w:p>
      <w:r>
        <w:br w:type="page"/>
      </w:r>
    </w:p>
    <w:p>
      <w:pPr>
        <w:pStyle w:val="Heading2"/>
        <w:spacing w:after="160" w:before="300"/>
      </w:pPr>
      <w:r>
        <w:rPr>
          <w:rFonts w:ascii="Arial" w:cs="Arial" w:eastAsia="Arial" w:hAnsi="Arial"/>
          <w:b/>
          <w:bCs/>
          <w:color w:val="0F2B46"/>
          <w:sz w:val="28"/>
          <w:szCs w:val="28"/>
        </w:rPr>
        <w:t xml:space="preserve">Claim 4: Observable API Output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5345" w:sz="1"/>
              <w:left w:val="single" w:color="0B5345" w:sz="8"/>
              <w:bottom w:val="single" w:color="0B5345" w:sz="1"/>
              <w:right w:val="single" w:color="0B5345" w:sz="1"/>
            </w:tcBorders>
            <w:shd w:fill="E8F5E9" w:val="clear"/>
            <w:tcMar>
              <w:top w:type="dxa" w:w="120"/>
              <w:left w:type="dxa" w:w="200"/>
              <w:bottom w:type="dxa" w:w="120"/>
              <w:right w:type="dxa" w:w="200"/>
            </w:tcMar>
          </w:tcPr>
          <w:p>
            <w:pPr>
              <w:spacing w:after="80"/>
            </w:pPr>
            <w:r>
              <w:rPr>
                <w:rFonts w:ascii="Arial" w:cs="Arial" w:eastAsia="Arial" w:hAnsi="Arial"/>
                <w:b/>
                <w:bCs/>
                <w:color w:val="0B5345"/>
                <w:sz w:val="22"/>
                <w:szCs w:val="22"/>
              </w:rPr>
              <w:t xml:space="preserve">GRANT PROBABILITY: 90–95%</w:t>
            </w:r>
          </w:p>
          <w:p>
            <w:pPr>
              <w:spacing w:after="0" w:line="280"/>
            </w:pPr>
            <w:r>
              <w:rPr>
                <w:rFonts w:ascii="Arial" w:cs="Arial" w:eastAsia="Arial" w:hAnsi="Arial"/>
                <w:color w:val="1C2833"/>
                <w:sz w:val="20"/>
                <w:szCs w:val="20"/>
              </w:rPr>
              <w:t xml:space="preserve">Observable output claims are highly enforceable and examiners rarely challenge them on novelty grounds because the specific output schema is inherently tied to the novel system. This is a practical claim that makes the entire patent more valuable.</w:t>
            </w:r>
          </w:p>
        </w:tc>
      </w:tr>
    </w:tbl>
    <w:p>
      <w:pPr>
        <w:spacing w:after="80"/>
      </w:pPr>
    </w:p>
    <w:p>
      <w:pPr>
        <w:spacing w:after="140" w:line="300"/>
        <w:jc w:val="left"/>
      </w:pPr>
      <w:r>
        <w:rPr>
          <w:rFonts w:ascii="Arial" w:cs="Arial" w:eastAsia="Arial" w:hAnsi="Arial"/>
          <w:b/>
          <w:bCs/>
          <w:i/>
          <w:iCs/>
          <w:color w:val="1C2833"/>
          <w:sz w:val="22"/>
          <w:szCs w:val="22"/>
        </w:rPr>
        <w:t xml:space="preserve">A computer-implemented method for generating a structured causal insight output, the method comprising:</w:t>
      </w:r>
    </w:p>
    <w:p>
      <w:pPr>
        <w:spacing w:after="140" w:line="300"/>
        <w:jc w:val="left"/>
      </w:pPr>
      <w:r>
        <w:rPr>
          <w:rFonts w:ascii="Arial" w:cs="Arial" w:eastAsia="Arial" w:hAnsi="Arial"/>
          <w:i/>
          <w:iCs/>
          <w:color w:val="1C2833"/>
          <w:sz w:val="22"/>
          <w:szCs w:val="22"/>
        </w:rPr>
        <w:t xml:space="preserve">(a) receiving data from at least three heterogeneous data sources corresponding to different abstraction strata;</w:t>
      </w:r>
    </w:p>
    <w:p>
      <w:pPr>
        <w:spacing w:after="140" w:line="300"/>
        <w:jc w:val="left"/>
      </w:pPr>
      <w:r>
        <w:rPr>
          <w:rFonts w:ascii="Arial" w:cs="Arial" w:eastAsia="Arial" w:hAnsi="Arial"/>
          <w:i/>
          <w:iCs/>
          <w:color w:val="1C2833"/>
          <w:sz w:val="22"/>
          <w:szCs w:val="22"/>
        </w:rPr>
        <w:t xml:space="preserve">(b) detecting anomalous deviations independently within each stratum;</w:t>
      </w:r>
    </w:p>
    <w:p>
      <w:pPr>
        <w:spacing w:after="140" w:line="300"/>
        <w:jc w:val="left"/>
      </w:pPr>
      <w:r>
        <w:rPr>
          <w:rFonts w:ascii="Arial" w:cs="Arial" w:eastAsia="Arial" w:hAnsi="Arial"/>
          <w:i/>
          <w:iCs/>
          <w:color w:val="1C2833"/>
          <w:sz w:val="22"/>
          <w:szCs w:val="22"/>
        </w:rPr>
        <w:t xml:space="preserve">(c) correlating deviations across strata using multi-axis similarity scoring;</w:t>
      </w:r>
    </w:p>
    <w:p>
      <w:pPr>
        <w:spacing w:after="140" w:line="300"/>
        <w:jc w:val="left"/>
      </w:pPr>
      <w:r>
        <w:rPr>
          <w:rFonts w:ascii="Arial" w:cs="Arial" w:eastAsia="Arial" w:hAnsi="Arial"/>
          <w:i/>
          <w:iCs/>
          <w:color w:val="1C2833"/>
          <w:sz w:val="22"/>
          <w:szCs w:val="22"/>
        </w:rPr>
        <w:t xml:space="preserve">(d) validating correlations through computational ablation; and</w:t>
      </w:r>
    </w:p>
    <w:p>
      <w:pPr>
        <w:spacing w:after="140" w:line="300"/>
        <w:jc w:val="left"/>
      </w:pPr>
      <w:r>
        <w:rPr>
          <w:rFonts w:ascii="Arial" w:cs="Arial" w:eastAsia="Arial" w:hAnsi="Arial"/>
          <w:i/>
          <w:iCs/>
          <w:color w:val="1C2833"/>
          <w:sz w:val="22"/>
          <w:szCs w:val="22"/>
        </w:rPr>
        <w:t xml:space="preserve">(e) outputting via an application programming interface a structured data object comprising: a composite causal confidence score between 0.0 and 1.0, individual similarity scores for each of four orthogonal correlation axes, a root cause identification with stratum origin label, a list of affected entity identifiers resolved to canonical form, a causal chain as an ordered sequence of stratum-labeled deviations, ablation test results for each validation test, and a provenance hash chain.</w:t>
      </w:r>
    </w:p>
    <w:p>
      <w:pPr>
        <w:spacing w:after="80"/>
      </w:pPr>
    </w:p>
    <w:p>
      <w:pPr>
        <w:spacing w:after="140" w:line="300"/>
      </w:pPr>
      <w:r>
        <w:rPr>
          <w:rFonts w:ascii="Arial" w:cs="Arial" w:eastAsia="Arial" w:hAnsi="Arial"/>
          <w:b/>
          <w:bCs/>
          <w:i w:val="false"/>
          <w:iCs w:val="false"/>
          <w:color w:val="1C2833"/>
          <w:sz w:val="22"/>
          <w:szCs w:val="22"/>
        </w:rPr>
        <w:t xml:space="preserve">Why this survives:</w:t>
      </w:r>
    </w:p>
    <w:p>
      <w:pPr>
        <w:pStyle w:val="ListParagraph"/>
        <w:numPr>
          <w:ilvl w:val="0"/>
          <w:numId w:val="2"/>
        </w:numPr>
        <w:spacing w:after="80" w:line="300"/>
      </w:pPr>
      <w:r>
        <w:rPr>
          <w:rFonts w:ascii="Arial" w:cs="Arial" w:eastAsia="Arial" w:hAnsi="Arial"/>
          <w:b/>
          <w:bCs/>
          <w:color w:val="1C2833"/>
          <w:sz w:val="22"/>
          <w:szCs w:val="22"/>
        </w:rPr>
        <w:t xml:space="preserve">Enforceability: </w:t>
      </w:r>
      <w:r>
        <w:rPr>
          <w:rFonts w:ascii="Arial" w:cs="Arial" w:eastAsia="Arial" w:hAnsi="Arial"/>
          <w:color w:val="1C2833"/>
          <w:sz w:val="22"/>
          <w:szCs w:val="22"/>
        </w:rPr>
        <w:t xml:space="preserve">You can detect infringement by calling a competitor’s API and inspecting the response. If the output contains four-axis scores, ablation results, and a provenance chain, they’re using your method.</w:t>
      </w:r>
    </w:p>
    <w:p>
      <w:pPr>
        <w:pStyle w:val="ListParagraph"/>
        <w:numPr>
          <w:ilvl w:val="0"/>
          <w:numId w:val="2"/>
        </w:numPr>
        <w:spacing w:after="80" w:line="300"/>
      </w:pPr>
      <w:r>
        <w:rPr>
          <w:rFonts w:ascii="Arial" w:cs="Arial" w:eastAsia="Arial" w:hAnsi="Arial"/>
          <w:b/>
          <w:bCs/>
          <w:color w:val="1C2833"/>
          <w:sz w:val="22"/>
          <w:szCs w:val="22"/>
        </w:rPr>
        <w:t xml:space="preserve">The output schema IS the invention: </w:t>
      </w:r>
      <w:r>
        <w:rPr>
          <w:rFonts w:ascii="Arial" w:cs="Arial" w:eastAsia="Arial" w:hAnsi="Arial"/>
          <w:color w:val="1C2833"/>
          <w:sz w:val="22"/>
          <w:szCs w:val="22"/>
        </w:rPr>
        <w:t xml:space="preserve">No existing tool produces this specific output structure because no existing tool performs this specific analysis.</w:t>
      </w:r>
    </w:p>
    <w:p>
      <w:r>
        <w:br w:type="page"/>
      </w:r>
    </w:p>
    <w:p>
      <w:pPr>
        <w:pStyle w:val="Heading2"/>
        <w:spacing w:after="160" w:before="300"/>
      </w:pPr>
      <w:r>
        <w:rPr>
          <w:rFonts w:ascii="Arial" w:cs="Arial" w:eastAsia="Arial" w:hAnsi="Arial"/>
          <w:b/>
          <w:bCs/>
          <w:color w:val="0F2B46"/>
          <w:sz w:val="28"/>
          <w:szCs w:val="28"/>
        </w:rPr>
        <w:t xml:space="preserve">Claim 5: Constrained LLM Hypothesis Generation (CIL)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5345" w:sz="1"/>
              <w:left w:val="single" w:color="0B5345" w:sz="8"/>
              <w:bottom w:val="single" w:color="0B5345" w:sz="1"/>
              <w:right w:val="single" w:color="0B5345" w:sz="1"/>
            </w:tcBorders>
            <w:shd w:fill="E8F5E9" w:val="clear"/>
            <w:tcMar>
              <w:top w:type="dxa" w:w="120"/>
              <w:left w:type="dxa" w:w="200"/>
              <w:bottom w:type="dxa" w:w="120"/>
              <w:right w:type="dxa" w:w="200"/>
            </w:tcMar>
          </w:tcPr>
          <w:p>
            <w:pPr>
              <w:spacing w:after="80"/>
            </w:pPr>
            <w:r>
              <w:rPr>
                <w:rFonts w:ascii="Arial" w:cs="Arial" w:eastAsia="Arial" w:hAnsi="Arial"/>
                <w:b/>
                <w:bCs/>
                <w:color w:val="0B5345"/>
                <w:sz w:val="22"/>
                <w:szCs w:val="22"/>
              </w:rPr>
              <w:t xml:space="preserve">GRANT PROBABILITY: 85–90%</w:t>
            </w:r>
          </w:p>
          <w:p>
            <w:pPr>
              <w:spacing w:after="0" w:line="280"/>
            </w:pPr>
            <w:r>
              <w:rPr>
                <w:rFonts w:ascii="Arial" w:cs="Arial" w:eastAsia="Arial" w:hAnsi="Arial"/>
                <w:color w:val="1C2833"/>
                <w:sz w:val="20"/>
                <w:szCs w:val="20"/>
              </w:rPr>
              <w:t xml:space="preserve">The novelty here is not “using an LLM” (obvious) but the constraint architecture: statistical veto, citation verification, directional consistency checking, and confidence calibration. This specific containment protocol for reliability-critical LLM integration has no prior art.</w:t>
            </w:r>
          </w:p>
        </w:tc>
      </w:tr>
    </w:tbl>
    <w:p>
      <w:pPr>
        <w:spacing w:after="80"/>
      </w:pPr>
    </w:p>
    <w:p>
      <w:pPr>
        <w:spacing w:after="140" w:line="300"/>
        <w:jc w:val="left"/>
      </w:pPr>
      <w:r>
        <w:rPr>
          <w:rFonts w:ascii="Arial" w:cs="Arial" w:eastAsia="Arial" w:hAnsi="Arial"/>
          <w:b/>
          <w:bCs/>
          <w:i/>
          <w:iCs/>
          <w:color w:val="1C2833"/>
          <w:sz w:val="22"/>
          <w:szCs w:val="22"/>
        </w:rPr>
        <w:t xml:space="preserve">A computer-implemented method for generating mechanistic causal explanations for statistically validated cross-stratum anomaly correlations, the method comprising:</w:t>
      </w:r>
    </w:p>
    <w:p>
      <w:pPr>
        <w:spacing w:after="140" w:line="300"/>
        <w:jc w:val="left"/>
      </w:pPr>
      <w:r>
        <w:rPr>
          <w:rFonts w:ascii="Arial" w:cs="Arial" w:eastAsia="Arial" w:hAnsi="Arial"/>
          <w:i/>
          <w:iCs/>
          <w:color w:val="1C2833"/>
          <w:sz w:val="22"/>
          <w:szCs w:val="22"/>
        </w:rPr>
        <w:t xml:space="preserve">(a) receiving a validated causal insight graph wherein causal relationships have been validated through computational ablation testing with statistical significance bounds;</w:t>
      </w:r>
    </w:p>
    <w:p>
      <w:pPr>
        <w:spacing w:after="140" w:line="300"/>
        <w:jc w:val="left"/>
      </w:pPr>
      <w:r>
        <w:rPr>
          <w:rFonts w:ascii="Arial" w:cs="Arial" w:eastAsia="Arial" w:hAnsi="Arial"/>
          <w:i/>
          <w:iCs/>
          <w:color w:val="1C2833"/>
          <w:sz w:val="22"/>
          <w:szCs w:val="22"/>
        </w:rPr>
        <w:t xml:space="preserve">(b) constructing a retrieval query from the validated graph and querying a knowledge index comprising change records, system documentation, vendor advisories, and historical incident postmortems;</w:t>
      </w:r>
    </w:p>
    <w:p>
      <w:pPr>
        <w:spacing w:after="140" w:line="300"/>
        <w:jc w:val="left"/>
      </w:pPr>
      <w:r>
        <w:rPr>
          <w:rFonts w:ascii="Arial" w:cs="Arial" w:eastAsia="Arial" w:hAnsi="Arial"/>
          <w:i/>
          <w:iCs/>
          <w:color w:val="1C2833"/>
          <w:sz w:val="22"/>
          <w:szCs w:val="22"/>
        </w:rPr>
        <w:t xml:space="preserve">(c) providing the validated causal structure and retrieved documents to a large language model with constraints requiring: citation of specific retrieved documents, consistency with the statistically proven causal direction, and explicit reporting of insufficient evidence when document support is lacking;</w:t>
      </w:r>
    </w:p>
    <w:p>
      <w:pPr>
        <w:spacing w:after="140" w:line="300"/>
        <w:jc w:val="left"/>
      </w:pPr>
      <w:r>
        <w:rPr>
          <w:rFonts w:ascii="Arial" w:cs="Arial" w:eastAsia="Arial" w:hAnsi="Arial"/>
          <w:i/>
          <w:iCs/>
          <w:color w:val="1C2833"/>
          <w:sz w:val="22"/>
          <w:szCs w:val="22"/>
        </w:rPr>
        <w:t xml:space="preserve">(d) programmatically verifying each hypothesis against the validated causal structure by checking causal direction consistency, temporal consistency, entity set consistency, and dimensional locus consistency, discarding any hypothesis failing verification regardless of language model confidence;</w:t>
      </w:r>
    </w:p>
    <w:p>
      <w:pPr>
        <w:spacing w:after="140" w:line="300"/>
        <w:jc w:val="left"/>
      </w:pPr>
      <w:r>
        <w:rPr>
          <w:rFonts w:ascii="Arial" w:cs="Arial" w:eastAsia="Arial" w:hAnsi="Arial"/>
          <w:i/>
          <w:iCs/>
          <w:color w:val="1C2833"/>
          <w:sz w:val="22"/>
          <w:szCs w:val="22"/>
        </w:rPr>
        <w:t xml:space="preserve">(e) programmatically verifying each citation by confirming the cited chunk exists in retrieval results and that the language model’s characterization is semantically consistent with the chunk content; and</w:t>
      </w:r>
    </w:p>
    <w:p>
      <w:pPr>
        <w:spacing w:after="140" w:line="300"/>
        <w:jc w:val="left"/>
      </w:pPr>
      <w:r>
        <w:rPr>
          <w:rFonts w:ascii="Arial" w:cs="Arial" w:eastAsia="Arial" w:hAnsi="Arial"/>
          <w:i/>
          <w:iCs/>
          <w:color w:val="1C2833"/>
          <w:sz w:val="22"/>
          <w:szCs w:val="22"/>
        </w:rPr>
        <w:t xml:space="preserve">(f) outputting ranked mechanistic hypotheses with document citations, provenance hashes, consistency verification results, and calibrated confidence scores.</w:t>
      </w:r>
    </w:p>
    <w:p>
      <w:pPr>
        <w:spacing w:after="80"/>
      </w:pPr>
    </w:p>
    <w:p>
      <w:pPr>
        <w:spacing w:after="140" w:line="300"/>
      </w:pPr>
      <w:r>
        <w:rPr>
          <w:rFonts w:ascii="Arial" w:cs="Arial" w:eastAsia="Arial" w:hAnsi="Arial"/>
          <w:b/>
          <w:bCs/>
          <w:i w:val="false"/>
          <w:iCs w:val="false"/>
          <w:color w:val="1C2833"/>
          <w:sz w:val="22"/>
          <w:szCs w:val="22"/>
        </w:rPr>
        <w:t xml:space="preserve">Why this survives:</w:t>
      </w:r>
    </w:p>
    <w:p>
      <w:pPr>
        <w:pStyle w:val="ListParagraph"/>
        <w:numPr>
          <w:ilvl w:val="0"/>
          <w:numId w:val="2"/>
        </w:numPr>
        <w:spacing w:after="80" w:line="300"/>
      </w:pPr>
      <w:r>
        <w:rPr>
          <w:rFonts w:ascii="Arial" w:cs="Arial" w:eastAsia="Arial" w:hAnsi="Arial"/>
          <w:b/>
          <w:bCs/>
          <w:color w:val="1C2833"/>
          <w:sz w:val="22"/>
          <w:szCs w:val="22"/>
        </w:rPr>
        <w:t xml:space="preserve">The constraint architecture is the invention, not the LLM. </w:t>
      </w:r>
      <w:r>
        <w:rPr>
          <w:rFonts w:ascii="Arial" w:cs="Arial" w:eastAsia="Arial" w:hAnsi="Arial"/>
          <w:color w:val="1C2833"/>
          <w:sz w:val="22"/>
          <w:szCs w:val="22"/>
        </w:rPr>
        <w:t xml:space="preserve">The four-layer containment (retrieval-only, citation verification, statistical consistency, confidence calibration) applied to constrain LLM outputs within a statistically-proven causal framework is genuinely novel.</w:t>
      </w:r>
    </w:p>
    <w:p>
      <w:pPr>
        <w:pStyle w:val="ListParagraph"/>
        <w:numPr>
          <w:ilvl w:val="0"/>
          <w:numId w:val="2"/>
        </w:numPr>
        <w:spacing w:after="80" w:line="300"/>
      </w:pPr>
      <w:r>
        <w:rPr>
          <w:rFonts w:ascii="Arial" w:cs="Arial" w:eastAsia="Arial" w:hAnsi="Arial"/>
          <w:b/>
          <w:bCs/>
          <w:color w:val="1C2833"/>
          <w:sz w:val="22"/>
          <w:szCs w:val="22"/>
        </w:rPr>
        <w:t xml:space="preserve">§101 defense: </w:t>
      </w:r>
      <w:r>
        <w:rPr>
          <w:rFonts w:ascii="Arial" w:cs="Arial" w:eastAsia="Arial" w:hAnsi="Arial"/>
          <w:color w:val="1C2833"/>
          <w:sz w:val="22"/>
          <w:szCs w:val="22"/>
        </w:rPr>
        <w:t xml:space="preserve">This is not “ask AI to explain.” It is a specific computational protocol with defined verification steps, defined data structures (validated causal graphs), and defined rejection criteria.</w:t>
      </w:r>
    </w:p>
    <w:p>
      <w:r>
        <w:br w:type="page"/>
      </w:r>
    </w:p>
    <w:p>
      <w:pPr>
        <w:pStyle w:val="Heading2"/>
        <w:spacing w:after="160" w:before="300"/>
      </w:pPr>
      <w:r>
        <w:rPr>
          <w:rFonts w:ascii="Arial" w:cs="Arial" w:eastAsia="Arial" w:hAnsi="Arial"/>
          <w:b/>
          <w:bCs/>
          <w:color w:val="0F2B46"/>
          <w:sz w:val="28"/>
          <w:szCs w:val="28"/>
        </w:rPr>
        <w:t xml:space="preserve">Claim 6: Retrieval-Augmented Semantic Bridging with Trust Discount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8F5E9" w:val="clear"/>
            <w:tcMar>
              <w:top w:type="dxa" w:w="120"/>
              <w:left w:type="dxa" w:w="200"/>
              <w:bottom w:type="dxa" w:w="120"/>
              <w:right w:type="dxa" w:w="200"/>
            </w:tcMar>
          </w:tcPr>
          <w:p>
            <w:pPr>
              <w:spacing w:after="80"/>
            </w:pPr>
            <w:r>
              <w:rPr>
                <w:rFonts w:ascii="Arial" w:cs="Arial" w:eastAsia="Arial" w:hAnsi="Arial"/>
                <w:b/>
                <w:bCs/>
                <w:color w:val="1D8348"/>
                <w:sz w:val="22"/>
                <w:szCs w:val="22"/>
              </w:rPr>
              <w:t xml:space="preserve">GRANT PROBABILITY: 80–85%</w:t>
            </w:r>
          </w:p>
          <w:p>
            <w:pPr>
              <w:spacing w:after="0" w:line="280"/>
            </w:pPr>
            <w:r>
              <w:rPr>
                <w:rFonts w:ascii="Arial" w:cs="Arial" w:eastAsia="Arial" w:hAnsi="Arial"/>
                <w:color w:val="1C2833"/>
                <w:sz w:val="20"/>
                <w:szCs w:val="20"/>
              </w:rPr>
              <w:t xml:space="preserve">The trust discount factor that caps LLM-derived scores below statistical evidence, with adaptive adjustment based on historical validation rate, is novel. Slight risk: an examiner could argue this is just “weight tuning.” Defense: the formal trust hierarchy (statistical veto over LLM) and the adaptive self-correction mechanism are not found in any prior art.</w:t>
            </w:r>
          </w:p>
        </w:tc>
      </w:tr>
    </w:tbl>
    <w:p>
      <w:pPr>
        <w:spacing w:after="80"/>
      </w:pPr>
    </w:p>
    <w:p>
      <w:pPr>
        <w:spacing w:after="140" w:line="300"/>
        <w:jc w:val="left"/>
      </w:pPr>
      <w:r>
        <w:rPr>
          <w:rFonts w:ascii="Arial" w:cs="Arial" w:eastAsia="Arial" w:hAnsi="Arial"/>
          <w:b/>
          <w:bCs/>
          <w:i/>
          <w:iCs/>
          <w:color w:val="1C2833"/>
          <w:sz w:val="22"/>
          <w:szCs w:val="22"/>
        </w:rPr>
        <w:t xml:space="preserve">A computer-implemented method for computing semantic similarity between anomaly representations when historical co-occurrence data is insufficient, the method comprising:</w:t>
      </w:r>
    </w:p>
    <w:p>
      <w:pPr>
        <w:spacing w:after="140" w:line="300"/>
        <w:jc w:val="left"/>
      </w:pPr>
      <w:r>
        <w:rPr>
          <w:rFonts w:ascii="Arial" w:cs="Arial" w:eastAsia="Arial" w:hAnsi="Arial"/>
          <w:i/>
          <w:iCs/>
          <w:color w:val="1C2833"/>
          <w:sz w:val="22"/>
          <w:szCs w:val="22"/>
        </w:rPr>
        <w:t xml:space="preserve">(a) receiving a pair of Deviation Signature Tensors from different strata having high entity coincidence and temporal precedence but low statistical semantic affinity;</w:t>
      </w:r>
    </w:p>
    <w:p>
      <w:pPr>
        <w:spacing w:after="140" w:line="300"/>
        <w:jc w:val="left"/>
      </w:pPr>
      <w:r>
        <w:rPr>
          <w:rFonts w:ascii="Arial" w:cs="Arial" w:eastAsia="Arial" w:hAnsi="Arial"/>
          <w:i/>
          <w:iCs/>
          <w:color w:val="1C2833"/>
          <w:sz w:val="22"/>
          <w:szCs w:val="22"/>
        </w:rPr>
        <w:t xml:space="preserve">(b) querying a knowledge index with metric names and dimensional context;</w:t>
      </w:r>
    </w:p>
    <w:p>
      <w:pPr>
        <w:spacing w:after="140" w:line="300"/>
        <w:jc w:val="left"/>
      </w:pPr>
      <w:r>
        <w:rPr>
          <w:rFonts w:ascii="Arial" w:cs="Arial" w:eastAsia="Arial" w:hAnsi="Arial"/>
          <w:i/>
          <w:iCs/>
          <w:color w:val="1C2833"/>
          <w:sz w:val="22"/>
          <w:szCs w:val="22"/>
        </w:rPr>
        <w:t xml:space="preserve">(c) providing retrieved documents to a language model to determine whether a causal mechanism connects the metrics;</w:t>
      </w:r>
    </w:p>
    <w:p>
      <w:pPr>
        <w:spacing w:after="140" w:line="300"/>
        <w:jc w:val="left"/>
      </w:pPr>
      <w:r>
        <w:rPr>
          <w:rFonts w:ascii="Arial" w:cs="Arial" w:eastAsia="Arial" w:hAnsi="Arial"/>
          <w:i/>
          <w:iCs/>
          <w:color w:val="1C2833"/>
          <w:sz w:val="22"/>
          <w:szCs w:val="22"/>
        </w:rPr>
        <w:t xml:space="preserve">(d) computing a retrieval-augmented semantic score discounted by a trust factor strictly less than 1.0 that ensures the augmented score is bounded below equivalent statistical evidence; and</w:t>
      </w:r>
    </w:p>
    <w:p>
      <w:pPr>
        <w:spacing w:after="140" w:line="300"/>
        <w:jc w:val="left"/>
      </w:pPr>
      <w:r>
        <w:rPr>
          <w:rFonts w:ascii="Arial" w:cs="Arial" w:eastAsia="Arial" w:hAnsi="Arial"/>
          <w:i/>
          <w:iCs/>
          <w:color w:val="1C2833"/>
          <w:sz w:val="22"/>
          <w:szCs w:val="22"/>
        </w:rPr>
        <w:t xml:space="preserve">(e) subjecting the augmented pair to the same computational ablation validation as statistically-discovered correlations, wherein the statistical engine retains veto authority.</w:t>
      </w:r>
    </w:p>
    <w:p>
      <w:r>
        <w:br w:type="page"/>
      </w:r>
    </w:p>
    <w:p>
      <w:pPr>
        <w:pStyle w:val="Heading2"/>
        <w:spacing w:after="160" w:before="300"/>
      </w:pPr>
      <w:r>
        <w:rPr>
          <w:rFonts w:ascii="Arial" w:cs="Arial" w:eastAsia="Arial" w:hAnsi="Arial"/>
          <w:b/>
          <w:bCs/>
          <w:color w:val="0F2B46"/>
          <w:sz w:val="28"/>
          <w:szCs w:val="28"/>
        </w:rPr>
        <w:t xml:space="preserve">Claim 7: Predictive Precursor Pattern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8F5E9" w:val="clear"/>
            <w:tcMar>
              <w:top w:type="dxa" w:w="120"/>
              <w:left w:type="dxa" w:w="200"/>
              <w:bottom w:type="dxa" w:w="120"/>
              <w:right w:type="dxa" w:w="200"/>
            </w:tcMar>
          </w:tcPr>
          <w:p>
            <w:pPr>
              <w:spacing w:after="80"/>
            </w:pPr>
            <w:r>
              <w:rPr>
                <w:rFonts w:ascii="Arial" w:cs="Arial" w:eastAsia="Arial" w:hAnsi="Arial"/>
                <w:b/>
                <w:bCs/>
                <w:color w:val="1D8348"/>
                <w:sz w:val="22"/>
                <w:szCs w:val="22"/>
              </w:rPr>
              <w:t xml:space="preserve">GRANT PROBABILITY: 80–85%</w:t>
            </w:r>
          </w:p>
          <w:p>
            <w:pPr>
              <w:spacing w:after="0" w:line="280"/>
            </w:pPr>
            <w:r>
              <w:rPr>
                <w:rFonts w:ascii="Arial" w:cs="Arial" w:eastAsia="Arial" w:hAnsi="Arial"/>
                <w:color w:val="1C2833"/>
                <w:sz w:val="20"/>
                <w:szCs w:val="20"/>
              </w:rPr>
              <w:t xml:space="preserve">Pattern sequence matching for predictive warnings is known in concept (complex event processing). What’s novel is applying it to cross-stratum causal graphs (not single-layer events) with temporal decay-weighted completion probability. Moderate risk of CEP prior art citation, but the cross-stratum element distinguishes it.</w:t>
            </w:r>
          </w:p>
        </w:tc>
      </w:tr>
    </w:tbl>
    <w:p>
      <w:pPr>
        <w:spacing w:after="80"/>
      </w:pPr>
    </w:p>
    <w:p>
      <w:pPr>
        <w:spacing w:after="140" w:line="300"/>
        <w:jc w:val="left"/>
      </w:pPr>
      <w:r>
        <w:rPr>
          <w:rFonts w:ascii="Arial" w:cs="Arial" w:eastAsia="Arial" w:hAnsi="Arial"/>
          <w:b/>
          <w:bCs/>
          <w:i/>
          <w:iCs/>
          <w:color w:val="1C2833"/>
          <w:sz w:val="22"/>
          <w:szCs w:val="22"/>
        </w:rPr>
        <w:t xml:space="preserve">A computer-implemented method for predicting system incidents from cross-stratum precursor patterns, the method comprising:</w:t>
      </w:r>
    </w:p>
    <w:p>
      <w:pPr>
        <w:spacing w:after="140" w:line="300"/>
        <w:jc w:val="left"/>
      </w:pPr>
      <w:r>
        <w:rPr>
          <w:rFonts w:ascii="Arial" w:cs="Arial" w:eastAsia="Arial" w:hAnsi="Arial"/>
          <w:i/>
          <w:iCs/>
          <w:color w:val="1C2833"/>
          <w:sz w:val="22"/>
          <w:szCs w:val="22"/>
        </w:rPr>
        <w:t xml:space="preserve">(a) maintaining a precursor sequence library of ordered Deviation Signature Tensor patterns extracted from historically validated causal insight graphs;</w:t>
      </w:r>
    </w:p>
    <w:p>
      <w:pPr>
        <w:spacing w:after="140" w:line="300"/>
        <w:jc w:val="left"/>
      </w:pPr>
      <w:r>
        <w:rPr>
          <w:rFonts w:ascii="Arial" w:cs="Arial" w:eastAsia="Arial" w:hAnsi="Arial"/>
          <w:i/>
          <w:iCs/>
          <w:color w:val="1C2833"/>
          <w:sz w:val="22"/>
          <w:szCs w:val="22"/>
        </w:rPr>
        <w:t xml:space="preserve">(b) upon detecting a new DST, comparing it against stored sequences using stratum type, detection type, and metric class matching;</w:t>
      </w:r>
    </w:p>
    <w:p>
      <w:pPr>
        <w:spacing w:after="140" w:line="300"/>
        <w:jc w:val="left"/>
      </w:pPr>
      <w:r>
        <w:rPr>
          <w:rFonts w:ascii="Arial" w:cs="Arial" w:eastAsia="Arial" w:hAnsi="Arial"/>
          <w:i/>
          <w:iCs/>
          <w:color w:val="1C2833"/>
          <w:sz w:val="22"/>
          <w:szCs w:val="22"/>
        </w:rPr>
        <w:t xml:space="preserve">(c) when a match is found for the first k elements of a stored sequence of length n, computing a predictive probability based on historical completion frequency weighted by temporal decay; and</w:t>
      </w:r>
    </w:p>
    <w:p>
      <w:pPr>
        <w:spacing w:after="140" w:line="300"/>
        <w:jc w:val="left"/>
      </w:pPr>
      <w:r>
        <w:rPr>
          <w:rFonts w:ascii="Arial" w:cs="Arial" w:eastAsia="Arial" w:hAnsi="Arial"/>
          <w:i/>
          <w:iCs/>
          <w:color w:val="1C2833"/>
          <w:sz w:val="22"/>
          <w:szCs w:val="22"/>
        </w:rPr>
        <w:t xml:space="preserve">(d) outputting a predictive warning comprising predicted incident type, confidence score, estimated time to manifestation, and recommended preemptive actions.</w:t>
      </w:r>
    </w:p>
    <w:p>
      <w:r>
        <w:br w:type="page"/>
      </w:r>
    </w:p>
    <w:p>
      <w:pPr>
        <w:pStyle w:val="Heading1"/>
        <w:spacing w:after="200" w:before="400"/>
      </w:pPr>
      <w:r>
        <w:rPr>
          <w:rFonts w:ascii="Arial" w:cs="Arial" w:eastAsia="Arial" w:hAnsi="Arial"/>
          <w:b/>
          <w:bCs/>
          <w:color w:val="0F2B46"/>
          <w:sz w:val="32"/>
          <w:szCs w:val="32"/>
        </w:rPr>
        <w:t xml:space="preserve">3. Tier 2: Strong Probability of Grant (70–85%)</w:t>
      </w:r>
    </w:p>
    <w:p>
      <w:pPr>
        <w:spacing w:after="140" w:line="300"/>
      </w:pPr>
      <w:r>
        <w:rPr>
          <w:rFonts w:ascii="Arial" w:cs="Arial" w:eastAsia="Arial" w:hAnsi="Arial"/>
          <w:b w:val="false"/>
          <w:bCs w:val="false"/>
          <w:i w:val="false"/>
          <w:iCs w:val="false"/>
          <w:color w:val="1C2833"/>
          <w:sz w:val="22"/>
          <w:szCs w:val="22"/>
        </w:rPr>
        <w:t xml:space="preserve">These claims are defensible but will likely face initial rejection and require argument. They are worth filing because the arguments are strong, but they carry more examiner risk than Tier 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360"/>
        <w:gridCol w:w="2200"/>
      </w:tblGrid>
      <w:tr>
        <w:tc>
          <w:tcPr>
            <w:tcW w:type="dxa" w:w="6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Claim Name</w:t>
            </w:r>
          </w:p>
        </w:tc>
        <w:tc>
          <w:tcPr>
            <w:tcW w:type="dxa" w:w="43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Claim Language (Summary)</w:t>
            </w:r>
          </w:p>
        </w:tc>
        <w:tc>
          <w:tcPr>
            <w:tcW w:type="dxa" w:w="22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Risk and Defense</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8</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Zero-Configuration Schema Inference</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Method for automatically classifying data fields into entity/timestamp/dimension/metric roles using entropy, cardinality, and temporal properties without configuration input.</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§103 risk: auto-discovery exists in data catalog tools (Alation, Atlas). Defense: those discover for cataloging, not for correlation operability. The specific sigmoid-based classification vector for correlation purposes is novel.</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9</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Anti-Correlation Detection</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Method for detecting missing expected correlations by comparing current stratum behavior against learned baseline correlation patterns, flagging absent correlations as indicative of system malfunction.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§103 risk: monitoring for “missing events” exists. Defense: monitoring for missing CROSS-STRATUM CORRELATIONS (not missing events) is novel. The baseline correlation expectation model has no prior art equivalent.</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10</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UI Display Claim</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System comprising a user interface displaying: a visual causal chain across strata with directional arrows, affected sub-population identified by dimensional slice, counterfactual ablation results as evidence, and recommended actions with estimated impact.</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Low §103 risk (UI claims are rarely challenged on novelty). Moderate §101 risk: “displaying information” can be abstract. Defense: the displayed information is the output of a specific novel computation (ablation results, dimensional slices).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11</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Hallucination Containment Protocol</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Method comprising four-layer verification of LLM outputs: retrieval-only constraint, citation verification via semantic similarity, statistical consistency checking against validated causal graph, and confidence calibration against historical accuracy.</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§103 risk: hallucination mitigation is a hot research area. Defense: the specific four-layer protocol applied to constrain LLM outputs within CAUSAL frameworks (not factual accuracy) is novel. Temporal/entity/directional consistency checks against ablation-proven structure have no prior art.</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12</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Adaptive Weight Selection for CSCT</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Method wherein CSCT axis weights adapt based on signal characteristics: sudden-onset deviations increase temporal axis weight, gradual drifts increase entity axis weight, cross-domain deviations increase semantic axis weight.</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§103 risk: adaptive weighting is common in ML. Defense: the specific adaptation criteria (signal onset characteristics → axis weight selection) within a cross-stratum correlation tensor is novel. The rules are domain-specific, not generic ML.</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13</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Self-Calibrating Detection Thresholds</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Method for periodically injecting synthetic deviations with known causal relationships and adjusting detection thresholds to maintain target false positive rate.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§103 risk: synthetic data for calibration exists in testing. Defense: synthetic CAUSAL ANOMALY injection across multiple strata for self-calibration of a correlation system is novel. The system creates cross-stratum synthetic scenarios, not single-metric injections.</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14</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Federated Cross-Stratum Correlation</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Method wherein cross-stratum correlation is performed across organizational boundaries with only DSTs (not raw data) shared between domains.</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§103 risk: federated learning is well-known. Defense: federated CORRELATION using DSTs as the privacy-preserving representation is distinct from federated model training. The DST structure enables cross-boundary correlation without data sharing.</w:t>
            </w:r>
          </w:p>
        </w:tc>
      </w:tr>
    </w:tbl>
    <w:p>
      <w:r>
        <w:br w:type="page"/>
      </w:r>
    </w:p>
    <w:p>
      <w:pPr>
        <w:pStyle w:val="Heading1"/>
        <w:spacing w:after="200" w:before="400"/>
      </w:pPr>
      <w:r>
        <w:rPr>
          <w:rFonts w:ascii="Arial" w:cs="Arial" w:eastAsia="Arial" w:hAnsi="Arial"/>
          <w:b/>
          <w:bCs/>
          <w:color w:val="0F2B46"/>
          <w:sz w:val="32"/>
          <w:szCs w:val="32"/>
        </w:rPr>
        <w:t xml:space="preserve">4. Tier 3: Samsung-Specific Embodiment Claims (70–80%)</w:t>
      </w:r>
    </w:p>
    <w:p>
      <w:pPr>
        <w:spacing w:after="140" w:line="300"/>
      </w:pPr>
      <w:r>
        <w:rPr>
          <w:rFonts w:ascii="Arial" w:cs="Arial" w:eastAsia="Arial" w:hAnsi="Arial"/>
          <w:b w:val="false"/>
          <w:bCs w:val="false"/>
          <w:i w:val="false"/>
          <w:iCs w:val="false"/>
          <w:color w:val="1C2833"/>
          <w:sz w:val="22"/>
          <w:szCs w:val="22"/>
        </w:rPr>
        <w:t xml:space="preserve">These dependent claims ground the abstract system in concrete Samsung products. They reduce §101 risk (specific hardware) and increase enforceability (observable in Samsung products) but add limited novelty themselves. Their value is defensive and strategic.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880"/>
        <w:gridCol w:w="2480"/>
      </w:tblGrid>
      <w:tr>
        <w:tc>
          <w:tcPr>
            <w:tcW w:type="dxa" w:w="6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Embodiment</w:t>
            </w:r>
          </w:p>
        </w:tc>
        <w:tc>
          <w:tcPr>
            <w:tcW w:type="dxa" w:w="38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Claim Language (Summary)</w:t>
            </w:r>
          </w:p>
        </w:tc>
        <w:tc>
          <w:tcPr>
            <w:tcW w:type="dxa" w:w="24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Strategic Value</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15</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SmartThings Multi-Protocol</w:t>
            </w:r>
          </w:p>
        </w:tc>
        <w:tc>
          <w:tcPr>
            <w:tcW w:type="dxa" w:w="3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Claim 1 wherein observation stratum comprises device telemetry from Matter, Zigbee, Z-Wave, and WiFi devices, representation stratum comprises energy profiles and device health aggregated across protocols, inference stratum comprises AI home automation decisions.</w:t>
            </w:r>
          </w:p>
        </w:tc>
        <w:tc>
          <w:tcPr>
            <w:tcW w:type="dxa" w:w="24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HIGH. SmartThings has 430M+ users. This claim covers cross-protocol anomaly correlation — a unique SmartThings capability. Competitor lock-out.</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16</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Camera ISP-to-AI Pipeline</w:t>
            </w:r>
          </w:p>
        </w:tc>
        <w:tc>
          <w:tcPr>
            <w:tcW w:type="dxa" w:w="3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Claim 1 wherein observation stratum comprises image sensor output and ISP stage outputs, representation stratum comprises per-frame image quality metrics, inference stratum comprises AI image enhancement model outputs.</w:t>
            </w:r>
          </w:p>
        </w:tc>
        <w:tc>
          <w:tcPr>
            <w:tcW w:type="dxa" w:w="2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HIGH. Covers the hardware-firmware-AI interaction unique to Galaxy camera stack. 200MP ProVisual Engine pipeline is Samsung-specific.</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17</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Foldable Hinge-Display-Software</w:t>
            </w:r>
          </w:p>
        </w:tc>
        <w:tc>
          <w:tcPr>
            <w:tcW w:type="dxa" w:w="3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Claim 1 wherein observation stratum comprises hinge sensor telemetry and display diagnostics from a foldable device, representation stratum comprises fold-angle-dependent display quality metrics, inference stratum comprises software adaptation model outputs.</w:t>
            </w:r>
          </w:p>
        </w:tc>
        <w:tc>
          <w:tcPr>
            <w:tcW w:type="dxa" w:w="24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VERY HIGH. Samsung is the dominant foldable manufacturer. This claim covers an interaction class that ONLY exists in foldable devices. No competitor has equivalent product to even potentially infringe.</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18</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Semiconductor Fabrication</w:t>
            </w:r>
          </w:p>
        </w:tc>
        <w:tc>
          <w:tcPr>
            <w:tcW w:type="dxa" w:w="3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Claim 1 wherein observation stratum comprises fab tool sensor data including lithography alignment, representation stratum comprises process capability indices, inference stratum comprises yield prediction outputs.</w:t>
            </w:r>
          </w:p>
        </w:tc>
        <w:tc>
          <w:tcPr>
            <w:tcW w:type="dxa" w:w="2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HIGH. Samsung Foundry is a strategic asset. Yield improvement is worth millions per percentage point. Defensive value against competitor fab monitoring tools.</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19</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On-Device AI Stack</w:t>
            </w:r>
          </w:p>
        </w:tc>
        <w:tc>
          <w:tcPr>
            <w:tcW w:type="dxa" w:w="3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Claim 1 wherein observation stratum comprises security policy events and AI model resource allocation on a mobile device, representation stratum comprises per-model inference quality metrics, inference stratum comprises multiple concurrent AI model quality scores.</w:t>
            </w:r>
          </w:p>
        </w:tc>
        <w:tc>
          <w:tcPr>
            <w:tcW w:type="dxa" w:w="24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HIGH. Covers the Galaxy AI / Knox / One UI interaction that is central to Samsung’s 2026 strategy. The multi-model-on-shared-NPU correlation is unique.</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20</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Knox-Secured Correlation</w:t>
            </w:r>
          </w:p>
        </w:tc>
        <w:tc>
          <w:tcPr>
            <w:tcW w:type="dxa" w:w="3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Claim 1 further comprising encrypting DSTs using hardware-backed security and performing correlation within a trusted execution environment.</w:t>
            </w:r>
          </w:p>
        </w:tc>
        <w:tc>
          <w:tcPr>
            <w:tcW w:type="dxa" w:w="2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MODERATE. Adds security angle. Useful for enterprise and government markets where Knox is a differentiator.</w:t>
            </w:r>
          </w:p>
        </w:tc>
      </w:tr>
    </w:tbl>
    <w:p>
      <w:r>
        <w:br w:type="page"/>
      </w:r>
    </w:p>
    <w:p>
      <w:pPr>
        <w:pStyle w:val="Heading1"/>
        <w:spacing w:after="200" w:before="400"/>
      </w:pPr>
      <w:r>
        <w:rPr>
          <w:rFonts w:ascii="Arial" w:cs="Arial" w:eastAsia="Arial" w:hAnsi="Arial"/>
          <w:b/>
          <w:bCs/>
          <w:color w:val="0F2B46"/>
          <w:sz w:val="32"/>
          <w:szCs w:val="32"/>
        </w:rPr>
        <w:t xml:space="preserve">5. Claims to DROP or Rework</w:t>
      </w:r>
    </w:p>
    <w:p>
      <w:pPr>
        <w:spacing w:after="140" w:line="300"/>
      </w:pPr>
      <w:r>
        <w:rPr>
          <w:rFonts w:ascii="Arial" w:cs="Arial" w:eastAsia="Arial" w:hAnsi="Arial"/>
          <w:b w:val="false"/>
          <w:bCs w:val="false"/>
          <w:i w:val="false"/>
          <w:iCs w:val="false"/>
          <w:color w:val="1C2833"/>
          <w:sz w:val="22"/>
          <w:szCs w:val="22"/>
        </w:rPr>
        <w:t xml:space="preserve">Filing weak claims wastes examiner bandwidth and can create negative prosecution history that weakens your strong claims. Drop these: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380"/>
        <w:gridCol w:w="2980"/>
      </w:tblGrid>
      <w:tr>
        <w:tc>
          <w:tcPr>
            <w:tcW w:type="dxa" w:w="6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33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9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Correlation Algebra (AND/OR/SEQUENCE)</w:t>
            </w:r>
          </w:p>
        </w:tc>
        <w:tc>
          <w:tcPr>
            <w:tcW w:type="dxa" w:w="3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Complex Event Processing (CEP) has prior art for algebraic event operators going back 20+ years. Drools, Esper, Apache Flink CEP all implement this.</w:t>
            </w:r>
          </w:p>
        </w:tc>
        <w:tc>
          <w:tcPr>
            <w:tcW w:type="dxa" w:w="29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DROP entirely. Not novel.</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Generic domain embodiments ("wherein data comes from healthcare")</w:t>
            </w:r>
          </w:p>
        </w:tc>
        <w:tc>
          <w:tcPr>
            <w:tcW w:type="dxa" w:w="3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Simply specifying a different data domain adds zero novelty. The examiner will correctly point out that applying a system to different data is obvious.</w:t>
            </w:r>
          </w:p>
        </w:tc>
        <w:tc>
          <w:tcPr>
            <w:tcW w:type="dxa" w:w="29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DROP generic ones. KEEP only Samsung-specific ones that reference specific product architectures (hinge sensors, ISP pipeline, NPU resource sharing).</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Immune-inspired memory (as originally named)</w:t>
            </w:r>
          </w:p>
        </w:tc>
        <w:tc>
          <w:tcPr>
            <w:tcW w:type="dxa" w:w="3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The “immune” metaphor invites comparison to Artificial Immune System (AIS) literature, which is extensive. The actual mechanism is simpler than AIS.</w:t>
            </w:r>
          </w:p>
        </w:tc>
        <w:tc>
          <w:tcPr>
            <w:tcW w:type="dxa" w:w="29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REWORK: Reframe as “pattern-indexed correlation cache with temporal decay” — which is what it actually is. Remove all biological metaphors.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Correlation validation graph (as standalone)</w:t>
            </w:r>
          </w:p>
        </w:tc>
        <w:tc>
          <w:tcPr>
            <w:tcW w:type="dxa" w:w="3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Representing correlations as a graph with edge weights is standard graph theory. Not patentable as a standalone claim.</w:t>
            </w:r>
          </w:p>
        </w:tc>
        <w:tc>
          <w:tcPr>
            <w:tcW w:type="dxa" w:w="29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MERGE into Claim 1 as a sub-step, not a standalone claim.</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Remediation ranking by historical success rate</w:t>
            </w:r>
          </w:p>
        </w:tc>
        <w:tc>
          <w:tcPr>
            <w:tcW w:type="dxa" w:w="3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Ranking remediation actions by past success is standard incident management practice (ITIL). Not novel.</w:t>
            </w:r>
          </w:p>
        </w:tc>
        <w:tc>
          <w:tcPr>
            <w:tcW w:type="dxa" w:w="29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KEEP only as a dependent clause within the CIL claim (Claim 5), not standalone.</w:t>
            </w:r>
          </w:p>
        </w:tc>
      </w:tr>
    </w:tbl>
    <w:p>
      <w:r>
        <w:br w:type="page"/>
      </w:r>
    </w:p>
    <w:p>
      <w:pPr>
        <w:pStyle w:val="Heading1"/>
        <w:spacing w:after="200" w:before="400"/>
      </w:pPr>
      <w:r>
        <w:rPr>
          <w:rFonts w:ascii="Arial" w:cs="Arial" w:eastAsia="Arial" w:hAnsi="Arial"/>
          <w:b/>
          <w:bCs/>
          <w:color w:val="0F2B46"/>
          <w:sz w:val="32"/>
          <w:szCs w:val="32"/>
        </w:rPr>
        <w:t xml:space="preserve">6. Recommended Filing Strategy</w:t>
      </w:r>
    </w:p>
    <w:p>
      <w:pPr>
        <w:pStyle w:val="Heading2"/>
        <w:spacing w:after="160" w:before="300"/>
      </w:pPr>
      <w:r>
        <w:rPr>
          <w:rFonts w:ascii="Arial" w:cs="Arial" w:eastAsia="Arial" w:hAnsi="Arial"/>
          <w:b/>
          <w:bCs/>
          <w:color w:val="0F2B46"/>
          <w:sz w:val="28"/>
          <w:szCs w:val="28"/>
        </w:rPr>
        <w:t xml:space="preserve">6.1 File as Two Separate Applications</w:t>
      </w:r>
    </w:p>
    <w:p>
      <w:pPr>
        <w:spacing w:after="140" w:line="300"/>
      </w:pPr>
      <w:r>
        <w:rPr>
          <w:rFonts w:ascii="Arial" w:cs="Arial" w:eastAsia="Arial" w:hAnsi="Arial"/>
          <w:b w:val="false"/>
          <w:bCs w:val="false"/>
          <w:i w:val="false"/>
          <w:iCs w:val="false"/>
          <w:color w:val="1C2833"/>
          <w:sz w:val="22"/>
          <w:szCs w:val="22"/>
        </w:rPr>
        <w:t xml:space="preserve">I recommend splitting the portfolio into two patent applications rather than one monolithic filing. This has three advantages: (1) each application is simpler for the examiner to evaluate, (2) if one application faces issues, it doesn’t delay the other, (3) two patents create a broader defensive perimeter.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36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Claims Included</w:t>
            </w:r>
          </w:p>
        </w:tc>
        <w:tc>
          <w:tcPr>
            <w:tcW w:type="dxa" w:w="36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Application A: Core Statistical Engine</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Claim 1 (DST + Cross-Stratum Method), Claim 2 (CAP Ablation), Claim 3 (ERD Beam Search), Claim 4 (Observable API Output), Claims 8-10, 12-14 (Tier 2 dependents), Claims 15-20 (Samsung embodiments)</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This is the statistical proof system. No LLM dependency. Strongest patent defensibility. Should be filed FIRST as provisional.</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Application B: Contextual Intelligence Layer</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Claim 5 (Constrained LLM Hypothesis), Claim 6 (Semantic Bridging with Trust Discount), Claim 11 (Hallucination Containment), plus dependents for organizational memory retrieval, hybrid RAG, provenance chains, and adaptive confidence calibration</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This is the LLM/RAG intelligence layer. Filed separately because (1) the LLM landscape changes rapidly, (2) independent value even without Application A, and (3) allows different prosecution timelines.</w:t>
            </w:r>
          </w:p>
        </w:tc>
      </w:tr>
    </w:tbl>
    <w:p>
      <w:pPr>
        <w:spacing w:after="80"/>
      </w:pPr>
    </w:p>
    <w:p>
      <w:pPr>
        <w:pStyle w:val="Heading2"/>
        <w:spacing w:after="160" w:before="300"/>
      </w:pPr>
      <w:r>
        <w:rPr>
          <w:rFonts w:ascii="Arial" w:cs="Arial" w:eastAsia="Arial" w:hAnsi="Arial"/>
          <w:b/>
          <w:bCs/>
          <w:color w:val="0F2B46"/>
          <w:sz w:val="28"/>
          <w:szCs w:val="28"/>
        </w:rPr>
        <w:t xml:space="preserve">6.2 Filing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6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c>
          <w:tcPr>
            <w:tcW w:type="dxa" w:w="46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Provisional A</w:t>
            </w:r>
          </w:p>
        </w:tc>
        <w:tc>
          <w:tcPr>
            <w:tcW w:type="dxa" w:w="2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Within 30 days</w:t>
            </w:r>
          </w:p>
        </w:tc>
        <w:tc>
          <w:tcPr>
            <w:tcW w:type="dxa" w:w="4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File Application A provisional with full specification. This establishes priority date for the core statistical engine.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Provisional B</w:t>
            </w:r>
          </w:p>
        </w:tc>
        <w:tc>
          <w:tcPr>
            <w:tcW w:type="dxa" w:w="2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Within 60 days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File Application B provisional. The 30-day gap allows refinement of CIL claims based on any feedback on Application A.</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Non-Provisional A</w:t>
            </w:r>
          </w:p>
        </w:tc>
        <w:tc>
          <w:tcPr>
            <w:tcW w:type="dxa" w:w="2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Within 12 months of Provisional A</w:t>
            </w:r>
          </w:p>
        </w:tc>
        <w:tc>
          <w:tcPr>
            <w:tcW w:type="dxa" w:w="4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File full non-provisional with any claim refinements. Include any new Samsung embodiment claims developed during the year.</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Non-Provisional B</w:t>
            </w:r>
          </w:p>
        </w:tc>
        <w:tc>
          <w:tcPr>
            <w:tcW w:type="dxa" w:w="2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Within 12 months of Provisional B</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File full non-provisional CIL application. The LLM landscape may have shifted — update claims accordingly.</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PCT/International</w:t>
            </w:r>
          </w:p>
        </w:tc>
        <w:tc>
          <w:tcPr>
            <w:tcW w:type="dxa" w:w="2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Within 12 months of earliest provisional</w:t>
            </w:r>
          </w:p>
        </w:tc>
        <w:tc>
          <w:tcPr>
            <w:tcW w:type="dxa" w:w="4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If international protection is desired (especially Korea, EU for Samsung), file PCT application claiming priority from Provisional A.</w:t>
            </w:r>
          </w:p>
        </w:tc>
      </w:tr>
    </w:tbl>
    <w:p>
      <w:pPr>
        <w:spacing w:after="80"/>
      </w:pPr>
    </w:p>
    <w:p>
      <w:pPr>
        <w:pStyle w:val="Heading2"/>
        <w:spacing w:after="160" w:before="300"/>
      </w:pPr>
      <w:r>
        <w:rPr>
          <w:rFonts w:ascii="Arial" w:cs="Arial" w:eastAsia="Arial" w:hAnsi="Arial"/>
          <w:b/>
          <w:bCs/>
          <w:color w:val="0F2B46"/>
          <w:sz w:val="28"/>
          <w:szCs w:val="28"/>
        </w:rPr>
        <w:t xml:space="preserve">6.3 Total Claim Count: Final Recommendation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2560"/>
      </w:tblGrid>
      <w:tr>
        <w:tc>
          <w:tcPr>
            <w:tcW w:type="dxa" w:w="20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Tier 1</w:t>
            </w:r>
          </w:p>
        </w:tc>
        <w:tc>
          <w:tcPr>
            <w:tcW w:type="dxa" w:w="12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Tier 2</w:t>
            </w:r>
          </w:p>
        </w:tc>
        <w:tc>
          <w:tcPr>
            <w:tcW w:type="dxa" w:w="12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Tier 3</w:t>
            </w:r>
          </w:p>
        </w:tc>
        <w:tc>
          <w:tcPr>
            <w:tcW w:type="dxa" w:w="12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25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Independent Claims</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5</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0</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0</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5</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Claims 1–5 from Tier 1 (plus Claims 6–7 as secondary independents)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Dependent Claims (Tier 2)</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7</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7</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Claims 8–14</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Samsung Embodiments</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0</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0</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6</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6</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Claims 15–20</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CIL Dependents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4</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Hallucination containment, hybrid RAG, provenance, adaptive confidence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TOTAL</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5</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7</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6</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22</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Down from 32 — removed 10 weak/redundant claims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5345" w:sz="1"/>
              <w:left w:val="single" w:color="0B5345" w:sz="8"/>
              <w:bottom w:val="single" w:color="0B5345" w:sz="1"/>
              <w:right w:val="single" w:color="0B5345" w:sz="1"/>
            </w:tcBorders>
            <w:shd w:fill="E8F5E9" w:val="clear"/>
            <w:tcMar>
              <w:top w:type="dxa" w:w="120"/>
              <w:left w:type="dxa" w:w="200"/>
              <w:bottom w:type="dxa" w:w="120"/>
              <w:right w:type="dxa" w:w="200"/>
            </w:tcMar>
          </w:tcPr>
          <w:p>
            <w:pPr>
              <w:spacing w:after="80"/>
            </w:pPr>
            <w:r>
              <w:rPr>
                <w:rFonts w:ascii="Arial" w:cs="Arial" w:eastAsia="Arial" w:hAnsi="Arial"/>
                <w:b/>
                <w:bCs/>
                <w:color w:val="0B5345"/>
                <w:sz w:val="22"/>
                <w:szCs w:val="22"/>
              </w:rPr>
              <w:t xml:space="preserve">FILING SUMMARY</w:t>
            </w:r>
          </w:p>
          <w:p>
            <w:pPr>
              <w:spacing w:after="0" w:line="280"/>
            </w:pPr>
            <w:r>
              <w:rPr>
                <w:rFonts w:ascii="Arial" w:cs="Arial" w:eastAsia="Arial" w:hAnsi="Arial"/>
                <w:color w:val="1C2833"/>
                <w:sz w:val="20"/>
                <w:szCs w:val="20"/>
              </w:rPr>
              <w:t xml:space="preserve">Application A: 5 independent + 13 dependent = 18 claims
Application B: 2 independent + 4 dependent = 6 claims
Total: 7 independent + 17 dependent = 24 claims
Estimated grant rate: 18–22 of 24 claims (75–92%)
This is a realistic, defensible portfolio that avoids wasting examiner goodwill on weak claims while maximizing coverage of the genuinely novel innovations.</w:t>
            </w:r>
          </w:p>
        </w:tc>
      </w:tr>
    </w:tbl>
    <w:p>
      <w:r>
        <w:br w:type="page"/>
      </w:r>
    </w:p>
    <w:p>
      <w:pPr>
        <w:pStyle w:val="Heading1"/>
        <w:spacing w:after="200" w:before="400"/>
      </w:pPr>
      <w:r>
        <w:rPr>
          <w:rFonts w:ascii="Arial" w:cs="Arial" w:eastAsia="Arial" w:hAnsi="Arial"/>
          <w:b/>
          <w:bCs/>
          <w:color w:val="0F2B46"/>
          <w:sz w:val="32"/>
          <w:szCs w:val="32"/>
        </w:rPr>
        <w:t xml:space="preserve">7. If You Could Only File 5 Claims: The Essential Portfolio</w:t>
      </w:r>
    </w:p>
    <w:p>
      <w:pPr>
        <w:spacing w:after="140" w:line="300"/>
      </w:pPr>
      <w:r>
        <w:rPr>
          <w:rFonts w:ascii="Arial" w:cs="Arial" w:eastAsia="Arial" w:hAnsi="Arial"/>
          <w:b w:val="false"/>
          <w:bCs w:val="false"/>
          <w:i w:val="false"/>
          <w:iCs w:val="false"/>
          <w:color w:val="1C2833"/>
          <w:sz w:val="22"/>
          <w:szCs w:val="22"/>
        </w:rPr>
        <w:t xml:space="preserve">If budget, time, or strategy limits you to a minimal filing, these are the five claims that capture the maximum intellectual property value: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80"/>
        <w:gridCol w:w="1880"/>
        <w:gridCol w:w="2000"/>
      </w:tblGrid>
      <w:tr>
        <w:tc>
          <w:tcPr>
            <w:tcW w:type="dxa" w:w="6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24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Why This One</w:t>
            </w:r>
          </w:p>
        </w:tc>
        <w:tc>
          <w:tcPr>
            <w:tcW w:type="dxa" w:w="18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Enforceability</w:t>
            </w:r>
          </w:p>
        </w:tc>
        <w:tc>
          <w:tcPr>
            <w:tcW w:type="dxa" w:w="20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Defense Strength</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1</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DST + 4-Axis Correlation + Ablation (Claim 1)</w:t>
            </w:r>
          </w:p>
        </w:tc>
        <w:tc>
          <w:tcPr>
            <w:tcW w:type="dxa" w:w="24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The anchor. Covers the entire core method. Novel data structure + novel scoring + novel validation.</w:t>
            </w:r>
          </w:p>
        </w:tc>
        <w:tc>
          <w:tcPr>
            <w:tcW w:type="dxa" w:w="1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Moderate (backend). Detectable through API output.</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§101: Strong. §103: Very strong. §112: Very strong.</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2</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Computational Ablation Protocol (Claim 2)</w:t>
            </w:r>
          </w:p>
        </w:tc>
        <w:tc>
          <w:tcPr>
            <w:tcW w:type="dxa" w:w="2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The single most novel element. No prior art equivalent exists for data-removal-and-recomputation across strata.</w:t>
            </w:r>
          </w:p>
        </w:tc>
        <w:tc>
          <w:tcPr>
            <w:tcW w:type="dxa" w:w="1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Moderate. Ablation results in output are observable.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§101: Very strong. §103: Very strong. §112: Very strong.</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3</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Observable API Output (Claim 4)</w:t>
            </w:r>
          </w:p>
        </w:tc>
        <w:tc>
          <w:tcPr>
            <w:tcW w:type="dxa" w:w="24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Makes the entire patent enforceable. Without this, detecting infringement requires source code access.</w:t>
            </w:r>
          </w:p>
        </w:tc>
        <w:tc>
          <w:tcPr>
            <w:tcW w:type="dxa" w:w="1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Very high. Call their API, inspect the response.</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§101: Strong. §103: Strong. §112: Strong.</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4</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Constrained LLM Hypothesis (Claim 5)</w:t>
            </w:r>
          </w:p>
        </w:tc>
        <w:tc>
          <w:tcPr>
            <w:tcW w:type="dxa" w:w="2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Covers the AI/LLM integration. Rapidly growing market. The constraint architecture is genuinely novel.</w:t>
            </w:r>
          </w:p>
        </w:tc>
        <w:tc>
          <w:tcPr>
            <w:tcW w:type="dxa" w:w="1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High. Observable in natural-language output quality.</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§101: Strong. §103: Strong. §112: Strong.</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5</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Foldable Device Embodiment (Claim 17)</w:t>
            </w:r>
          </w:p>
        </w:tc>
        <w:tc>
          <w:tcPr>
            <w:tcW w:type="dxa" w:w="24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Samsung’s strongest competitive moat. Hinge-display-software interaction monitoring exists ONLY in Samsung products.</w:t>
            </w:r>
          </w:p>
        </w:tc>
        <w:tc>
          <w:tcPr>
            <w:tcW w:type="dxa" w:w="1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Very high. Observable in foldable device diagnostics UI.</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§101: Very strong (specific hardware). §103: Very strong (no prior art). §112: Strong.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5345" w:sz="1"/>
              <w:left w:val="single" w:color="0B5345" w:sz="8"/>
              <w:bottom w:val="single" w:color="0B5345" w:sz="1"/>
              <w:right w:val="single" w:color="0B5345" w:sz="1"/>
            </w:tcBorders>
            <w:shd w:fill="E8F5E9" w:val="clear"/>
            <w:tcMar>
              <w:top w:type="dxa" w:w="120"/>
              <w:left w:type="dxa" w:w="200"/>
              <w:bottom w:type="dxa" w:w="120"/>
              <w:right w:type="dxa" w:w="200"/>
            </w:tcMar>
          </w:tcPr>
          <w:p>
            <w:pPr>
              <w:spacing w:after="80"/>
            </w:pPr>
            <w:r>
              <w:rPr>
                <w:rFonts w:ascii="Arial" w:cs="Arial" w:eastAsia="Arial" w:hAnsi="Arial"/>
                <w:b/>
                <w:bCs/>
                <w:color w:val="0B5345"/>
                <w:sz w:val="22"/>
                <w:szCs w:val="22"/>
              </w:rPr>
              <w:t xml:space="preserve">THE FIVE-CLAIM PORTFOLIO VALUE</w:t>
            </w:r>
          </w:p>
          <w:p>
            <w:pPr>
              <w:spacing w:after="0" w:line="280"/>
            </w:pPr>
            <w:r>
              <w:rPr>
                <w:rFonts w:ascii="Arial" w:cs="Arial" w:eastAsia="Arial" w:hAnsi="Arial"/>
                <w:color w:val="1C2833"/>
                <w:sz w:val="20"/>
                <w:szCs w:val="20"/>
              </w:rPr>
              <w:t xml:space="preserve">These five claims together cover: the core method (Claim 1), the key differentiator (Claim 2 — ablation), the enforcement mechanism (Claim 4 — observable output), the AI future (Claim 5 — LLM integration), and Samsung’s unique competitive position (Claim 17 — foldables). Any competitor building a cross-stratum correlation system would need to license or design around at least 3 of these 5.</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5345" w:sz="1" w:space="4"/>
      </w:pBdr>
      <w:jc w:val="center"/>
    </w:pPr>
    <w:r>
      <w:rPr>
        <w:rFonts w:ascii="Arial" w:cs="Arial" w:eastAsia="Arial" w:hAnsi="Arial"/>
        <w:color w:val="5D6D7E"/>
        <w:sz w:val="18"/>
        <w:szCs w:val="18"/>
      </w:rPr>
      <w:t xml:space="preserve">Confidential — 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5345" w:sz="2" w:space="4"/>
      </w:pBdr>
      <w:jc w:val="right"/>
    </w:pPr>
    <w:r>
      <w:rPr>
        <w:rFonts w:ascii="Arial" w:cs="Arial" w:eastAsia="Arial" w:hAnsi="Arial"/>
        <w:i/>
        <w:iCs/>
        <w:color w:val="5D6D7E"/>
        <w:sz w:val="18"/>
        <w:szCs w:val="18"/>
      </w:rPr>
      <w:t xml:space="preserve">AMACE — Realistic Patent Claim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2B46"/>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F2B4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6F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2026-04-09T07:57:05.134Z</dcterms:created>
  <dcterms:modified xsi:type="dcterms:W3CDTF">2026-04-09T07:57:05.135Z</dcterms:modified>
</cp:coreProperties>
</file>

<file path=docProps/custom.xml><?xml version="1.0" encoding="utf-8"?>
<Properties xmlns="http://schemas.openxmlformats.org/officeDocument/2006/custom-properties" xmlns:vt="http://schemas.openxmlformats.org/officeDocument/2006/docPropsVTypes"/>
</file>