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jc w:val="center"/>
      </w:pPr>
      <w:r>
        <w:rPr>
          <w:rFonts w:ascii="Arial" w:cs="Arial" w:eastAsia="Arial" w:hAnsi="Arial"/>
          <w:color w:val="5D6D7E"/>
          <w:sz w:val="24"/>
          <w:szCs w:val="24"/>
        </w:rPr>
        <w:t xml:space="preserve">AMACE PATENT SPECIFICATION — MODULE 8</w:t>
      </w:r>
    </w:p>
    <w:p>
      <w:pPr>
        <w:pBdr>
          <w:bottom w:val="single" w:color="7E57C2" w:sz="4"/>
        </w:pBdr>
        <w:spacing w:after="300"/>
        <w:jc w:val="center"/>
      </w:pPr>
    </w:p>
    <w:p>
      <w:pPr>
        <w:spacing w:after="80"/>
        <w:jc w:val="center"/>
      </w:pPr>
      <w:r>
        <w:rPr>
          <w:rFonts w:ascii="Arial" w:cs="Arial" w:eastAsia="Arial" w:hAnsi="Arial"/>
          <w:b/>
          <w:bCs/>
          <w:color w:val="0F2B46"/>
          <w:sz w:val="52"/>
          <w:szCs w:val="52"/>
        </w:rPr>
        <w:t xml:space="preserve">CONTEXTUAL INTELLIGENCE</w:t>
      </w:r>
    </w:p>
    <w:p>
      <w:pPr>
        <w:spacing w:after="120"/>
        <w:jc w:val="center"/>
      </w:pPr>
      <w:r>
        <w:rPr>
          <w:rFonts w:ascii="Arial" w:cs="Arial" w:eastAsia="Arial" w:hAnsi="Arial"/>
          <w:b/>
          <w:bCs/>
          <w:color w:val="0F2B46"/>
          <w:sz w:val="52"/>
          <w:szCs w:val="52"/>
        </w:rPr>
        <w:t xml:space="preserve">LAYER (CIL)</w:t>
      </w:r>
    </w:p>
    <w:p>
      <w:pPr>
        <w:pBdr>
          <w:bottom w:val="single" w:color="7E57C2" w:sz="4"/>
        </w:pBdr>
        <w:spacing w:after="300" w:before="200"/>
        <w:jc w:val="center"/>
      </w:pPr>
    </w:p>
    <w:p>
      <w:pPr>
        <w:spacing w:after="80"/>
        <w:jc w:val="center"/>
      </w:pPr>
      <w:r>
        <w:rPr>
          <w:rFonts w:ascii="Arial" w:cs="Arial" w:eastAsia="Arial" w:hAnsi="Arial"/>
          <w:i/>
          <w:iCs/>
          <w:color w:val="5D6D7E"/>
          <w:sz w:val="24"/>
          <w:szCs w:val="24"/>
        </w:rPr>
        <w:t xml:space="preserve">Retrieval-Augmented Abductive Reasoning for</w:t>
      </w:r>
    </w:p>
    <w:p>
      <w:pPr>
        <w:spacing w:after="80"/>
        <w:jc w:val="center"/>
      </w:pPr>
      <w:r>
        <w:rPr>
          <w:rFonts w:ascii="Arial" w:cs="Arial" w:eastAsia="Arial" w:hAnsi="Arial"/>
          <w:i/>
          <w:iCs/>
          <w:color w:val="5D6D7E"/>
          <w:sz w:val="24"/>
          <w:szCs w:val="24"/>
        </w:rPr>
        <w:t xml:space="preserve">Mechanistic Causal Hypothesis Generation</w:t>
      </w:r>
    </w:p>
    <w:p>
      <w:pPr>
        <w:spacing w:after="200"/>
        <w:jc w:val="center"/>
      </w:pPr>
      <w:r>
        <w:rPr>
          <w:rFonts w:ascii="Arial" w:cs="Arial" w:eastAsia="Arial" w:hAnsi="Arial"/>
          <w:i/>
          <w:iCs/>
          <w:color w:val="5D6D7E"/>
          <w:sz w:val="24"/>
          <w:szCs w:val="24"/>
        </w:rPr>
        <w:t xml:space="preserve">Within Statistically Validated Correlation Boundaries</w:t>
      </w:r>
    </w:p>
    <w:p>
      <w:pPr>
        <w:spacing w:after="80" w:before="300"/>
        <w:jc w:val="center"/>
      </w:pPr>
      <w:r>
        <w:rPr>
          <w:rFonts w:ascii="Arial" w:cs="Arial" w:eastAsia="Arial" w:hAnsi="Arial"/>
          <w:b/>
          <w:bCs/>
          <w:color w:val="B03A2E"/>
          <w:sz w:val="20"/>
          <w:szCs w:val="20"/>
        </w:rPr>
        <w:t xml:space="preserve">CONFIDENTIAL — PATENT PORTFOLIO DOCUMENTATION</w:t>
      </w:r>
    </w:p>
    <w:p>
      <w:pPr>
        <w:spacing w:after="80"/>
        <w:jc w:val="center"/>
      </w:pPr>
      <w:r>
        <w:rPr>
          <w:rFonts w:ascii="Arial" w:cs="Arial" w:eastAsia="Arial" w:hAnsi="Arial"/>
          <w:color w:val="5D6D7E"/>
          <w:sz w:val="22"/>
          <w:szCs w:val="22"/>
        </w:rPr>
        <w:t xml:space="preserve">April 2026</w:t>
      </w:r>
    </w:p>
    <w:p>
      <w:r>
        <w:br w:type="page"/>
      </w:r>
    </w:p>
    <w:p>
      <w:pPr>
        <w:pStyle w:val="Heading1"/>
        <w:spacing w:after="200" w:before="400"/>
      </w:pPr>
      <w:r>
        <w:rPr>
          <w:rFonts w:ascii="Arial" w:cs="Arial" w:eastAsia="Arial" w:hAnsi="Arial"/>
          <w:b/>
          <w:bCs/>
          <w:color w:val="0F2B4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2B46"/>
          <w:sz w:val="32"/>
          <w:szCs w:val="32"/>
        </w:rPr>
        <w:t xml:space="preserve">1. Architectural Philosophy: Math Proves, Language Explains</w:t>
      </w:r>
    </w:p>
    <w:p>
      <w:pPr>
        <w:spacing w:after="140" w:line="276"/>
        <w:jc w:val="left"/>
      </w:pPr>
      <w:r>
        <w:rPr>
          <w:rFonts w:ascii="Arial" w:cs="Arial" w:eastAsia="Arial" w:hAnsi="Arial"/>
          <w:b/>
          <w:bCs/>
          <w:color w:val="1C2833"/>
          <w:sz w:val="22"/>
          <w:szCs w:val="22"/>
        </w:rPr>
        <w:t xml:space="preserve">The foundational design principle of the Contextual Intelligence Layer is: </w:t>
      </w:r>
      <w:r>
        <w:rPr>
          <w:rFonts w:ascii="Arial" w:cs="Arial" w:eastAsia="Arial" w:hAnsi="Arial"/>
          <w:color w:val="1C2833"/>
          <w:sz w:val="22"/>
          <w:szCs w:val="22"/>
        </w:rPr>
        <w:t xml:space="preserve">the statistical engine holds veto power over the language model, never the reverse.</w:t>
      </w:r>
    </w:p>
    <w:p>
      <w:pPr>
        <w:spacing w:after="60"/>
      </w:pPr>
    </w:p>
    <w:p>
      <w:pPr>
        <w:spacing w:after="140" w:line="276"/>
      </w:pPr>
      <w:r>
        <w:rPr>
          <w:rFonts w:ascii="Arial" w:cs="Arial" w:eastAsia="Arial" w:hAnsi="Arial"/>
          <w:b w:val="false"/>
          <w:bCs w:val="false"/>
          <w:i w:val="false"/>
          <w:iCs w:val="false"/>
          <w:color w:val="1C2833"/>
          <w:sz w:val="22"/>
          <w:szCs w:val="22"/>
        </w:rPr>
        <w:t xml:space="preserve">AMACE Modules 1–7 form a rigorous statistical proof system. They detect anomalies with formal confidence bounds, correlate them using four orthogonal similarity axes, and validate causality through computational ablation with Type I error control. This produces mathematically trustworthy outputs: “A caused B with 0.93 confidence; removing A eliminates B at p &lt; 0.05.”</w:t>
      </w:r>
    </w:p>
    <w:p>
      <w:pPr>
        <w:spacing w:after="60"/>
      </w:pPr>
    </w:p>
    <w:p>
      <w:pPr>
        <w:spacing w:after="140" w:line="276"/>
      </w:pPr>
      <w:r>
        <w:rPr>
          <w:rFonts w:ascii="Arial" w:cs="Arial" w:eastAsia="Arial" w:hAnsi="Arial"/>
          <w:b w:val="false"/>
          <w:bCs w:val="false"/>
          <w:i w:val="false"/>
          <w:iCs w:val="false"/>
          <w:color w:val="1C2833"/>
          <w:sz w:val="22"/>
          <w:szCs w:val="22"/>
        </w:rPr>
        <w:t xml:space="preserve">What statistics cannot produce is understanding. The proof system can tell you THAT a firmware update caused a latency spike. It cannot tell you WHY — which specific change in the firmware (buffer allocation? threading model? TLS configuration?) created the causal mechanism. It cannot tell you that a senior engineer debugged an identical pattern eighteen months ago and documented the fix in a postmortem. It cannot reason about whether the proposed remediation has ever been attempted before, and what happened.</w:t>
      </w:r>
    </w:p>
    <w:p>
      <w:pPr>
        <w:spacing w:after="60"/>
      </w:pPr>
    </w:p>
    <w:p>
      <w:pPr>
        <w:spacing w:after="140" w:line="276"/>
      </w:pPr>
      <w:r>
        <w:rPr>
          <w:rFonts w:ascii="Arial" w:cs="Arial" w:eastAsia="Arial" w:hAnsi="Arial"/>
          <w:b w:val="false"/>
          <w:bCs w:val="false"/>
          <w:i w:val="false"/>
          <w:iCs w:val="false"/>
          <w:color w:val="1C2833"/>
          <w:sz w:val="22"/>
          <w:szCs w:val="22"/>
        </w:rPr>
        <w:t xml:space="preserve">Module 8 — the Contextual Intelligence Layer (CIL) — fills these gaps using retrieval-augmented generation (RAG) with a large language model (LLM) operating under strict mathematical constraints. The CIL does not discover correlations, does not validate causality, and does not determine affected populations. Those remain the exclusive domain of Modules 1–7. The CIL adds three capabilities that are structurally impossible for statistical 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4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What the Statistical Engine Cannot Do</w:t>
            </w:r>
          </w:p>
        </w:tc>
        <w:tc>
          <w:tcPr>
            <w:tcW w:type="dxa" w:w="34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What the CIL Adds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Mechanistic Explanation</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CSCT proves firmware_update → latency_spike. It cannot determine which element of the firmware caused it or why.</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Retrieves changelogs, code diffs, vendor advisories. LLM hypothesizes: "Change CR-4521 modified TCP window scaling, known to cause retransmission storms under concurrent load."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Novel Signal Understanding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CSCT’s semantic axis (Axis 4) scores zero for a never-before-seen metric because it has no co-occurrence history to learn from.</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has world knowledge that “garbage_collection_pause_time” causes latency spikes, even if this metric has never appeared in this system before. RAG adds system-specific context.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Organizational Memory</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PPE learns only from its own structured causal graphs. Cannot access unstructured knowledge: postmortems, Slack threads, architecture docs.</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RAG indexes all organizational knowledge. When a pattern matches a past incident, CIL retrieves the human-written postmortem with resolution steps.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Remediation Intelligence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CIGS outputs generic recommended actions based on pattern matching against a static action library.</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synthesizes remediation strategies from past incident resolutions, vendor documentation, and system architecture constraints, ranked by feasibility.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Cross-Domain Reasoning</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CSCT can correlate metrics within its training distribution. Cannot reason about relationships across unfamiliar domains.</w:t>
            </w:r>
          </w:p>
        </w:tc>
        <w:tc>
          <w:tcPr>
            <w:tcW w:type="dxa" w:w="34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reasons that a “refrigerator compressor restart frequency” increase and a “hub temperature sensor drift” are mechanistically connected through thermodynamic principles, even without historical co-occurrence.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THE CARDINAL RULE: STATISTICAL VETO</w:t>
            </w:r>
          </w:p>
          <w:p>
            <w:pPr>
              <w:spacing w:after="0" w:line="276"/>
            </w:pPr>
            <w:r>
              <w:rPr>
                <w:rFonts w:ascii="Arial" w:cs="Arial" w:eastAsia="Arial" w:hAnsi="Arial"/>
                <w:color w:val="0F2B46"/>
                <w:sz w:val="20"/>
                <w:szCs w:val="20"/>
              </w:rPr>
              <w:t xml:space="preserve">The CIL generates hypotheses. Modules 1–7 validate or reject them. If the LLM hypothesizes that metric X is related to metric Y, but the CSCT computes a cross-stratum similarity score below threshold, the hypothesis is discarded. If the LLM proposes a causal direction (A→B), but the CAP ablation test shows that removing A does not affect B, the hypothesis is overruled. The LLM operates WITHIN the guardrails set by mathematics. This is the core architectural innovation.</w:t>
            </w:r>
          </w:p>
        </w:tc>
      </w:tr>
    </w:tbl>
    <w:p>
      <w:r>
        <w:br w:type="page"/>
      </w:r>
    </w:p>
    <w:p>
      <w:pPr>
        <w:pStyle w:val="Heading1"/>
        <w:spacing w:after="200" w:before="400"/>
      </w:pPr>
      <w:r>
        <w:rPr>
          <w:rFonts w:ascii="Arial" w:cs="Arial" w:eastAsia="Arial" w:hAnsi="Arial"/>
          <w:b/>
          <w:bCs/>
          <w:color w:val="0F2B46"/>
          <w:sz w:val="32"/>
          <w:szCs w:val="32"/>
        </w:rPr>
        <w:t xml:space="preserve">2. Module 8: Contextual Intelligence Layer — Formal Architecture</w:t>
      </w:r>
    </w:p>
    <w:p>
      <w:pPr>
        <w:spacing w:after="140" w:line="276"/>
      </w:pPr>
      <w:r>
        <w:rPr>
          <w:rFonts w:ascii="Arial" w:cs="Arial" w:eastAsia="Arial" w:hAnsi="Arial"/>
          <w:b w:val="false"/>
          <w:bCs w:val="false"/>
          <w:i w:val="false"/>
          <w:iCs w:val="false"/>
          <w:color w:val="1C2833"/>
          <w:sz w:val="22"/>
          <w:szCs w:val="22"/>
        </w:rPr>
        <w:t xml:space="preserve">The CIL comprises three sub-modules, each addressing a specific blind spot. All three operate downstream of the statistical engine and are constrained by its outputs.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31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8A</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Retrieval-Augmented Semantic Reasoner (RASR)</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DST pairs from CSCT with low semantic affinity scores but high scores on other axes</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Augmented semantic affinity score with knowledge-grounded justification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8B</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Abductive Causal Hypothesis Generator (ACHG)</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Validated causal insight graphs from CIGS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Ranked mechanistic hypotheses with evidence chains and confidence scores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8C</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Organizational Memory Retrieval Engine (OMRE)</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Current DSTs and causal graphs from PPE</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Relevant past incidents, postmortem resolutions, and remediation outcomes</w:t>
            </w:r>
          </w:p>
        </w:tc>
      </w:tr>
    </w:tbl>
    <w:p>
      <w:r>
        <w:br w:type="page"/>
      </w:r>
    </w:p>
    <w:p>
      <w:pPr>
        <w:pStyle w:val="Heading2"/>
        <w:spacing w:after="160" w:before="300"/>
      </w:pPr>
      <w:r>
        <w:rPr>
          <w:rFonts w:ascii="Arial" w:cs="Arial" w:eastAsia="Arial" w:hAnsi="Arial"/>
          <w:b/>
          <w:bCs/>
          <w:color w:val="0F2B46"/>
          <w:sz w:val="28"/>
          <w:szCs w:val="28"/>
        </w:rPr>
        <w:t xml:space="preserve">2.1 Sub-Module 8A: Retrieval-Augmented Semantic Reasoner (RASR)</w:t>
      </w:r>
    </w:p>
    <w:p>
      <w:pPr>
        <w:pStyle w:val="Heading3"/>
        <w:spacing w:after="120" w:before="240"/>
      </w:pPr>
      <w:r>
        <w:rPr>
          <w:rFonts w:ascii="Arial" w:cs="Arial" w:eastAsia="Arial" w:hAnsi="Arial"/>
          <w:b/>
          <w:bCs/>
          <w:color w:val="1A6FB5"/>
          <w:sz w:val="24"/>
          <w:szCs w:val="24"/>
        </w:rPr>
        <w:t xml:space="preserve">2.1.1 Problem Addressed</w:t>
      </w:r>
    </w:p>
    <w:p>
      <w:pPr>
        <w:spacing w:after="140" w:line="276"/>
      </w:pPr>
      <w:r>
        <w:rPr>
          <w:rFonts w:ascii="Arial" w:cs="Arial" w:eastAsia="Arial" w:hAnsi="Arial"/>
          <w:b w:val="false"/>
          <w:bCs w:val="false"/>
          <w:i w:val="false"/>
          <w:iCs w:val="false"/>
          <w:color w:val="1C2833"/>
          <w:sz w:val="22"/>
          <w:szCs w:val="22"/>
        </w:rPr>
        <w:t xml:space="preserve">CSCT’s Axis 4 (Semantic Affinity) computes similarity between metrics using embeddings trained on historical co-occurrence. This fails in two scenarios: (1) a metric appears for the first time and has zero co-occurrence history, and (2) two metrics are causally related through a mechanism that has never manifested in this particular system, but is well-known in the broader domain.</w:t>
      </w:r>
    </w:p>
    <w:p>
      <w:pPr>
        <w:spacing w:after="60"/>
      </w:pPr>
    </w:p>
    <w:p>
      <w:pPr>
        <w:spacing w:after="140" w:line="276"/>
        <w:jc w:val="left"/>
      </w:pPr>
      <w:r>
        <w:rPr>
          <w:rFonts w:ascii="Arial" w:cs="Arial" w:eastAsia="Arial" w:hAnsi="Arial"/>
          <w:b/>
          <w:bCs/>
          <w:i/>
          <w:iCs/>
          <w:color w:val="1C2833"/>
          <w:sz w:val="22"/>
          <w:szCs w:val="22"/>
        </w:rPr>
        <w:t xml:space="preserve">Example: </w:t>
      </w:r>
      <w:r>
        <w:rPr>
          <w:rFonts w:ascii="Arial" w:cs="Arial" w:eastAsia="Arial" w:hAnsi="Arial"/>
          <w:i/>
          <w:iCs/>
          <w:color w:val="1C2833"/>
          <w:sz w:val="22"/>
          <w:szCs w:val="22"/>
        </w:rPr>
        <w:t xml:space="preserve">A SmartThings system introduces a new “air_quality_index” sensor. The statistical embedding has never seen this metric co-occur with “HVAC_energy_consumption.” The co-occurrence-based semantic score is 0.0. But anyone with domain knowledge knows that air quality directly affects HVAC filter load and duty cycles. The RASR bridges this gap.</w:t>
      </w:r>
    </w:p>
    <w:p>
      <w:pPr>
        <w:pStyle w:val="Heading3"/>
        <w:spacing w:after="120" w:before="240"/>
      </w:pPr>
      <w:r>
        <w:rPr>
          <w:rFonts w:ascii="Arial" w:cs="Arial" w:eastAsia="Arial" w:hAnsi="Arial"/>
          <w:b/>
          <w:bCs/>
          <w:color w:val="1A6FB5"/>
          <w:sz w:val="24"/>
          <w:szCs w:val="24"/>
        </w:rPr>
        <w:t xml:space="preserve">2.1.2 Algorithm</w:t>
      </w:r>
    </w:p>
    <w:p>
      <w:pPr>
        <w:spacing w:after="140" w:line="276"/>
        <w:jc w:val="left"/>
      </w:pPr>
      <w:r>
        <w:rPr>
          <w:rFonts w:ascii="Arial" w:cs="Arial" w:eastAsia="Arial" w:hAnsi="Arial"/>
          <w:b/>
          <w:bCs/>
          <w:color w:val="1C2833"/>
          <w:sz w:val="22"/>
          <w:szCs w:val="22"/>
        </w:rPr>
        <w:t xml:space="preserve">Trigger Condition: </w:t>
      </w:r>
      <w:r>
        <w:rPr>
          <w:rFonts w:ascii="Arial" w:cs="Arial" w:eastAsia="Arial" w:hAnsi="Arial"/>
          <w:color w:val="1C2833"/>
          <w:sz w:val="22"/>
          <w:szCs w:val="22"/>
        </w:rPr>
        <w:t xml:space="preserve">RASR activates when a DST pair has Entity Coincidence (α) &gt; 0.6 AND Temporal Precedence (β) &gt; 0.5 BUT Semantic Affinity (δ) &lt; 0.3. This pattern indicates: the same entities are affected at the right time, but the system does not statistically understand why the metrics are related.</w:t>
      </w:r>
    </w:p>
    <w:p>
      <w:pPr>
        <w:spacing w:after="60"/>
      </w:pPr>
    </w:p>
    <w:p>
      <w:pPr>
        <w:pStyle w:val="ListParagraph"/>
        <w:numPr>
          <w:ilvl w:val="0"/>
          <w:numId w:val="2"/>
        </w:numPr>
        <w:spacing w:after="80" w:line="276"/>
      </w:pPr>
      <w:r>
        <w:rPr>
          <w:rFonts w:ascii="Arial" w:cs="Arial" w:eastAsia="Arial" w:hAnsi="Arial"/>
          <w:b/>
          <w:bCs/>
          <w:color w:val="1C2833"/>
          <w:sz w:val="22"/>
          <w:szCs w:val="22"/>
        </w:rPr>
        <w:t xml:space="preserve">Construct Retrieval Query: </w:t>
      </w:r>
      <w:r>
        <w:rPr>
          <w:rFonts w:ascii="Arial" w:cs="Arial" w:eastAsia="Arial" w:hAnsi="Arial"/>
          <w:color w:val="1C2833"/>
          <w:sz w:val="22"/>
          <w:szCs w:val="22"/>
        </w:rPr>
        <w:t xml:space="preserve">Extract metric names, stratum origins, and dimensional context from both DSTs. Form a structured query: {metric_A: "air_quality_index", stratum_A: "S₀", metric_B: "HVAC_energy_consumption", stratum_B: "S₁", dimensions: ["building=HQ", "zone=floor3"]}.</w:t>
      </w:r>
    </w:p>
    <w:p>
      <w:pPr>
        <w:pStyle w:val="ListParagraph"/>
        <w:numPr>
          <w:ilvl w:val="0"/>
          <w:numId w:val="2"/>
        </w:numPr>
        <w:spacing w:after="80" w:line="276"/>
      </w:pPr>
      <w:r>
        <w:rPr>
          <w:rFonts w:ascii="Arial" w:cs="Arial" w:eastAsia="Arial" w:hAnsi="Arial"/>
          <w:b/>
          <w:bCs/>
          <w:color w:val="1C2833"/>
          <w:sz w:val="22"/>
          <w:szCs w:val="22"/>
        </w:rPr>
        <w:t xml:space="preserve">RAG Retrieval Phase: </w:t>
      </w:r>
      <w:r>
        <w:rPr>
          <w:rFonts w:ascii="Arial" w:cs="Arial" w:eastAsia="Arial" w:hAnsi="Arial"/>
          <w:color w:val="1C2833"/>
          <w:sz w:val="22"/>
          <w:szCs w:val="22"/>
        </w:rPr>
        <w:t xml:space="preserve">Query the Knowledge Index (Section 3) across four document categories:</w:t>
      </w:r>
    </w:p>
    <w:p>
      <w:pPr>
        <w:pStyle w:val="ListParagraph"/>
        <w:numPr>
          <w:ilvl w:val="0"/>
          <w:numId w:val="3"/>
        </w:numPr>
        <w:spacing w:after="60" w:line="276"/>
      </w:pPr>
      <w:r>
        <w:rPr>
          <w:rFonts w:ascii="Arial" w:cs="Arial" w:eastAsia="Arial" w:hAnsi="Arial"/>
          <w:b/>
          <w:bCs/>
          <w:color w:val="1C2833"/>
          <w:sz w:val="21"/>
          <w:szCs w:val="21"/>
        </w:rPr>
        <w:t xml:space="preserve">System Architecture Documents: </w:t>
      </w:r>
      <w:r>
        <w:rPr>
          <w:rFonts w:ascii="Arial" w:cs="Arial" w:eastAsia="Arial" w:hAnsi="Arial"/>
          <w:color w:val="1C2833"/>
          <w:sz w:val="21"/>
          <w:szCs w:val="21"/>
        </w:rPr>
        <w:t xml:space="preserve">How are these metrics generated? What systems produce them? Are they in the same data pipeline?</w:t>
      </w:r>
    </w:p>
    <w:p>
      <w:pPr>
        <w:pStyle w:val="ListParagraph"/>
        <w:numPr>
          <w:ilvl w:val="0"/>
          <w:numId w:val="3"/>
        </w:numPr>
        <w:spacing w:after="60" w:line="276"/>
      </w:pPr>
      <w:r>
        <w:rPr>
          <w:rFonts w:ascii="Arial" w:cs="Arial" w:eastAsia="Arial" w:hAnsi="Arial"/>
          <w:b/>
          <w:bCs/>
          <w:color w:val="1C2833"/>
          <w:sz w:val="21"/>
          <w:szCs w:val="21"/>
        </w:rPr>
        <w:t xml:space="preserve">Domain Knowledge Base: </w:t>
      </w:r>
      <w:r>
        <w:rPr>
          <w:rFonts w:ascii="Arial" w:cs="Arial" w:eastAsia="Arial" w:hAnsi="Arial"/>
          <w:color w:val="1C2833"/>
          <w:sz w:val="21"/>
          <w:szCs w:val="21"/>
        </w:rPr>
        <w:t xml:space="preserve">Technical documentation, vendor manuals, engineering standards that describe causal relationships between these metric types.</w:t>
      </w:r>
    </w:p>
    <w:p>
      <w:pPr>
        <w:pStyle w:val="ListParagraph"/>
        <w:numPr>
          <w:ilvl w:val="0"/>
          <w:numId w:val="3"/>
        </w:numPr>
        <w:spacing w:after="60" w:line="276"/>
      </w:pPr>
      <w:r>
        <w:rPr>
          <w:rFonts w:ascii="Arial" w:cs="Arial" w:eastAsia="Arial" w:hAnsi="Arial"/>
          <w:b/>
          <w:bCs/>
          <w:color w:val="1C2833"/>
          <w:sz w:val="21"/>
          <w:szCs w:val="21"/>
        </w:rPr>
        <w:t xml:space="preserve">Metric Catalog: </w:t>
      </w:r>
      <w:r>
        <w:rPr>
          <w:rFonts w:ascii="Arial" w:cs="Arial" w:eastAsia="Arial" w:hAnsi="Arial"/>
          <w:color w:val="1C2833"/>
          <w:sz w:val="21"/>
          <w:szCs w:val="21"/>
        </w:rPr>
        <w:t xml:space="preserve">Internal definitions, units, upstream dependencies, and known relationships for each metric.</w:t>
      </w:r>
    </w:p>
    <w:p>
      <w:pPr>
        <w:pStyle w:val="ListParagraph"/>
        <w:numPr>
          <w:ilvl w:val="0"/>
          <w:numId w:val="3"/>
        </w:numPr>
        <w:spacing w:after="60" w:line="276"/>
      </w:pPr>
      <w:r>
        <w:rPr>
          <w:rFonts w:ascii="Arial" w:cs="Arial" w:eastAsia="Arial" w:hAnsi="Arial"/>
          <w:b/>
          <w:bCs/>
          <w:color w:val="1C2833"/>
          <w:sz w:val="21"/>
          <w:szCs w:val="21"/>
        </w:rPr>
        <w:t xml:space="preserve">Historical Incident Corpus: </w:t>
      </w:r>
      <w:r>
        <w:rPr>
          <w:rFonts w:ascii="Arial" w:cs="Arial" w:eastAsia="Arial" w:hAnsi="Arial"/>
          <w:color w:val="1C2833"/>
          <w:sz w:val="21"/>
          <w:szCs w:val="21"/>
        </w:rPr>
        <w:t xml:space="preserve">Past incidents where either metric was involved, with resolution documentation.</w:t>
      </w:r>
    </w:p>
    <w:p>
      <w:pPr>
        <w:pStyle w:val="ListParagraph"/>
        <w:numPr>
          <w:ilvl w:val="0"/>
          <w:numId w:val="2"/>
        </w:numPr>
        <w:spacing w:after="80" w:line="276"/>
      </w:pPr>
      <w:r>
        <w:rPr>
          <w:rFonts w:ascii="Arial" w:cs="Arial" w:eastAsia="Arial" w:hAnsi="Arial"/>
          <w:b/>
          <w:bCs/>
          <w:color w:val="1C2833"/>
          <w:sz w:val="22"/>
          <w:szCs w:val="22"/>
        </w:rPr>
        <w:t xml:space="preserve">LLM Causal Reasoning: </w:t>
      </w:r>
      <w:r>
        <w:rPr>
          <w:rFonts w:ascii="Arial" w:cs="Arial" w:eastAsia="Arial" w:hAnsi="Arial"/>
          <w:color w:val="1C2833"/>
          <w:sz w:val="22"/>
          <w:szCs w:val="22"/>
        </w:rPr>
        <w:t xml:space="preserve">Provide the retrieved documents and DST pair to the LLM with a constrained prompt: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A69A" w:sz="1"/>
              <w:left w:val="single" w:color="26A69A" w:sz="8"/>
              <w:bottom w:val="single" w:color="26A69A" w:sz="1"/>
              <w:right w:val="single" w:color="26A69A" w:sz="1"/>
            </w:tcBorders>
            <w:shd w:fill="E0F2F1" w:val="clear"/>
            <w:tcMar>
              <w:top w:type="dxa" w:w="120"/>
              <w:left w:type="dxa" w:w="200"/>
              <w:bottom w:type="dxa" w:w="120"/>
              <w:right w:type="dxa" w:w="200"/>
            </w:tcMar>
          </w:tcPr>
          <w:p>
            <w:pPr>
              <w:spacing w:after="80"/>
            </w:pPr>
            <w:r>
              <w:rPr>
                <w:rFonts w:ascii="Arial" w:cs="Arial" w:eastAsia="Arial" w:hAnsi="Arial"/>
                <w:b/>
                <w:bCs/>
                <w:color w:val="26A69A"/>
                <w:sz w:val="22"/>
                <w:szCs w:val="22"/>
              </w:rPr>
              <w:t xml:space="preserve">RASR PROMPT TEMPLATE (CONSTRAINED)</w:t>
            </w:r>
          </w:p>
          <w:p>
            <w:pPr>
              <w:spacing w:after="0" w:line="276"/>
            </w:pPr>
            <w:r>
              <w:rPr>
                <w:rFonts w:ascii="Arial" w:cs="Arial" w:eastAsia="Arial" w:hAnsi="Arial"/>
                <w:color w:val="1C2833"/>
                <w:sz w:val="20"/>
                <w:szCs w:val="20"/>
              </w:rPr>
              <w:t xml:space="preserve">You are a systems engineering expert. Two anomalies have been detected:
Anomaly A: [metric_A] in [stratum_A] showing [magnitude_A] deviation
Anomaly B: [metric_B] in [stratum_B] showing [magnitude_B] deviation
These anomalies affect the SAME entities and occurred at temporally consistent times, but the system does not have historical evidence that these metrics are related.
Based ONLY on the retrieved documents below, determine:
1. Is there a plausible causal mechanism connecting these metrics?
2. What is the mechanism? (Be specific: name the physical, software, or logical pathway.)
3. What is your confidence (0.0 to 1.0) that this mechanism exists?
4. If no mechanism is supported by the documents, state "NO_MECHANISM_FOUND."
CRITICAL: Do NOT hypothesize mechanisms not supported by the retrieved documents. If the evidence is insufficient, say so.
[RETRIEVED DOCUMENTS]</w:t>
            </w:r>
          </w:p>
        </w:tc>
      </w:tr>
    </w:tbl>
    <w:p>
      <w:pPr>
        <w:spacing w:after="60"/>
      </w:pPr>
    </w:p>
    <w:p>
      <w:pPr>
        <w:pStyle w:val="ListParagraph"/>
        <w:numPr>
          <w:ilvl w:val="0"/>
          <w:numId w:val="2"/>
        </w:numPr>
        <w:spacing w:after="80" w:line="276"/>
      </w:pPr>
      <w:r>
        <w:rPr>
          <w:rFonts w:ascii="Arial" w:cs="Arial" w:eastAsia="Arial" w:hAnsi="Arial"/>
          <w:b/>
          <w:bCs/>
          <w:color w:val="1C2833"/>
          <w:sz w:val="22"/>
          <w:szCs w:val="22"/>
        </w:rPr>
        <w:t xml:space="preserve">Score Integration: </w:t>
      </w:r>
      <w:r>
        <w:rPr>
          <w:rFonts w:ascii="Arial" w:cs="Arial" w:eastAsia="Arial" w:hAnsi="Arial"/>
          <w:color w:val="1C2833"/>
          <w:sz w:val="22"/>
          <w:szCs w:val="22"/>
        </w:rPr>
        <w:t xml:space="preserve">If the LLM identifies a plausible mechanism with confidence &gt; θ_rasr (default 0.6), compute an augmented semantic affinity score:</w:t>
      </w:r>
    </w:p>
    <w:p>
      <w:pPr>
        <w:spacing w:after="60"/>
      </w:pPr>
    </w:p>
    <w:p>
      <w:pPr>
        <w:spacing w:after="140" w:line="276"/>
        <w:jc w:val="center"/>
      </w:pPr>
      <w:r>
        <w:rPr>
          <w:rFonts w:ascii="Courier New" w:cs="Courier New" w:eastAsia="Courier New" w:hAnsi="Courier New"/>
          <w:b/>
          <w:bCs/>
          <w:color w:val="1C2833"/>
          <w:sz w:val="20"/>
          <w:szCs w:val="20"/>
        </w:rPr>
        <w:t xml:space="preserve">δ_augmented(A,B) = max(δ_statistical(A,B), δ_rasr(A,B) × ω_rasr)</w:t>
      </w:r>
    </w:p>
    <w:p>
      <w:pPr>
        <w:spacing w:after="60"/>
      </w:pPr>
    </w:p>
    <w:p>
      <w:pPr>
        <w:spacing w:after="140" w:line="276"/>
        <w:jc w:val="left"/>
      </w:pPr>
      <w:r>
        <w:rPr>
          <w:rFonts w:ascii="Arial" w:cs="Arial" w:eastAsia="Arial" w:hAnsi="Arial"/>
          <w:i/>
          <w:iCs/>
          <w:color w:val="1C2833"/>
          <w:sz w:val="22"/>
          <w:szCs w:val="22"/>
        </w:rPr>
        <w:t xml:space="preserve">Where δ_rasr is the LLM’s confidence score and ω_rasr is a trust discount factor (default 0.7) that ensures LLM-derived semantic scores are always weighted below equivalent statistical evidence. </w:t>
      </w:r>
      <w:r>
        <w:rPr>
          <w:rFonts w:ascii="Arial" w:cs="Arial" w:eastAsia="Arial" w:hAnsi="Arial"/>
          <w:b/>
          <w:bCs/>
          <w:color w:val="1C2833"/>
          <w:sz w:val="22"/>
          <w:szCs w:val="22"/>
        </w:rPr>
        <w:t xml:space="preserve">The statistical score always takes precedence when available.</w:t>
      </w:r>
    </w:p>
    <w:p>
      <w:pPr>
        <w:pStyle w:val="ListParagraph"/>
        <w:numPr>
          <w:ilvl w:val="0"/>
          <w:numId w:val="2"/>
        </w:numPr>
        <w:spacing w:after="80" w:line="276"/>
      </w:pPr>
      <w:r>
        <w:rPr>
          <w:rFonts w:ascii="Arial" w:cs="Arial" w:eastAsia="Arial" w:hAnsi="Arial"/>
          <w:b/>
          <w:bCs/>
          <w:color w:val="1C2833"/>
          <w:sz w:val="22"/>
          <w:szCs w:val="22"/>
        </w:rPr>
        <w:t xml:space="preserve">Constraint Enforcement: </w:t>
      </w:r>
      <w:r>
        <w:rPr>
          <w:rFonts w:ascii="Arial" w:cs="Arial" w:eastAsia="Arial" w:hAnsi="Arial"/>
          <w:color w:val="1C2833"/>
          <w:sz w:val="22"/>
          <w:szCs w:val="22"/>
        </w:rPr>
        <w:t xml:space="preserve">The augmented score is fed back into CSCT. If the overall CSCT score now exceeds the correlation threshold, the pair proceeds to CAP for ablation testing. The CAP (statistical) still has full veto power. The RASR only influences the semantic axis; it cannot override entity, temporal, or dimensional axes.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NOVELTY (§103 DEFENSE)</w:t>
            </w:r>
          </w:p>
          <w:p>
            <w:pPr>
              <w:spacing w:after="0" w:line="276"/>
            </w:pPr>
            <w:r>
              <w:rPr>
                <w:rFonts w:ascii="Arial" w:cs="Arial" w:eastAsia="Arial" w:hAnsi="Arial"/>
                <w:color w:val="1C2833"/>
                <w:sz w:val="20"/>
                <w:szCs w:val="20"/>
              </w:rPr>
              <w:t xml:space="preserve">No prior art combines retrieval-augmented language model reasoning with a multi-axis anomaly correlation tensor under mathematical constraint enforcement. Existing RAG systems answer questions. Existing AIOps systems cluster alerts. RASR uses RAG to bridge semantic gaps in a correlation tensor while ensuring that the language model’s output is subjected to the same statistical validation (CAP ablation) as purely statistical correlations. The trust discount factor (ω_rasr) is a novel safeguard mechanism with no prior art equivalent.</w:t>
            </w:r>
          </w:p>
        </w:tc>
      </w:tr>
    </w:tbl>
    <w:p>
      <w:r>
        <w:br w:type="page"/>
      </w:r>
    </w:p>
    <w:p>
      <w:pPr>
        <w:pStyle w:val="Heading2"/>
        <w:spacing w:after="160" w:before="300"/>
      </w:pPr>
      <w:r>
        <w:rPr>
          <w:rFonts w:ascii="Arial" w:cs="Arial" w:eastAsia="Arial" w:hAnsi="Arial"/>
          <w:b/>
          <w:bCs/>
          <w:color w:val="0F2B46"/>
          <w:sz w:val="28"/>
          <w:szCs w:val="28"/>
        </w:rPr>
        <w:t xml:space="preserve">2.2 Sub-Module 8B: Abductive Causal Hypothesis Generator (ACHG)</w:t>
      </w:r>
    </w:p>
    <w:p>
      <w:pPr>
        <w:pStyle w:val="Heading3"/>
        <w:spacing w:after="120" w:before="240"/>
      </w:pPr>
      <w:r>
        <w:rPr>
          <w:rFonts w:ascii="Arial" w:cs="Arial" w:eastAsia="Arial" w:hAnsi="Arial"/>
          <w:b/>
          <w:bCs/>
          <w:color w:val="1A6FB5"/>
          <w:sz w:val="24"/>
          <w:szCs w:val="24"/>
        </w:rPr>
        <w:t xml:space="preserve">2.2.1 Problem Addressed</w:t>
      </w:r>
    </w:p>
    <w:p>
      <w:pPr>
        <w:spacing w:after="140" w:line="276"/>
      </w:pPr>
      <w:r>
        <w:rPr>
          <w:rFonts w:ascii="Arial" w:cs="Arial" w:eastAsia="Arial" w:hAnsi="Arial"/>
          <w:b w:val="false"/>
          <w:bCs w:val="false"/>
          <w:i w:val="false"/>
          <w:iCs w:val="false"/>
          <w:color w:val="1C2833"/>
          <w:sz w:val="22"/>
          <w:szCs w:val="22"/>
        </w:rPr>
        <w:t xml:space="preserve">After CIGS produces a validated causal insight graph (e.g., firmware_update → retransmission_spike → latency_shift → churn_risk_elevation), the next question every operator asks is: “Why? What specifically in the firmware update caused this?” The statistical engine proves the causal link but cannot explain the mechanism. The ACHG performs abductive reasoning — inference from observed effect to best explanation — constrained by the statistically proven causal structure.</w:t>
      </w:r>
    </w:p>
    <w:p>
      <w:pPr>
        <w:pStyle w:val="Heading3"/>
        <w:spacing w:after="120" w:before="240"/>
      </w:pPr>
      <w:r>
        <w:rPr>
          <w:rFonts w:ascii="Arial" w:cs="Arial" w:eastAsia="Arial" w:hAnsi="Arial"/>
          <w:b/>
          <w:bCs/>
          <w:color w:val="1A6FB5"/>
          <w:sz w:val="24"/>
          <w:szCs w:val="24"/>
        </w:rPr>
        <w:t xml:space="preserve">2.2.2 Algorithm</w:t>
      </w:r>
    </w:p>
    <w:p>
      <w:pPr>
        <w:pStyle w:val="ListParagraph"/>
        <w:numPr>
          <w:ilvl w:val="0"/>
          <w:numId w:val="4"/>
        </w:numPr>
        <w:spacing w:after="80" w:line="276"/>
      </w:pPr>
      <w:r>
        <w:rPr>
          <w:rFonts w:ascii="Arial" w:cs="Arial" w:eastAsia="Arial" w:hAnsi="Arial"/>
          <w:b/>
          <w:bCs/>
          <w:color w:val="1C2833"/>
          <w:sz w:val="22"/>
          <w:szCs w:val="22"/>
        </w:rPr>
        <w:t xml:space="preserve">Extract Causal Chain: </w:t>
      </w:r>
      <w:r>
        <w:rPr>
          <w:rFonts w:ascii="Arial" w:cs="Arial" w:eastAsia="Arial" w:hAnsi="Arial"/>
          <w:color w:val="1C2833"/>
          <w:sz w:val="22"/>
          <w:szCs w:val="22"/>
        </w:rPr>
        <w:t xml:space="preserve">From the validated CIGS output, extract the ordered causal chain with all DSTs, their dimensional loci, temporal envelopes, and ablation test results.</w:t>
      </w:r>
    </w:p>
    <w:p>
      <w:pPr>
        <w:pStyle w:val="ListParagraph"/>
        <w:numPr>
          <w:ilvl w:val="0"/>
          <w:numId w:val="4"/>
        </w:numPr>
        <w:spacing w:after="80" w:line="276"/>
      </w:pPr>
      <w:r>
        <w:rPr>
          <w:rFonts w:ascii="Arial" w:cs="Arial" w:eastAsia="Arial" w:hAnsi="Arial"/>
          <w:b/>
          <w:bCs/>
          <w:color w:val="1C2833"/>
          <w:sz w:val="22"/>
          <w:szCs w:val="22"/>
        </w:rPr>
        <w:t xml:space="preserve">Targeted RAG Retrieval: </w:t>
      </w:r>
      <w:r>
        <w:rPr>
          <w:rFonts w:ascii="Arial" w:cs="Arial" w:eastAsia="Arial" w:hAnsi="Arial"/>
          <w:color w:val="1C2833"/>
          <w:sz w:val="22"/>
          <w:szCs w:val="22"/>
        </w:rPr>
        <w:t xml:space="preserve">For each edge in the causal chain (A → B), retrieve documents that could explain the mechanism:</w:t>
      </w:r>
    </w:p>
    <w:p>
      <w:pPr>
        <w:pStyle w:val="ListParagraph"/>
        <w:numPr>
          <w:ilvl w:val="0"/>
          <w:numId w:val="3"/>
        </w:numPr>
        <w:spacing w:after="60" w:line="276"/>
      </w:pPr>
      <w:r>
        <w:rPr>
          <w:rFonts w:ascii="Arial" w:cs="Arial" w:eastAsia="Arial" w:hAnsi="Arial"/>
          <w:b/>
          <w:bCs/>
          <w:color w:val="1C2833"/>
          <w:sz w:val="21"/>
          <w:szCs w:val="21"/>
        </w:rPr>
        <w:t xml:space="preserve">Change Records: </w:t>
      </w:r>
      <w:r>
        <w:rPr>
          <w:rFonts w:ascii="Arial" w:cs="Arial" w:eastAsia="Arial" w:hAnsi="Arial"/>
          <w:color w:val="1C2833"/>
          <w:sz w:val="21"/>
          <w:szCs w:val="21"/>
        </w:rPr>
        <w:t xml:space="preserve">Git commits, deployment logs, configuration changes, firmware changelogs within the temporal envelope of DST_A.</w:t>
      </w:r>
    </w:p>
    <w:p>
      <w:pPr>
        <w:pStyle w:val="ListParagraph"/>
        <w:numPr>
          <w:ilvl w:val="0"/>
          <w:numId w:val="3"/>
        </w:numPr>
        <w:spacing w:after="60" w:line="276"/>
      </w:pPr>
      <w:r>
        <w:rPr>
          <w:rFonts w:ascii="Arial" w:cs="Arial" w:eastAsia="Arial" w:hAnsi="Arial"/>
          <w:b/>
          <w:bCs/>
          <w:color w:val="1C2833"/>
          <w:sz w:val="21"/>
          <w:szCs w:val="21"/>
        </w:rPr>
        <w:t xml:space="preserve">Architecture Documentation: </w:t>
      </w:r>
      <w:r>
        <w:rPr>
          <w:rFonts w:ascii="Arial" w:cs="Arial" w:eastAsia="Arial" w:hAnsi="Arial"/>
          <w:color w:val="1C2833"/>
          <w:sz w:val="21"/>
          <w:szCs w:val="21"/>
        </w:rPr>
        <w:t xml:space="preserve">System design docs describing the data flow from A’s stratum to B’s stratum.</w:t>
      </w:r>
    </w:p>
    <w:p>
      <w:pPr>
        <w:pStyle w:val="ListParagraph"/>
        <w:numPr>
          <w:ilvl w:val="0"/>
          <w:numId w:val="3"/>
        </w:numPr>
        <w:spacing w:after="60" w:line="276"/>
      </w:pPr>
      <w:r>
        <w:rPr>
          <w:rFonts w:ascii="Arial" w:cs="Arial" w:eastAsia="Arial" w:hAnsi="Arial"/>
          <w:b/>
          <w:bCs/>
          <w:color w:val="1C2833"/>
          <w:sz w:val="21"/>
          <w:szCs w:val="21"/>
        </w:rPr>
        <w:t xml:space="preserve">Vendor Advisories: </w:t>
      </w:r>
      <w:r>
        <w:rPr>
          <w:rFonts w:ascii="Arial" w:cs="Arial" w:eastAsia="Arial" w:hAnsi="Arial"/>
          <w:color w:val="1C2833"/>
          <w:sz w:val="21"/>
          <w:szCs w:val="21"/>
        </w:rPr>
        <w:t xml:space="preserve">Known issues, CVEs, compatibility notices related to the components involved.</w:t>
      </w:r>
    </w:p>
    <w:p>
      <w:pPr>
        <w:pStyle w:val="ListParagraph"/>
        <w:numPr>
          <w:ilvl w:val="0"/>
          <w:numId w:val="3"/>
        </w:numPr>
        <w:spacing w:after="60" w:line="276"/>
      </w:pPr>
      <w:r>
        <w:rPr>
          <w:rFonts w:ascii="Arial" w:cs="Arial" w:eastAsia="Arial" w:hAnsi="Arial"/>
          <w:b/>
          <w:bCs/>
          <w:color w:val="1C2833"/>
          <w:sz w:val="21"/>
          <w:szCs w:val="21"/>
        </w:rPr>
        <w:t xml:space="preserve">Past Postmortems: </w:t>
      </w:r>
      <w:r>
        <w:rPr>
          <w:rFonts w:ascii="Arial" w:cs="Arial" w:eastAsia="Arial" w:hAnsi="Arial"/>
          <w:color w:val="1C2833"/>
          <w:sz w:val="21"/>
          <w:szCs w:val="21"/>
        </w:rPr>
        <w:t xml:space="preserve">Historical incidents with similar causal patterns, especially those with documented root cause mechanisms.</w:t>
      </w:r>
    </w:p>
    <w:p>
      <w:pPr>
        <w:pStyle w:val="ListParagraph"/>
        <w:numPr>
          <w:ilvl w:val="0"/>
          <w:numId w:val="3"/>
        </w:numPr>
        <w:spacing w:after="60" w:line="276"/>
      </w:pPr>
      <w:r>
        <w:rPr>
          <w:rFonts w:ascii="Arial" w:cs="Arial" w:eastAsia="Arial" w:hAnsi="Arial"/>
          <w:b/>
          <w:bCs/>
          <w:color w:val="1C2833"/>
          <w:sz w:val="21"/>
          <w:szCs w:val="21"/>
        </w:rPr>
        <w:t xml:space="preserve">Code Diffs: </w:t>
      </w:r>
      <w:r>
        <w:rPr>
          <w:rFonts w:ascii="Arial" w:cs="Arial" w:eastAsia="Arial" w:hAnsi="Arial"/>
          <w:color w:val="1C2833"/>
          <w:sz w:val="21"/>
          <w:szCs w:val="21"/>
        </w:rPr>
        <w:t xml:space="preserve">For software-triggered anomalies, the actual code changes within the deployment window.</w:t>
      </w:r>
    </w:p>
    <w:p>
      <w:pPr>
        <w:pStyle w:val="ListParagraph"/>
        <w:numPr>
          <w:ilvl w:val="0"/>
          <w:numId w:val="4"/>
        </w:numPr>
        <w:spacing w:after="80" w:line="276"/>
      </w:pPr>
      <w:r>
        <w:rPr>
          <w:rFonts w:ascii="Arial" w:cs="Arial" w:eastAsia="Arial" w:hAnsi="Arial"/>
          <w:b/>
          <w:bCs/>
          <w:color w:val="1C2833"/>
          <w:sz w:val="22"/>
          <w:szCs w:val="22"/>
        </w:rPr>
        <w:t xml:space="preserve">Constrained Hypothesis Generation: </w:t>
      </w:r>
      <w:r>
        <w:rPr>
          <w:rFonts w:ascii="Arial" w:cs="Arial" w:eastAsia="Arial" w:hAnsi="Arial"/>
          <w:color w:val="1C2833"/>
          <w:sz w:val="22"/>
          <w:szCs w:val="22"/>
        </w:rPr>
        <w:t xml:space="preserve">Provide the causal chain and retrieved documents to the LLM with the following constraints: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20"/>
              <w:left w:type="dxa" w:w="200"/>
              <w:bottom w:type="dxa" w:w="120"/>
              <w:right w:type="dxa" w:w="200"/>
            </w:tcMar>
          </w:tcPr>
          <w:p>
            <w:pPr>
              <w:spacing w:after="80"/>
            </w:pPr>
            <w:r>
              <w:rPr>
                <w:rFonts w:ascii="Arial" w:cs="Arial" w:eastAsia="Arial" w:hAnsi="Arial"/>
                <w:b/>
                <w:bCs/>
                <w:color w:val="7E57C2"/>
                <w:sz w:val="22"/>
                <w:szCs w:val="22"/>
              </w:rPr>
              <w:t xml:space="preserve">ACHG PROMPT TEMPLATE (CONSTRAINED)</w:t>
            </w:r>
          </w:p>
          <w:p>
            <w:pPr>
              <w:spacing w:after="0" w:line="276"/>
            </w:pPr>
            <w:r>
              <w:rPr>
                <w:rFonts w:ascii="Arial" w:cs="Arial" w:eastAsia="Arial" w:hAnsi="Arial"/>
                <w:color w:val="1C2833"/>
                <w:sz w:val="20"/>
                <w:szCs w:val="20"/>
              </w:rPr>
              <w:t xml:space="preserve">The following causal chain has been STATISTICALLY PROVEN with the following evidence:
Causal Chain: [A] → [B] → [C]
Ablation Evidence: Removing A eliminates B (p &lt; 0.05). Removing B eliminates C (p &lt; 0.05).
Affected Entities: [entity_set]
Dimensional Locus: [slice]
Temporal Window: [T_onset_A] to [T_peak_C]
Your task: Generate up to 3 MECHANISTIC HYPOTHESES explaining WHY A caused B and B caused C.
CONSTRAINTS:
1. Each hypothesis MUST be consistent with the proven causal DIRECTION (A→B, not B→A).
2. Each hypothesis MUST be consistent with the TEMPORAL window (cause precedes effect).
3. Each hypothesis MUST be supported by at least one retrieved document.
4. For each hypothesis, cite the specific document, page, section, or code change that supports it.
5. Rate your confidence (0.0–1.0) for each hypothesis.
6. If no mechanism is supported by the documents, state "INSUFFICIENT_EVIDENCE."
Do NOT generate hypotheses based on general knowledge alone. Every hypothesis must trace to a specific retrieved document.
[CAUSAL CHAIN DETAILS]
[RETRIEVED DOCUMENTS]</w:t>
            </w:r>
          </w:p>
        </w:tc>
      </w:tr>
    </w:tbl>
    <w:p>
      <w:pPr>
        <w:spacing w:after="60"/>
      </w:pPr>
    </w:p>
    <w:p>
      <w:pPr>
        <w:pStyle w:val="ListParagraph"/>
        <w:numPr>
          <w:ilvl w:val="0"/>
          <w:numId w:val="4"/>
        </w:numPr>
        <w:spacing w:after="80" w:line="276"/>
      </w:pPr>
      <w:r>
        <w:rPr>
          <w:rFonts w:ascii="Arial" w:cs="Arial" w:eastAsia="Arial" w:hAnsi="Arial"/>
          <w:b/>
          <w:bCs/>
          <w:color w:val="1C2833"/>
          <w:sz w:val="22"/>
          <w:szCs w:val="22"/>
        </w:rPr>
        <w:t xml:space="preserve">Hypothesis Ranking: </w:t>
      </w:r>
      <w:r>
        <w:rPr>
          <w:rFonts w:ascii="Arial" w:cs="Arial" w:eastAsia="Arial" w:hAnsi="Arial"/>
          <w:color w:val="1C2833"/>
          <w:sz w:val="22"/>
          <w:szCs w:val="22"/>
        </w:rPr>
        <w:t xml:space="preserve">The ACHG produces up to 3 ranked hypotheses, each with:</w:t>
      </w:r>
    </w:p>
    <w:p>
      <w:pPr>
        <w:pStyle w:val="ListParagraph"/>
        <w:numPr>
          <w:ilvl w:val="0"/>
          <w:numId w:val="3"/>
        </w:numPr>
        <w:spacing w:after="60" w:line="276"/>
      </w:pPr>
      <w:r>
        <w:rPr>
          <w:rFonts w:ascii="Arial" w:cs="Arial" w:eastAsia="Arial" w:hAnsi="Arial"/>
          <w:color w:val="1C2833"/>
          <w:sz w:val="21"/>
          <w:szCs w:val="21"/>
        </w:rPr>
        <w:t xml:space="preserve">A natural-language explanation of the proposed mechanism</w:t>
      </w:r>
    </w:p>
    <w:p>
      <w:pPr>
        <w:pStyle w:val="ListParagraph"/>
        <w:numPr>
          <w:ilvl w:val="0"/>
          <w:numId w:val="3"/>
        </w:numPr>
        <w:spacing w:after="60" w:line="276"/>
      </w:pPr>
      <w:r>
        <w:rPr>
          <w:rFonts w:ascii="Arial" w:cs="Arial" w:eastAsia="Arial" w:hAnsi="Arial"/>
          <w:color w:val="1C2833"/>
          <w:sz w:val="21"/>
          <w:szCs w:val="21"/>
        </w:rPr>
        <w:t xml:space="preserve">Specific evidence citations from retrieved documents</w:t>
      </w:r>
    </w:p>
    <w:p>
      <w:pPr>
        <w:pStyle w:val="ListParagraph"/>
        <w:numPr>
          <w:ilvl w:val="0"/>
          <w:numId w:val="3"/>
        </w:numPr>
        <w:spacing w:after="60" w:line="276"/>
      </w:pPr>
      <w:r>
        <w:rPr>
          <w:rFonts w:ascii="Arial" w:cs="Arial" w:eastAsia="Arial" w:hAnsi="Arial"/>
          <w:color w:val="1C2833"/>
          <w:sz w:val="21"/>
          <w:szCs w:val="21"/>
        </w:rPr>
        <w:t xml:space="preserve">A confidence score reflecting document support strength</w:t>
      </w:r>
    </w:p>
    <w:p>
      <w:pPr>
        <w:pStyle w:val="ListParagraph"/>
        <w:numPr>
          <w:ilvl w:val="0"/>
          <w:numId w:val="3"/>
        </w:numPr>
        <w:spacing w:after="60" w:line="276"/>
      </w:pPr>
      <w:r>
        <w:rPr>
          <w:rFonts w:ascii="Arial" w:cs="Arial" w:eastAsia="Arial" w:hAnsi="Arial"/>
          <w:color w:val="1C2833"/>
          <w:sz w:val="21"/>
          <w:szCs w:val="21"/>
        </w:rPr>
        <w:t xml:space="preserve">A consistency flag confirming the hypothesis does not contradict the statistical evidence</w:t>
      </w:r>
    </w:p>
    <w:p>
      <w:pPr>
        <w:pStyle w:val="ListParagraph"/>
        <w:numPr>
          <w:ilvl w:val="0"/>
          <w:numId w:val="4"/>
        </w:numPr>
        <w:spacing w:after="80" w:line="276"/>
      </w:pPr>
      <w:r>
        <w:rPr>
          <w:rFonts w:ascii="Arial" w:cs="Arial" w:eastAsia="Arial" w:hAnsi="Arial"/>
          <w:b/>
          <w:bCs/>
          <w:color w:val="1C2833"/>
          <w:sz w:val="22"/>
          <w:szCs w:val="22"/>
        </w:rPr>
        <w:t xml:space="preserve">Consistency Verification: </w:t>
      </w:r>
      <w:r>
        <w:rPr>
          <w:rFonts w:ascii="Arial" w:cs="Arial" w:eastAsia="Arial" w:hAnsi="Arial"/>
          <w:color w:val="1C2833"/>
          <w:sz w:val="22"/>
          <w:szCs w:val="22"/>
        </w:rPr>
        <w:t xml:space="preserve">Each hypothesis is programmatically checked against the CIGS output:</w:t>
      </w:r>
    </w:p>
    <w:p>
      <w:pPr>
        <w:pStyle w:val="ListParagraph"/>
        <w:numPr>
          <w:ilvl w:val="0"/>
          <w:numId w:val="3"/>
        </w:numPr>
        <w:spacing w:after="60" w:line="276"/>
      </w:pPr>
      <w:r>
        <w:rPr>
          <w:rFonts w:ascii="Arial" w:cs="Arial" w:eastAsia="Arial" w:hAnsi="Arial"/>
          <w:color w:val="1C2833"/>
          <w:sz w:val="21"/>
          <w:szCs w:val="21"/>
        </w:rPr>
        <w:t xml:space="preserve">Does the hypothesis respect the causal direction proved by CAP?</w:t>
      </w:r>
    </w:p>
    <w:p>
      <w:pPr>
        <w:pStyle w:val="ListParagraph"/>
        <w:numPr>
          <w:ilvl w:val="0"/>
          <w:numId w:val="3"/>
        </w:numPr>
        <w:spacing w:after="60" w:line="276"/>
      </w:pPr>
      <w:r>
        <w:rPr>
          <w:rFonts w:ascii="Arial" w:cs="Arial" w:eastAsia="Arial" w:hAnsi="Arial"/>
          <w:color w:val="1C2833"/>
          <w:sz w:val="21"/>
          <w:szCs w:val="21"/>
        </w:rPr>
        <w:t xml:space="preserve">Does the hypothesis explain effects on the correct entity set?</w:t>
      </w:r>
    </w:p>
    <w:p>
      <w:pPr>
        <w:pStyle w:val="ListParagraph"/>
        <w:numPr>
          <w:ilvl w:val="0"/>
          <w:numId w:val="3"/>
        </w:numPr>
        <w:spacing w:after="60" w:line="276"/>
      </w:pPr>
      <w:r>
        <w:rPr>
          <w:rFonts w:ascii="Arial" w:cs="Arial" w:eastAsia="Arial" w:hAnsi="Arial"/>
          <w:color w:val="1C2833"/>
          <w:sz w:val="21"/>
          <w:szCs w:val="21"/>
        </w:rPr>
        <w:t xml:space="preserve">Is the proposed mechanism temporally consistent with the observed propagation delays?</w:t>
      </w:r>
    </w:p>
    <w:p>
      <w:pPr>
        <w:pStyle w:val="ListParagraph"/>
        <w:numPr>
          <w:ilvl w:val="0"/>
          <w:numId w:val="3"/>
        </w:numPr>
        <w:spacing w:after="60" w:line="276"/>
      </w:pPr>
      <w:r>
        <w:rPr>
          <w:rFonts w:ascii="Arial" w:cs="Arial" w:eastAsia="Arial" w:hAnsi="Arial"/>
          <w:color w:val="1C2833"/>
          <w:sz w:val="21"/>
          <w:szCs w:val="21"/>
        </w:rPr>
        <w:t xml:space="preserve">Does the hypothesis account for the dimensional locus (why this sub-population and not others)?</w:t>
      </w:r>
    </w:p>
    <w:p>
      <w:pPr>
        <w:spacing w:after="140" w:line="276"/>
      </w:pPr>
      <w:r>
        <w:rPr>
          <w:rFonts w:ascii="Arial" w:cs="Arial" w:eastAsia="Arial" w:hAnsi="Arial"/>
          <w:b w:val="false"/>
          <w:bCs w:val="false"/>
          <w:i w:val="false"/>
          <w:iCs w:val="false"/>
          <w:color w:val="1C2833"/>
          <w:sz w:val="22"/>
          <w:szCs w:val="22"/>
        </w:rPr>
        <w:t xml:space="preserve">Any hypothesis failing consistency verification is discarded regardless of LLM confidence.</w:t>
      </w:r>
    </w:p>
    <w:p>
      <w:pPr>
        <w:spacing w:after="60"/>
      </w:pPr>
    </w:p>
    <w:p>
      <w:pPr>
        <w:pStyle w:val="Heading3"/>
        <w:spacing w:after="120" w:before="240"/>
      </w:pPr>
      <w:r>
        <w:rPr>
          <w:rFonts w:ascii="Arial" w:cs="Arial" w:eastAsia="Arial" w:hAnsi="Arial"/>
          <w:b/>
          <w:bCs/>
          <w:color w:val="1A6FB5"/>
          <w:sz w:val="24"/>
          <w:szCs w:val="24"/>
        </w:rPr>
        <w:t xml:space="preserve">2.2.3 Output Schema</w:t>
      </w:r>
    </w:p>
    <w:p>
      <w:pPr>
        <w:spacing w:after="140" w:line="276"/>
        <w:jc w:val="left"/>
      </w:pPr>
      <w:r>
        <w:rPr>
          <w:rFonts w:ascii="Arial" w:cs="Arial" w:eastAsia="Arial" w:hAnsi="Arial"/>
          <w:b/>
          <w:bCs/>
          <w:color w:val="1C2833"/>
          <w:sz w:val="22"/>
          <w:szCs w:val="22"/>
        </w:rPr>
        <w:t xml:space="preserve">The ACHG augments each CIGS causal insight graph with a MechanisticExplanation object:</w:t>
      </w:r>
    </w:p>
    <w:p>
      <w:pPr>
        <w:spacing w:after="60"/>
      </w:pPr>
    </w:p>
    <w:p>
      <w:pPr>
        <w:spacing w:after="100" w:line="276"/>
      </w:pPr>
      <w:r>
        <w:rPr>
          <w:rFonts w:ascii="Courier New" w:cs="Courier New" w:eastAsia="Courier New" w:hAnsi="Courier New"/>
          <w:color w:val="0F2B46"/>
          <w:sz w:val="20"/>
          <w:szCs w:val="20"/>
        </w:rPr>
        <w:t xml:space="preserve">MechanisticExplanation {</w:t>
      </w:r>
    </w:p>
    <w:p>
      <w:pPr>
        <w:spacing w:after="100" w:line="276"/>
      </w:pPr>
      <w:r>
        <w:rPr>
          <w:rFonts w:ascii="Courier New" w:cs="Courier New" w:eastAsia="Courier New" w:hAnsi="Courier New"/>
          <w:color w:val="0F2B46"/>
          <w:sz w:val="20"/>
          <w:szCs w:val="20"/>
        </w:rPr>
        <w:t xml:space="preserve">  causal_chain_id: UUID          // links to validated CIGS graph</w:t>
      </w:r>
    </w:p>
    <w:p>
      <w:pPr>
        <w:spacing w:after="100" w:line="276"/>
      </w:pPr>
      <w:r>
        <w:rPr>
          <w:rFonts w:ascii="Courier New" w:cs="Courier New" w:eastAsia="Courier New" w:hAnsi="Courier New"/>
          <w:color w:val="0F2B46"/>
          <w:sz w:val="20"/>
          <w:szCs w:val="20"/>
        </w:rPr>
        <w:t xml:space="preserve">  hypotheses: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rank: 1</w:t>
      </w:r>
    </w:p>
    <w:p>
      <w:pPr>
        <w:spacing w:after="100" w:line="276"/>
      </w:pPr>
      <w:r>
        <w:rPr>
          <w:rFonts w:ascii="Courier New" w:cs="Courier New" w:eastAsia="Courier New" w:hAnsi="Courier New"/>
          <w:color w:val="0F2B46"/>
          <w:sz w:val="20"/>
          <w:szCs w:val="20"/>
        </w:rPr>
        <w:t xml:space="preserve">      mechanism: "CR-4521 modified TCP window scaling from</w:t>
      </w:r>
    </w:p>
    <w:p>
      <w:pPr>
        <w:spacing w:after="100" w:line="276"/>
      </w:pPr>
      <w:r>
        <w:rPr>
          <w:rFonts w:ascii="Courier New" w:cs="Courier New" w:eastAsia="Courier New" w:hAnsi="Courier New"/>
          <w:color w:val="0F2B46"/>
          <w:sz w:val="20"/>
          <w:szCs w:val="20"/>
        </w:rPr>
        <w:t xml:space="preserve">        64KB to 256KB. Under concurrent load &gt;1000 connections,</w:t>
      </w:r>
    </w:p>
    <w:p>
      <w:pPr>
        <w:spacing w:after="100" w:line="276"/>
      </w:pPr>
      <w:r>
        <w:rPr>
          <w:rFonts w:ascii="Courier New" w:cs="Courier New" w:eastAsia="Courier New" w:hAnsi="Courier New"/>
          <w:color w:val="0F2B46"/>
          <w:sz w:val="20"/>
          <w:szCs w:val="20"/>
        </w:rPr>
        <w:t xml:space="preserve">        this causes receive buffer exhaustion, triggering</w:t>
      </w:r>
    </w:p>
    <w:p>
      <w:pPr>
        <w:spacing w:after="100" w:line="276"/>
      </w:pPr>
      <w:r>
        <w:rPr>
          <w:rFonts w:ascii="Courier New" w:cs="Courier New" w:eastAsia="Courier New" w:hAnsi="Courier New"/>
          <w:color w:val="0F2B46"/>
          <w:sz w:val="20"/>
          <w:szCs w:val="20"/>
        </w:rPr>
        <w:t xml:space="preserve">        retransmission storms."</w:t>
      </w:r>
    </w:p>
    <w:p>
      <w:pPr>
        <w:spacing w:after="100" w:line="276"/>
      </w:pPr>
      <w:r>
        <w:rPr>
          <w:rFonts w:ascii="Courier New" w:cs="Courier New" w:eastAsia="Courier New" w:hAnsi="Courier New"/>
          <w:color w:val="0F2B46"/>
          <w:sz w:val="20"/>
          <w:szCs w:val="20"/>
        </w:rPr>
        <w:t xml:space="preserve">      evidence: [</w:t>
      </w:r>
    </w:p>
    <w:p>
      <w:pPr>
        <w:spacing w:after="100" w:line="276"/>
      </w:pPr>
      <w:r>
        <w:rPr>
          <w:rFonts w:ascii="Courier New" w:cs="Courier New" w:eastAsia="Courier New" w:hAnsi="Courier New"/>
          <w:color w:val="0F2B46"/>
          <w:sz w:val="20"/>
          <w:szCs w:val="20"/>
        </w:rPr>
        <w:t xml:space="preserve">        {source: "changelog/CR-4521", excerpt: "tcp_window..." },</w:t>
      </w:r>
    </w:p>
    <w:p>
      <w:pPr>
        <w:spacing w:after="100" w:line="276"/>
      </w:pPr>
      <w:r>
        <w:rPr>
          <w:rFonts w:ascii="Courier New" w:cs="Courier New" w:eastAsia="Courier New" w:hAnsi="Courier New"/>
          <w:color w:val="0F2B46"/>
          <w:sz w:val="20"/>
          <w:szCs w:val="20"/>
        </w:rPr>
        <w:t xml:space="preserve">        {source: "vendor/VA-2025-0847", excerpt: "known issue..."}</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confidence: 0.87</w:t>
      </w:r>
    </w:p>
    <w:p>
      <w:pPr>
        <w:spacing w:after="100" w:line="276"/>
      </w:pPr>
      <w:r>
        <w:rPr>
          <w:rFonts w:ascii="Courier New" w:cs="Courier New" w:eastAsia="Courier New" w:hAnsi="Courier New"/>
          <w:color w:val="0F2B46"/>
          <w:sz w:val="20"/>
          <w:szCs w:val="20"/>
        </w:rPr>
        <w:t xml:space="preserve">      consistency_verified: true</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 rank: 2, mechanism: "...", ...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remediation_suggestions: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action: "Revert TCP window scaling to 64KB"</w:t>
      </w:r>
    </w:p>
    <w:p>
      <w:pPr>
        <w:spacing w:after="100" w:line="276"/>
      </w:pPr>
      <w:r>
        <w:rPr>
          <w:rFonts w:ascii="Courier New" w:cs="Courier New" w:eastAsia="Courier New" w:hAnsi="Courier New"/>
          <w:color w:val="0F2B46"/>
          <w:sz w:val="20"/>
          <w:szCs w:val="20"/>
        </w:rPr>
        <w:t xml:space="preserve">      source: "postmortem/INC-2024-0312"</w:t>
      </w:r>
    </w:p>
    <w:p>
      <w:pPr>
        <w:spacing w:after="100" w:line="276"/>
      </w:pPr>
      <w:r>
        <w:rPr>
          <w:rFonts w:ascii="Courier New" w:cs="Courier New" w:eastAsia="Courier New" w:hAnsi="Courier New"/>
          <w:color w:val="0F2B46"/>
          <w:sz w:val="20"/>
          <w:szCs w:val="20"/>
        </w:rPr>
        <w:t xml:space="preserve">      historical_success_rate: 0.92</w:t>
      </w:r>
    </w:p>
    <w:p>
      <w:pPr>
        <w:spacing w:after="100" w:line="276"/>
      </w:pPr>
      <w:r>
        <w:rPr>
          <w:rFonts w:ascii="Courier New" w:cs="Courier New" w:eastAsia="Courier New" w:hAnsi="Courier New"/>
          <w:color w:val="0F2B46"/>
          <w:sz w:val="20"/>
          <w:szCs w:val="20"/>
        </w:rPr>
        <w:t xml:space="preserve">      estimated_resolution_time: "15 minutes"</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w:t>
      </w:r>
    </w:p>
    <w:p>
      <w:r>
        <w:br w:type="page"/>
      </w:r>
    </w:p>
    <w:p>
      <w:pPr>
        <w:pStyle w:val="Heading2"/>
        <w:spacing w:after="160" w:before="300"/>
      </w:pPr>
      <w:r>
        <w:rPr>
          <w:rFonts w:ascii="Arial" w:cs="Arial" w:eastAsia="Arial" w:hAnsi="Arial"/>
          <w:b/>
          <w:bCs/>
          <w:color w:val="0F2B46"/>
          <w:sz w:val="28"/>
          <w:szCs w:val="28"/>
        </w:rPr>
        <w:t xml:space="preserve">2.3 Sub-Module 8C: Organizational Memory Retrieval Engine (OMRE)</w:t>
      </w:r>
    </w:p>
    <w:p>
      <w:pPr>
        <w:pStyle w:val="Heading3"/>
        <w:spacing w:after="120" w:before="240"/>
      </w:pPr>
      <w:r>
        <w:rPr>
          <w:rFonts w:ascii="Arial" w:cs="Arial" w:eastAsia="Arial" w:hAnsi="Arial"/>
          <w:b/>
          <w:bCs/>
          <w:color w:val="1A6FB5"/>
          <w:sz w:val="24"/>
          <w:szCs w:val="24"/>
        </w:rPr>
        <w:t xml:space="preserve">2.3.1 Problem Addressed</w:t>
      </w:r>
    </w:p>
    <w:p>
      <w:pPr>
        <w:spacing w:after="140" w:line="276"/>
      </w:pPr>
      <w:r>
        <w:rPr>
          <w:rFonts w:ascii="Arial" w:cs="Arial" w:eastAsia="Arial" w:hAnsi="Arial"/>
          <w:b w:val="false"/>
          <w:bCs w:val="false"/>
          <w:i w:val="false"/>
          <w:iCs w:val="false"/>
          <w:color w:val="1C2833"/>
          <w:sz w:val="22"/>
          <w:szCs w:val="22"/>
        </w:rPr>
        <w:t xml:space="preserve">AMACE’s Predictive Precursor Engine (PPE) learns from its own historical causal graphs. But organizations accumulate vast unstructured knowledge that the statistical engine never sees: incident postmortems written in natural language, Slack/Teams conversations where engineers discussed workarounds, architecture decision records (ADRs) explaining design tradeoffs, vendor support tickets with resolution steps, runbook documentation, and lessons-learned databases.</w:t>
      </w:r>
    </w:p>
    <w:p>
      <w:pPr>
        <w:spacing w:after="60"/>
      </w:pPr>
    </w:p>
    <w:p>
      <w:pPr>
        <w:spacing w:after="140" w:line="276"/>
      </w:pPr>
      <w:r>
        <w:rPr>
          <w:rFonts w:ascii="Arial" w:cs="Arial" w:eastAsia="Arial" w:hAnsi="Arial"/>
          <w:b w:val="false"/>
          <w:bCs w:val="false"/>
          <w:i w:val="false"/>
          <w:iCs w:val="false"/>
          <w:color w:val="1C2833"/>
          <w:sz w:val="22"/>
          <w:szCs w:val="22"/>
        </w:rPr>
        <w:t xml:space="preserve">This knowledge is invisible to the statistical engine but contains precisely the institutional memory needed to accelerate resolution: “We saw this exact pattern 18 months ago. Here is what we did. Here is what worked. Here is what didn’t.”</w:t>
      </w:r>
    </w:p>
    <w:p>
      <w:pPr>
        <w:pStyle w:val="Heading3"/>
        <w:spacing w:after="120" w:before="240"/>
      </w:pPr>
      <w:r>
        <w:rPr>
          <w:rFonts w:ascii="Arial" w:cs="Arial" w:eastAsia="Arial" w:hAnsi="Arial"/>
          <w:b/>
          <w:bCs/>
          <w:color w:val="1A6FB5"/>
          <w:sz w:val="24"/>
          <w:szCs w:val="24"/>
        </w:rPr>
        <w:t xml:space="preserve">2.3.2 Algorithm</w:t>
      </w:r>
    </w:p>
    <w:p>
      <w:pPr>
        <w:pStyle w:val="ListParagraph"/>
        <w:numPr>
          <w:ilvl w:val="0"/>
          <w:numId w:val="5"/>
        </w:numPr>
        <w:spacing w:after="80" w:line="276"/>
      </w:pPr>
      <w:r>
        <w:rPr>
          <w:rFonts w:ascii="Arial" w:cs="Arial" w:eastAsia="Arial" w:hAnsi="Arial"/>
          <w:b/>
          <w:bCs/>
          <w:color w:val="1C2833"/>
          <w:sz w:val="22"/>
          <w:szCs w:val="22"/>
        </w:rPr>
        <w:t xml:space="preserve">Pattern Signature Extraction: </w:t>
      </w:r>
      <w:r>
        <w:rPr>
          <w:rFonts w:ascii="Arial" w:cs="Arial" w:eastAsia="Arial" w:hAnsi="Arial"/>
          <w:color w:val="1C2833"/>
          <w:sz w:val="22"/>
          <w:szCs w:val="22"/>
        </w:rPr>
        <w:t xml:space="preserve">From the current causal insight graph, extract a Pattern Signature — an abstract representation of the causal structure:</w:t>
      </w:r>
    </w:p>
    <w:p>
      <w:pPr>
        <w:spacing w:after="60"/>
      </w:pPr>
    </w:p>
    <w:p>
      <w:pPr>
        <w:spacing w:after="100" w:line="276"/>
      </w:pPr>
      <w:r>
        <w:rPr>
          <w:rFonts w:ascii="Courier New" w:cs="Courier New" w:eastAsia="Courier New" w:hAnsi="Courier New"/>
          <w:color w:val="0F2B46"/>
          <w:sz w:val="20"/>
          <w:szCs w:val="20"/>
        </w:rPr>
        <w:t xml:space="preserve">PatternSignature {</w:t>
      </w:r>
    </w:p>
    <w:p>
      <w:pPr>
        <w:spacing w:after="100" w:line="276"/>
      </w:pPr>
      <w:r>
        <w:rPr>
          <w:rFonts w:ascii="Courier New" w:cs="Courier New" w:eastAsia="Courier New" w:hAnsi="Courier New"/>
          <w:color w:val="0F2B46"/>
          <w:sz w:val="20"/>
          <w:szCs w:val="20"/>
        </w:rPr>
        <w:t xml:space="preserve">  root_stratum: S₀</w:t>
      </w:r>
    </w:p>
    <w:p>
      <w:pPr>
        <w:spacing w:after="100" w:line="276"/>
      </w:pPr>
      <w:r>
        <w:rPr>
          <w:rFonts w:ascii="Courier New" w:cs="Courier New" w:eastAsia="Courier New" w:hAnsi="Courier New"/>
          <w:color w:val="0F2B46"/>
          <w:sz w:val="20"/>
          <w:szCs w:val="20"/>
        </w:rPr>
        <w:t xml:space="preserve">  root_type: "config_change"</w:t>
      </w:r>
    </w:p>
    <w:p>
      <w:pPr>
        <w:spacing w:after="100" w:line="276"/>
      </w:pPr>
      <w:r>
        <w:rPr>
          <w:rFonts w:ascii="Courier New" w:cs="Courier New" w:eastAsia="Courier New" w:hAnsi="Courier New"/>
          <w:color w:val="0F2B46"/>
          <w:sz w:val="20"/>
          <w:szCs w:val="20"/>
        </w:rPr>
        <w:t xml:space="preserve">  propagation_depth: 3  // number of causal hops</w:t>
      </w:r>
    </w:p>
    <w:p>
      <w:pPr>
        <w:spacing w:after="100" w:line="276"/>
      </w:pPr>
      <w:r>
        <w:rPr>
          <w:rFonts w:ascii="Courier New" w:cs="Courier New" w:eastAsia="Courier New" w:hAnsi="Courier New"/>
          <w:color w:val="0F2B46"/>
          <w:sz w:val="20"/>
          <w:szCs w:val="20"/>
        </w:rPr>
        <w:t xml:space="preserve">  strata_involved: [S₀, S₁, S₂]</w:t>
      </w:r>
    </w:p>
    <w:p>
      <w:pPr>
        <w:spacing w:after="100" w:line="276"/>
      </w:pPr>
      <w:r>
        <w:rPr>
          <w:rFonts w:ascii="Courier New" w:cs="Courier New" w:eastAsia="Courier New" w:hAnsi="Courier New"/>
          <w:color w:val="0F2B46"/>
          <w:sz w:val="20"/>
          <w:szCs w:val="20"/>
        </w:rPr>
        <w:t xml:space="preserve">  effect_types: ["latency_shift", "model_drift", "user_impact"]</w:t>
      </w:r>
    </w:p>
    <w:p>
      <w:pPr>
        <w:spacing w:after="100" w:line="276"/>
      </w:pPr>
      <w:r>
        <w:rPr>
          <w:rFonts w:ascii="Courier New" w:cs="Courier New" w:eastAsia="Courier New" w:hAnsi="Courier New"/>
          <w:color w:val="0F2B46"/>
          <w:sz w:val="20"/>
          <w:szCs w:val="20"/>
        </w:rPr>
        <w:t xml:space="preserve">  dimensional_pattern: "geographic × infrastructure"</w:t>
      </w:r>
    </w:p>
    <w:p>
      <w:pPr>
        <w:spacing w:after="100" w:line="276"/>
      </w:pPr>
      <w:r>
        <w:rPr>
          <w:rFonts w:ascii="Courier New" w:cs="Courier New" w:eastAsia="Courier New" w:hAnsi="Courier New"/>
          <w:color w:val="0F2B46"/>
          <w:sz w:val="20"/>
          <w:szCs w:val="20"/>
        </w:rPr>
        <w:t xml:space="preserve">  entity_scale: "large"  // &gt;10K entities affected</w:t>
      </w:r>
    </w:p>
    <w:p>
      <w:pPr>
        <w:spacing w:after="100" w:line="276"/>
      </w:pPr>
      <w:r>
        <w:rPr>
          <w:rFonts w:ascii="Courier New" w:cs="Courier New" w:eastAsia="Courier New" w:hAnsi="Courier New"/>
          <w:color w:val="0F2B46"/>
          <w:sz w:val="20"/>
          <w:szCs w:val="20"/>
        </w:rPr>
        <w:t xml:space="preserve">}</w:t>
      </w:r>
    </w:p>
    <w:p>
      <w:pPr>
        <w:spacing w:after="60"/>
      </w:pPr>
    </w:p>
    <w:p>
      <w:pPr>
        <w:pStyle w:val="ListParagraph"/>
        <w:numPr>
          <w:ilvl w:val="0"/>
          <w:numId w:val="5"/>
        </w:numPr>
        <w:spacing w:after="80" w:line="276"/>
      </w:pPr>
      <w:r>
        <w:rPr>
          <w:rFonts w:ascii="Arial" w:cs="Arial" w:eastAsia="Arial" w:hAnsi="Arial"/>
          <w:b/>
          <w:bCs/>
          <w:color w:val="1C2833"/>
          <w:sz w:val="22"/>
          <w:szCs w:val="22"/>
        </w:rPr>
        <w:t xml:space="preserve">Multi-Index Retrieval: </w:t>
      </w:r>
      <w:r>
        <w:rPr>
          <w:rFonts w:ascii="Arial" w:cs="Arial" w:eastAsia="Arial" w:hAnsi="Arial"/>
          <w:color w:val="1C2833"/>
          <w:sz w:val="22"/>
          <w:szCs w:val="22"/>
        </w:rPr>
        <w:t xml:space="preserve">Query the Organizational Knowledge Index using both semantic search (embedding-based) and structured search (pattern signature matching):</w:t>
      </w:r>
    </w:p>
    <w:p>
      <w:pPr>
        <w:pStyle w:val="ListParagraph"/>
        <w:numPr>
          <w:ilvl w:val="0"/>
          <w:numId w:val="3"/>
        </w:numPr>
        <w:spacing w:after="60" w:line="276"/>
      </w:pPr>
      <w:r>
        <w:rPr>
          <w:rFonts w:ascii="Arial" w:cs="Arial" w:eastAsia="Arial" w:hAnsi="Arial"/>
          <w:b/>
          <w:bCs/>
          <w:color w:val="1C2833"/>
          <w:sz w:val="21"/>
          <w:szCs w:val="21"/>
        </w:rPr>
        <w:t xml:space="preserve">Semantic Search: </w:t>
      </w:r>
      <w:r>
        <w:rPr>
          <w:rFonts w:ascii="Arial" w:cs="Arial" w:eastAsia="Arial" w:hAnsi="Arial"/>
          <w:color w:val="1C2833"/>
          <w:sz w:val="21"/>
          <w:szCs w:val="21"/>
        </w:rPr>
        <w:t xml:space="preserve">Embed the causal chain narrative and search for similar incident descriptions, postmortems, and discussion threads.</w:t>
      </w:r>
    </w:p>
    <w:p>
      <w:pPr>
        <w:pStyle w:val="ListParagraph"/>
        <w:numPr>
          <w:ilvl w:val="0"/>
          <w:numId w:val="3"/>
        </w:numPr>
        <w:spacing w:after="60" w:line="276"/>
      </w:pPr>
      <w:r>
        <w:rPr>
          <w:rFonts w:ascii="Arial" w:cs="Arial" w:eastAsia="Arial" w:hAnsi="Arial"/>
          <w:b/>
          <w:bCs/>
          <w:color w:val="1C2833"/>
          <w:sz w:val="21"/>
          <w:szCs w:val="21"/>
        </w:rPr>
        <w:t xml:space="preserve">Structural Search: </w:t>
      </w:r>
      <w:r>
        <w:rPr>
          <w:rFonts w:ascii="Arial" w:cs="Arial" w:eastAsia="Arial" w:hAnsi="Arial"/>
          <w:color w:val="1C2833"/>
          <w:sz w:val="21"/>
          <w:szCs w:val="21"/>
        </w:rPr>
        <w:t xml:space="preserve">Match the Pattern Signature against indexed past causal graphs from AMACE’s own history and against tagged incidents in the knowledge base.</w:t>
      </w:r>
    </w:p>
    <w:p>
      <w:pPr>
        <w:pStyle w:val="ListParagraph"/>
        <w:numPr>
          <w:ilvl w:val="0"/>
          <w:numId w:val="3"/>
        </w:numPr>
        <w:spacing w:after="60" w:line="276"/>
      </w:pPr>
      <w:r>
        <w:rPr>
          <w:rFonts w:ascii="Arial" w:cs="Arial" w:eastAsia="Arial" w:hAnsi="Arial"/>
          <w:b/>
          <w:bCs/>
          <w:color w:val="1C2833"/>
          <w:sz w:val="21"/>
          <w:szCs w:val="21"/>
        </w:rPr>
        <w:t xml:space="preserve">Temporal Relevance Decay: </w:t>
      </w:r>
      <w:r>
        <w:rPr>
          <w:rFonts w:ascii="Arial" w:cs="Arial" w:eastAsia="Arial" w:hAnsi="Arial"/>
          <w:color w:val="1C2833"/>
          <w:sz w:val="21"/>
          <w:szCs w:val="21"/>
        </w:rPr>
        <w:t xml:space="preserve">Weight more recent incidents higher, with exponential decay: relevance = base_relevance × e^(-λ × age_days). Recent experience is more valuable than old knowledge.</w:t>
      </w:r>
    </w:p>
    <w:p>
      <w:pPr>
        <w:pStyle w:val="ListParagraph"/>
        <w:numPr>
          <w:ilvl w:val="0"/>
          <w:numId w:val="5"/>
        </w:numPr>
        <w:spacing w:after="80" w:line="276"/>
      </w:pPr>
      <w:r>
        <w:rPr>
          <w:rFonts w:ascii="Arial" w:cs="Arial" w:eastAsia="Arial" w:hAnsi="Arial"/>
          <w:b/>
          <w:bCs/>
          <w:color w:val="1C2833"/>
          <w:sz w:val="22"/>
          <w:szCs w:val="22"/>
        </w:rPr>
        <w:t xml:space="preserve">Contextual Synthesis: </w:t>
      </w:r>
      <w:r>
        <w:rPr>
          <w:rFonts w:ascii="Arial" w:cs="Arial" w:eastAsia="Arial" w:hAnsi="Arial"/>
          <w:color w:val="1C2833"/>
          <w:sz w:val="22"/>
          <w:szCs w:val="22"/>
        </w:rPr>
        <w:t xml:space="preserve">Provide retrieved organizational memory to the LLM with the current insight graph: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A69A" w:sz="1"/>
              <w:left w:val="single" w:color="26A69A" w:sz="8"/>
              <w:bottom w:val="single" w:color="26A69A" w:sz="1"/>
              <w:right w:val="single" w:color="26A69A" w:sz="1"/>
            </w:tcBorders>
            <w:shd w:fill="E0F2F1" w:val="clear"/>
            <w:tcMar>
              <w:top w:type="dxa" w:w="120"/>
              <w:left w:type="dxa" w:w="200"/>
              <w:bottom w:type="dxa" w:w="120"/>
              <w:right w:type="dxa" w:w="200"/>
            </w:tcMar>
          </w:tcPr>
          <w:p>
            <w:pPr>
              <w:spacing w:after="80"/>
            </w:pPr>
            <w:r>
              <w:rPr>
                <w:rFonts w:ascii="Arial" w:cs="Arial" w:eastAsia="Arial" w:hAnsi="Arial"/>
                <w:b/>
                <w:bCs/>
                <w:color w:val="26A69A"/>
                <w:sz w:val="22"/>
                <w:szCs w:val="22"/>
              </w:rPr>
              <w:t xml:space="preserve">OMRE PROMPT TEMPLATE</w:t>
            </w:r>
          </w:p>
          <w:p>
            <w:pPr>
              <w:spacing w:after="0" w:line="276"/>
            </w:pPr>
            <w:r>
              <w:rPr>
                <w:rFonts w:ascii="Arial" w:cs="Arial" w:eastAsia="Arial" w:hAnsi="Arial"/>
                <w:color w:val="1C2833"/>
                <w:sz w:val="20"/>
                <w:szCs w:val="20"/>
              </w:rPr>
              <w:t xml:space="preserve">A new incident has been detected with the following validated causal structure:
[CURRENT CAUSAL GRAPH]
The following past incidents have been identified as potentially relevant:
[RETRIEVED PAST INCIDENTS WITH POSTMORTEMS]
For each past incident, determine:
1. How similar is it to the current incident? (0.0–1.0)
2. What resolution was applied? Did it work?
3. Is the resolution applicable to the current incident? Why or why not?
4. What lessons from the past incident should inform the current response?
CONSTRAINT: Only reference information from the retrieved documents. Do not fabricate past incidents or resolutions.</w:t>
            </w:r>
          </w:p>
        </w:tc>
      </w:tr>
    </w:tbl>
    <w:p>
      <w:pPr>
        <w:spacing w:after="60"/>
      </w:pPr>
    </w:p>
    <w:p>
      <w:pPr>
        <w:pStyle w:val="ListParagraph"/>
        <w:numPr>
          <w:ilvl w:val="0"/>
          <w:numId w:val="5"/>
        </w:numPr>
        <w:spacing w:after="80" w:line="276"/>
      </w:pPr>
      <w:r>
        <w:rPr>
          <w:rFonts w:ascii="Arial" w:cs="Arial" w:eastAsia="Arial" w:hAnsi="Arial"/>
          <w:b/>
          <w:bCs/>
          <w:color w:val="1C2833"/>
          <w:sz w:val="22"/>
          <w:szCs w:val="22"/>
        </w:rPr>
        <w:t xml:space="preserve">Output Enrichment: </w:t>
      </w:r>
      <w:r>
        <w:rPr>
          <w:rFonts w:ascii="Arial" w:cs="Arial" w:eastAsia="Arial" w:hAnsi="Arial"/>
          <w:color w:val="1C2833"/>
          <w:sz w:val="22"/>
          <w:szCs w:val="22"/>
        </w:rPr>
        <w:t xml:space="preserve">OMRE appends an OrganizationalContext object to the CIGS output:</w:t>
      </w:r>
    </w:p>
    <w:p>
      <w:pPr>
        <w:spacing w:after="60"/>
      </w:pPr>
    </w:p>
    <w:p>
      <w:pPr>
        <w:spacing w:after="100" w:line="276"/>
      </w:pPr>
      <w:r>
        <w:rPr>
          <w:rFonts w:ascii="Courier New" w:cs="Courier New" w:eastAsia="Courier New" w:hAnsi="Courier New"/>
          <w:color w:val="0F2B46"/>
          <w:sz w:val="20"/>
          <w:szCs w:val="20"/>
        </w:rPr>
        <w:t xml:space="preserve">OrganizationalContext {</w:t>
      </w:r>
    </w:p>
    <w:p>
      <w:pPr>
        <w:spacing w:after="100" w:line="276"/>
      </w:pPr>
      <w:r>
        <w:rPr>
          <w:rFonts w:ascii="Courier New" w:cs="Courier New" w:eastAsia="Courier New" w:hAnsi="Courier New"/>
          <w:color w:val="0F2B46"/>
          <w:sz w:val="20"/>
          <w:szCs w:val="20"/>
        </w:rPr>
        <w:t xml:space="preserve">  similar_past_incidents: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incident_id: "INC-2024-0312"</w:t>
      </w:r>
    </w:p>
    <w:p>
      <w:pPr>
        <w:spacing w:after="100" w:line="276"/>
      </w:pPr>
      <w:r>
        <w:rPr>
          <w:rFonts w:ascii="Courier New" w:cs="Courier New" w:eastAsia="Courier New" w:hAnsi="Courier New"/>
          <w:color w:val="0F2B46"/>
          <w:sz w:val="20"/>
          <w:szCs w:val="20"/>
        </w:rPr>
        <w:t xml:space="preserve">      similarity: 0.89</w:t>
      </w:r>
    </w:p>
    <w:p>
      <w:pPr>
        <w:spacing w:after="100" w:line="276"/>
      </w:pPr>
      <w:r>
        <w:rPr>
          <w:rFonts w:ascii="Courier New" w:cs="Courier New" w:eastAsia="Courier New" w:hAnsi="Courier New"/>
          <w:color w:val="0F2B46"/>
          <w:sz w:val="20"/>
          <w:szCs w:val="20"/>
        </w:rPr>
        <w:t xml:space="preserve">      resolution: "Reverted TCP config, increased timeout"</w:t>
      </w:r>
    </w:p>
    <w:p>
      <w:pPr>
        <w:spacing w:after="100" w:line="276"/>
      </w:pPr>
      <w:r>
        <w:rPr>
          <w:rFonts w:ascii="Courier New" w:cs="Courier New" w:eastAsia="Courier New" w:hAnsi="Courier New"/>
          <w:color w:val="0F2B46"/>
          <w:sz w:val="20"/>
          <w:szCs w:val="20"/>
        </w:rPr>
        <w:t xml:space="preserve">      resolution_effective: true</w:t>
      </w:r>
    </w:p>
    <w:p>
      <w:pPr>
        <w:spacing w:after="100" w:line="276"/>
      </w:pPr>
      <w:r>
        <w:rPr>
          <w:rFonts w:ascii="Courier New" w:cs="Courier New" w:eastAsia="Courier New" w:hAnsi="Courier New"/>
          <w:color w:val="0F2B46"/>
          <w:sz w:val="20"/>
          <w:szCs w:val="20"/>
        </w:rPr>
        <w:t xml:space="preserve">      time_to_resolution: "45 minutes"</w:t>
      </w:r>
    </w:p>
    <w:p>
      <w:pPr>
        <w:spacing w:after="100" w:line="276"/>
      </w:pPr>
      <w:r>
        <w:rPr>
          <w:rFonts w:ascii="Courier New" w:cs="Courier New" w:eastAsia="Courier New" w:hAnsi="Courier New"/>
          <w:color w:val="0F2B46"/>
          <w:sz w:val="20"/>
          <w:szCs w:val="20"/>
        </w:rPr>
        <w:t xml:space="preserve">      postmortem_url: "https://wiki/postmortem/INC-2024-0312"</w:t>
      </w:r>
    </w:p>
    <w:p>
      <w:pPr>
        <w:spacing w:after="100" w:line="276"/>
      </w:pPr>
      <w:r>
        <w:rPr>
          <w:rFonts w:ascii="Courier New" w:cs="Courier New" w:eastAsia="Courier New" w:hAnsi="Courier New"/>
          <w:color w:val="0F2B46"/>
          <w:sz w:val="20"/>
          <w:szCs w:val="20"/>
        </w:rPr>
        <w:t xml:space="preserve">      key_lessons: ["Always test TCP changes under &gt;1K..."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recommended_resolution_sequence: [</w:t>
      </w:r>
    </w:p>
    <w:p>
      <w:pPr>
        <w:spacing w:after="100" w:line="276"/>
      </w:pPr>
      <w:r>
        <w:rPr>
          <w:rFonts w:ascii="Courier New" w:cs="Courier New" w:eastAsia="Courier New" w:hAnsi="Courier New"/>
          <w:color w:val="0F2B46"/>
          <w:sz w:val="20"/>
          <w:szCs w:val="20"/>
        </w:rPr>
        <w:t xml:space="preserve">    "1. Immediately rollback CR-4521 (worked in INC-2024-0312)"</w:t>
      </w:r>
    </w:p>
    <w:p>
      <w:pPr>
        <w:spacing w:after="100" w:line="276"/>
      </w:pPr>
      <w:r>
        <w:rPr>
          <w:rFonts w:ascii="Courier New" w:cs="Courier New" w:eastAsia="Courier New" w:hAnsi="Courier New"/>
          <w:color w:val="0F2B46"/>
          <w:sz w:val="20"/>
          <w:szCs w:val="20"/>
        </w:rPr>
        <w:t xml:space="preserve">    "2. Verify latency recovery within 5 minutes"</w:t>
      </w:r>
    </w:p>
    <w:p>
      <w:pPr>
        <w:spacing w:after="100" w:line="276"/>
      </w:pPr>
      <w:r>
        <w:rPr>
          <w:rFonts w:ascii="Courier New" w:cs="Courier New" w:eastAsia="Courier New" w:hAnsi="Courier New"/>
          <w:color w:val="0F2B46"/>
          <w:sz w:val="20"/>
          <w:szCs w:val="20"/>
        </w:rPr>
        <w:t xml:space="preserve">    "3. If persists, check vendor advisory VA-2025-0847"</w:t>
      </w:r>
    </w:p>
    <w:p>
      <w:pPr>
        <w:spacing w:after="100" w:line="276"/>
      </w:pPr>
      <w:r>
        <w:rPr>
          <w:rFonts w:ascii="Courier New" w:cs="Courier New" w:eastAsia="Courier New" w:hAnsi="Courier New"/>
          <w:color w:val="0F2B46"/>
          <w:sz w:val="20"/>
          <w:szCs w:val="20"/>
        </w:rPr>
        <w:t xml:space="preserve">  ]</w:t>
      </w:r>
    </w:p>
    <w:p>
      <w:pPr>
        <w:spacing w:after="100" w:line="276"/>
      </w:pPr>
      <w:r>
        <w:rPr>
          <w:rFonts w:ascii="Courier New" w:cs="Courier New" w:eastAsia="Courier New" w:hAnsi="Courier New"/>
          <w:color w:val="0F2B46"/>
          <w:sz w:val="20"/>
          <w:szCs w:val="20"/>
        </w:rPr>
        <w:t xml:space="preserve">  estimated_resolution_time: "15-45 minutes"</w:t>
      </w:r>
    </w:p>
    <w:p>
      <w:pPr>
        <w:spacing w:after="100" w:line="276"/>
      </w:pPr>
      <w:r>
        <w:rPr>
          <w:rFonts w:ascii="Courier New" w:cs="Courier New" w:eastAsia="Courier New" w:hAnsi="Courier New"/>
          <w:color w:val="0F2B46"/>
          <w:sz w:val="20"/>
          <w:szCs w:val="20"/>
        </w:rPr>
        <w:t xml:space="preserve">  confidence: 0.89</w:t>
      </w:r>
    </w:p>
    <w:p>
      <w:pPr>
        <w:spacing w:after="100" w:line="276"/>
      </w:pPr>
      <w:r>
        <w:rPr>
          <w:rFonts w:ascii="Courier New" w:cs="Courier New" w:eastAsia="Courier New" w:hAnsi="Courier New"/>
          <w:color w:val="0F2B46"/>
          <w:sz w:val="20"/>
          <w:szCs w:val="20"/>
        </w:rPr>
        <w:t xml:space="preserve">}</w:t>
      </w:r>
    </w:p>
    <w:p>
      <w:r>
        <w:br w:type="page"/>
      </w:r>
    </w:p>
    <w:p>
      <w:pPr>
        <w:pStyle w:val="Heading1"/>
        <w:spacing w:after="200" w:before="400"/>
      </w:pPr>
      <w:r>
        <w:rPr>
          <w:rFonts w:ascii="Arial" w:cs="Arial" w:eastAsia="Arial" w:hAnsi="Arial"/>
          <w:b/>
          <w:bCs/>
          <w:color w:val="0F2B46"/>
          <w:sz w:val="32"/>
          <w:szCs w:val="32"/>
        </w:rPr>
        <w:t xml:space="preserve">3. RAG Knowledge Index Architecture</w:t>
      </w:r>
    </w:p>
    <w:p>
      <w:pPr>
        <w:spacing w:after="140" w:line="276"/>
      </w:pPr>
      <w:r>
        <w:rPr>
          <w:rFonts w:ascii="Arial" w:cs="Arial" w:eastAsia="Arial" w:hAnsi="Arial"/>
          <w:b w:val="false"/>
          <w:bCs w:val="false"/>
          <w:i w:val="false"/>
          <w:iCs w:val="false"/>
          <w:color w:val="1C2833"/>
          <w:sz w:val="22"/>
          <w:szCs w:val="22"/>
        </w:rPr>
        <w:t xml:space="preserve">The CIL’s effectiveness depends on the quality and structure of its knowledge index. The index is organized into six document categories, each with specific ingestion, chunking, and embedding strategies.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80"/>
        <w:gridCol w:w="1680"/>
      </w:tblGrid>
      <w:tr>
        <w:tc>
          <w:tcPr>
            <w:tcW w:type="dxa" w:w="1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Document Types</w:t>
            </w:r>
          </w:p>
        </w:tc>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Chunking Strategy</w:t>
            </w:r>
          </w:p>
        </w:tc>
        <w:tc>
          <w:tcPr>
            <w:tcW w:type="dxa" w:w="18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1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Embedding Model</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System Architecture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Design docs, architecture diagrams (text-extracted), API specifications, data flow documentation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Section-level chunks with parent-child hierarchy preserved; cross-references maintained as metadata</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On document commit/update; webhook-triggered</w:t>
            </w:r>
          </w:p>
        </w:tc>
        <w:tc>
          <w:tcPr>
            <w:tcW w:type="dxa" w:w="1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Domain-tuned bi-encoder with technical vocabulary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Change Records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Git commits, deployment logs, config changes, firmware changelogs, CI/CD pipeline records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Per-change-record chunks with diff context window of ±5 lines; linked to deployment timestamps</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Real-time streaming from CI/CD pipeline</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Code-aware embedding model</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Incident History</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Postmortems, incident tickets, war room transcripts, Slack threads from incident channels, runbooks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Full-document embedding + sentence-level chunks for retrieval; timeline metadata preserved</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Post-incident, triggered by incident closure event</w:t>
            </w:r>
          </w:p>
        </w:tc>
        <w:tc>
          <w:tcPr>
            <w:tcW w:type="dxa" w:w="1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General-purpose bi-encoder with incident vocabulary fine-tuning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Vendor Knowledge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Vendor advisories, CVE databases, known issue databases, hardware specification sheets, SDK documentation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Advisory-level chunks with severity/version metadata; CVE cross-references preserved</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Daily sync from vendor feeds; triggered on new advisory publication</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Technical documentation encoder</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Metric Catalog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Internal metric definitions, metric lineage graphs, SLA thresholds, alerting rule documentation</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Per-metric chunks with upstream/downstream dependency metadata</w:t>
            </w:r>
          </w:p>
        </w:tc>
        <w:tc>
          <w:tcPr>
            <w:tcW w:type="dxa" w:w="18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On metric registration/modification event</w:t>
            </w:r>
          </w:p>
        </w:tc>
        <w:tc>
          <w:tcPr>
            <w:tcW w:type="dxa" w:w="1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Domain-tuned encoder with metric naming conventions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Domain Knowledge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Engineering standards, textbook excerpts (properly licensed), internal training materials, best practice guides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Section-level chunks with domain tagging (networking, semiconductor, mobile, etc.)</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Quarterly refresh</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General-purpose encoder</w:t>
            </w:r>
          </w:p>
        </w:tc>
      </w:tr>
    </w:tbl>
    <w:p>
      <w:pPr>
        <w:spacing w:after="60"/>
      </w:pPr>
    </w:p>
    <w:p>
      <w:pPr>
        <w:pStyle w:val="Heading2"/>
        <w:spacing w:after="160" w:before="300"/>
      </w:pPr>
      <w:r>
        <w:rPr>
          <w:rFonts w:ascii="Arial" w:cs="Arial" w:eastAsia="Arial" w:hAnsi="Arial"/>
          <w:b/>
          <w:bCs/>
          <w:color w:val="0F2B46"/>
          <w:sz w:val="28"/>
          <w:szCs w:val="28"/>
        </w:rPr>
        <w:t xml:space="preserve">3.1 Index Construction Pipeline</w:t>
      </w:r>
    </w:p>
    <w:p>
      <w:pPr>
        <w:pStyle w:val="ListParagraph"/>
        <w:numPr>
          <w:ilvl w:val="0"/>
          <w:numId w:val="2"/>
        </w:numPr>
        <w:spacing w:after="80" w:line="276"/>
      </w:pPr>
      <w:r>
        <w:rPr>
          <w:rFonts w:ascii="Arial" w:cs="Arial" w:eastAsia="Arial" w:hAnsi="Arial"/>
          <w:b/>
          <w:bCs/>
          <w:color w:val="1C2833"/>
          <w:sz w:val="22"/>
          <w:szCs w:val="22"/>
        </w:rPr>
        <w:t xml:space="preserve">Document Ingestion: </w:t>
      </w:r>
      <w:r>
        <w:rPr>
          <w:rFonts w:ascii="Arial" w:cs="Arial" w:eastAsia="Arial" w:hAnsi="Arial"/>
          <w:color w:val="1C2833"/>
          <w:sz w:val="22"/>
          <w:szCs w:val="22"/>
        </w:rPr>
        <w:t xml:space="preserve">Documents are ingested from connected sources (git repositories, wiki systems, incident management tools, vendor feeds) via adapters. Each document is tagged with: source category, creation/modification timestamp, author/team attribution, system/service scope, and access control level.</w:t>
      </w:r>
    </w:p>
    <w:p>
      <w:pPr>
        <w:pStyle w:val="ListParagraph"/>
        <w:numPr>
          <w:ilvl w:val="0"/>
          <w:numId w:val="2"/>
        </w:numPr>
        <w:spacing w:after="80" w:line="276"/>
      </w:pPr>
      <w:r>
        <w:rPr>
          <w:rFonts w:ascii="Arial" w:cs="Arial" w:eastAsia="Arial" w:hAnsi="Arial"/>
          <w:b/>
          <w:bCs/>
          <w:color w:val="1C2833"/>
          <w:sz w:val="22"/>
          <w:szCs w:val="22"/>
        </w:rPr>
        <w:t xml:space="preserve">Intelligent Chunking: </w:t>
      </w:r>
      <w:r>
        <w:rPr>
          <w:rFonts w:ascii="Arial" w:cs="Arial" w:eastAsia="Arial" w:hAnsi="Arial"/>
          <w:color w:val="1C2833"/>
          <w:sz w:val="22"/>
          <w:szCs w:val="22"/>
        </w:rPr>
        <w:t xml:space="preserve">Documents are split into retrieval chunks using category-specific strategies (see table above). Critical metadata is preserved in chunk headers: document title, section hierarchy, creation date, and cross-references. Chunks maintain parent-child relationships so that broader context can be retrieved when a specific chunk matches.</w:t>
      </w:r>
    </w:p>
    <w:p>
      <w:pPr>
        <w:pStyle w:val="ListParagraph"/>
        <w:numPr>
          <w:ilvl w:val="0"/>
          <w:numId w:val="2"/>
        </w:numPr>
        <w:spacing w:after="80" w:line="276"/>
      </w:pPr>
      <w:r>
        <w:rPr>
          <w:rFonts w:ascii="Arial" w:cs="Arial" w:eastAsia="Arial" w:hAnsi="Arial"/>
          <w:b/>
          <w:bCs/>
          <w:color w:val="1C2833"/>
          <w:sz w:val="22"/>
          <w:szCs w:val="22"/>
        </w:rPr>
        <w:t xml:space="preserve">Multi-Vector Embedding: </w:t>
      </w:r>
      <w:r>
        <w:rPr>
          <w:rFonts w:ascii="Arial" w:cs="Arial" w:eastAsia="Arial" w:hAnsi="Arial"/>
          <w:color w:val="1C2833"/>
          <w:sz w:val="22"/>
          <w:szCs w:val="22"/>
        </w:rPr>
        <w:t xml:space="preserve">Each chunk is embedded using two embedding models:</w:t>
      </w:r>
    </w:p>
    <w:p>
      <w:pPr>
        <w:pStyle w:val="ListParagraph"/>
        <w:numPr>
          <w:ilvl w:val="0"/>
          <w:numId w:val="3"/>
        </w:numPr>
        <w:spacing w:after="60" w:line="276"/>
      </w:pPr>
      <w:r>
        <w:rPr>
          <w:rFonts w:ascii="Arial" w:cs="Arial" w:eastAsia="Arial" w:hAnsi="Arial"/>
          <w:b/>
          <w:bCs/>
          <w:color w:val="1C2833"/>
          <w:sz w:val="21"/>
          <w:szCs w:val="21"/>
        </w:rPr>
        <w:t xml:space="preserve">Dense Embedding: </w:t>
      </w:r>
      <w:r>
        <w:rPr>
          <w:rFonts w:ascii="Arial" w:cs="Arial" w:eastAsia="Arial" w:hAnsi="Arial"/>
          <w:color w:val="1C2833"/>
          <w:sz w:val="21"/>
          <w:szCs w:val="21"/>
        </w:rPr>
        <w:t xml:space="preserve">A bi-encoder model produces a dense vector for semantic similarity search.</w:t>
      </w:r>
    </w:p>
    <w:p>
      <w:pPr>
        <w:pStyle w:val="ListParagraph"/>
        <w:numPr>
          <w:ilvl w:val="0"/>
          <w:numId w:val="3"/>
        </w:numPr>
        <w:spacing w:after="60" w:line="276"/>
      </w:pPr>
      <w:r>
        <w:rPr>
          <w:rFonts w:ascii="Arial" w:cs="Arial" w:eastAsia="Arial" w:hAnsi="Arial"/>
          <w:b/>
          <w:bCs/>
          <w:color w:val="1C2833"/>
          <w:sz w:val="21"/>
          <w:szCs w:val="21"/>
        </w:rPr>
        <w:t xml:space="preserve">Sparse Embedding: </w:t>
      </w:r>
      <w:r>
        <w:rPr>
          <w:rFonts w:ascii="Arial" w:cs="Arial" w:eastAsia="Arial" w:hAnsi="Arial"/>
          <w:color w:val="1C2833"/>
          <w:sz w:val="21"/>
          <w:szCs w:val="21"/>
        </w:rPr>
        <w:t xml:space="preserve">BM25 token-level scoring for keyword-precise retrieval (metric names, error codes, configuration parameters).</w:t>
      </w:r>
    </w:p>
    <w:p>
      <w:pPr>
        <w:spacing w:after="140" w:line="276"/>
      </w:pPr>
      <w:r>
        <w:rPr>
          <w:rFonts w:ascii="Arial" w:cs="Arial" w:eastAsia="Arial" w:hAnsi="Arial"/>
          <w:b w:val="false"/>
          <w:bCs w:val="false"/>
          <w:i w:val="false"/>
          <w:iCs w:val="false"/>
          <w:color w:val="1C2833"/>
          <w:sz w:val="22"/>
          <w:szCs w:val="22"/>
        </w:rPr>
        <w:t xml:space="preserve">Retrieval uses a hybrid approach: dense retrieval for semantic understanding, sparse retrieval for precise term matching, with reciprocal rank fusion (RRF) to combine ranked results.</w:t>
      </w:r>
    </w:p>
    <w:p>
      <w:pPr>
        <w:pStyle w:val="ListParagraph"/>
        <w:numPr>
          <w:ilvl w:val="0"/>
          <w:numId w:val="2"/>
        </w:numPr>
        <w:spacing w:after="80" w:line="276"/>
      </w:pPr>
      <w:r>
        <w:rPr>
          <w:rFonts w:ascii="Arial" w:cs="Arial" w:eastAsia="Arial" w:hAnsi="Arial"/>
          <w:b/>
          <w:bCs/>
          <w:color w:val="1C2833"/>
          <w:sz w:val="22"/>
          <w:szCs w:val="22"/>
        </w:rPr>
        <w:t xml:space="preserve">Provenance Tracking: </w:t>
      </w:r>
      <w:r>
        <w:rPr>
          <w:rFonts w:ascii="Arial" w:cs="Arial" w:eastAsia="Arial" w:hAnsi="Arial"/>
          <w:color w:val="1C2833"/>
          <w:sz w:val="22"/>
          <w:szCs w:val="22"/>
        </w:rPr>
        <w:t xml:space="preserve">Every chunk maintains a cryptographic provenance chain back to its source document. When the LLM cites evidence, the citation can be verified against the original document. This is critical for patent claims: every mechanistic hypothesis must trace to a verifiable source.</w:t>
      </w:r>
    </w:p>
    <w:p>
      <w:r>
        <w:br w:type="page"/>
      </w:r>
    </w:p>
    <w:p>
      <w:pPr>
        <w:pStyle w:val="Heading1"/>
        <w:spacing w:after="200" w:before="400"/>
      </w:pPr>
      <w:r>
        <w:rPr>
          <w:rFonts w:ascii="Arial" w:cs="Arial" w:eastAsia="Arial" w:hAnsi="Arial"/>
          <w:b/>
          <w:bCs/>
          <w:color w:val="0F2B46"/>
          <w:sz w:val="32"/>
          <w:szCs w:val="32"/>
        </w:rPr>
        <w:t xml:space="preserve">4. Hallucination Containment Protocol (HCP)</w:t>
      </w:r>
    </w:p>
    <w:p>
      <w:pPr>
        <w:spacing w:after="140" w:line="276"/>
        <w:jc w:val="left"/>
      </w:pPr>
      <w:r>
        <w:rPr>
          <w:rFonts w:ascii="Arial" w:cs="Arial" w:eastAsia="Arial" w:hAnsi="Arial"/>
          <w:b/>
          <w:bCs/>
          <w:color w:val="1C2833"/>
          <w:sz w:val="22"/>
          <w:szCs w:val="22"/>
        </w:rPr>
        <w:t xml:space="preserve">The most critical engineering challenge </w:t>
      </w:r>
      <w:r>
        <w:rPr>
          <w:rFonts w:ascii="Arial" w:cs="Arial" w:eastAsia="Arial" w:hAnsi="Arial"/>
          <w:color w:val="1C2833"/>
          <w:sz w:val="22"/>
          <w:szCs w:val="22"/>
        </w:rPr>
        <w:t xml:space="preserve">in integrating an LLM into a reliability-critical system like AMACE is hallucination containment. An LLM that fabricates a mechanistic hypothesis could misdirect engineering effort, waste hours of investigation, or worse, suggest a remediation that causes harm. The CIL implements a four-layer containment protocol.</w:t>
      </w:r>
    </w:p>
    <w:p>
      <w:pPr>
        <w:spacing w:after="60"/>
      </w:pPr>
    </w:p>
    <w:p>
      <w:pPr>
        <w:pStyle w:val="Heading2"/>
        <w:spacing w:after="160" w:before="300"/>
      </w:pPr>
      <w:r>
        <w:rPr>
          <w:rFonts w:ascii="Arial" w:cs="Arial" w:eastAsia="Arial" w:hAnsi="Arial"/>
          <w:b/>
          <w:bCs/>
          <w:color w:val="0F2B46"/>
          <w:sz w:val="28"/>
          <w:szCs w:val="28"/>
        </w:rPr>
        <w:t xml:space="preserve">4.1 Layer 1: Retrieval-Only Constraint</w:t>
      </w:r>
    </w:p>
    <w:p>
      <w:pPr>
        <w:spacing w:after="140" w:line="276"/>
      </w:pPr>
      <w:r>
        <w:rPr>
          <w:rFonts w:ascii="Arial" w:cs="Arial" w:eastAsia="Arial" w:hAnsi="Arial"/>
          <w:b w:val="false"/>
          <w:bCs w:val="false"/>
          <w:i w:val="false"/>
          <w:iCs w:val="false"/>
          <w:color w:val="1C2833"/>
          <w:sz w:val="22"/>
          <w:szCs w:val="22"/>
        </w:rPr>
        <w:t xml:space="preserve">The LLM prompt explicitly constrains outputs to retrieved documents only. The prompt instruction “Do NOT hypothesize mechanisms not supported by the retrieved documents” is reinforced through few-shot examples showing both compliant and non-compliant outputs. The system prompt includes a role definition that positions the LLM as a document analyst, not an independent expert.</w:t>
      </w:r>
    </w:p>
    <w:p>
      <w:pPr>
        <w:pStyle w:val="Heading2"/>
        <w:spacing w:after="160" w:before="300"/>
      </w:pPr>
      <w:r>
        <w:rPr>
          <w:rFonts w:ascii="Arial" w:cs="Arial" w:eastAsia="Arial" w:hAnsi="Arial"/>
          <w:b/>
          <w:bCs/>
          <w:color w:val="0F2B46"/>
          <w:sz w:val="28"/>
          <w:szCs w:val="28"/>
        </w:rPr>
        <w:t xml:space="preserve">4.2 Layer 2: Citation Verification</w:t>
      </w:r>
    </w:p>
    <w:p>
      <w:pPr>
        <w:spacing w:after="140" w:line="276"/>
      </w:pPr>
      <w:r>
        <w:rPr>
          <w:rFonts w:ascii="Arial" w:cs="Arial" w:eastAsia="Arial" w:hAnsi="Arial"/>
          <w:b w:val="false"/>
          <w:bCs w:val="false"/>
          <w:i w:val="false"/>
          <w:iCs w:val="false"/>
          <w:color w:val="1C2833"/>
          <w:sz w:val="22"/>
          <w:szCs w:val="22"/>
        </w:rPr>
        <w:t xml:space="preserve">Every claim in the LLM’s output must include a citation to a specific retrieved document with chunk ID. A post-processing step programmatically verifies that the cited chunk exists in the retrieval results and that the LLM’s characterization of the chunk is semantically consistent with the chunk’s actual content (verified via embedding similarity between the LLM’s claim and the cited chunk, with threshold &gt; 0.7).</w:t>
      </w:r>
    </w:p>
    <w:p>
      <w:pPr>
        <w:pStyle w:val="Heading2"/>
        <w:spacing w:after="160" w:before="300"/>
      </w:pPr>
      <w:r>
        <w:rPr>
          <w:rFonts w:ascii="Arial" w:cs="Arial" w:eastAsia="Arial" w:hAnsi="Arial"/>
          <w:b/>
          <w:bCs/>
          <w:color w:val="0F2B46"/>
          <w:sz w:val="28"/>
          <w:szCs w:val="28"/>
        </w:rPr>
        <w:t xml:space="preserve">4.3 Layer 3: Statistical Consistency Check</w:t>
      </w:r>
    </w:p>
    <w:p>
      <w:pPr>
        <w:spacing w:after="140" w:line="276"/>
      </w:pPr>
      <w:r>
        <w:rPr>
          <w:rFonts w:ascii="Arial" w:cs="Arial" w:eastAsia="Arial" w:hAnsi="Arial"/>
          <w:b w:val="false"/>
          <w:bCs w:val="false"/>
          <w:i w:val="false"/>
          <w:iCs w:val="false"/>
          <w:color w:val="1C2833"/>
          <w:sz w:val="22"/>
          <w:szCs w:val="22"/>
        </w:rPr>
        <w:t xml:space="preserve">Every mechanistic hypothesis is programmatically checked against the CIGS validated causal graph:</w:t>
      </w:r>
    </w:p>
    <w:p>
      <w:pPr>
        <w:pStyle w:val="ListParagraph"/>
        <w:numPr>
          <w:ilvl w:val="0"/>
          <w:numId w:val="6"/>
        </w:numPr>
        <w:spacing w:after="80" w:line="276"/>
      </w:pPr>
      <w:r>
        <w:rPr>
          <w:rFonts w:ascii="Arial" w:cs="Arial" w:eastAsia="Arial" w:hAnsi="Arial"/>
          <w:b/>
          <w:bCs/>
          <w:color w:val="1C2833"/>
          <w:sz w:val="22"/>
          <w:szCs w:val="22"/>
        </w:rPr>
        <w:t xml:space="preserve">Causal direction consistency: </w:t>
      </w:r>
      <w:r>
        <w:rPr>
          <w:rFonts w:ascii="Arial" w:cs="Arial" w:eastAsia="Arial" w:hAnsi="Arial"/>
          <w:color w:val="1C2833"/>
          <w:sz w:val="22"/>
          <w:szCs w:val="22"/>
        </w:rPr>
        <w:t xml:space="preserve">Does the hypothesis respect the direction proved by ablation?</w:t>
      </w:r>
    </w:p>
    <w:p>
      <w:pPr>
        <w:pStyle w:val="ListParagraph"/>
        <w:numPr>
          <w:ilvl w:val="0"/>
          <w:numId w:val="6"/>
        </w:numPr>
        <w:spacing w:after="80" w:line="276"/>
      </w:pPr>
      <w:r>
        <w:rPr>
          <w:rFonts w:ascii="Arial" w:cs="Arial" w:eastAsia="Arial" w:hAnsi="Arial"/>
          <w:b/>
          <w:bCs/>
          <w:color w:val="1C2833"/>
          <w:sz w:val="22"/>
          <w:szCs w:val="22"/>
        </w:rPr>
        <w:t xml:space="preserve">Temporal consistency: </w:t>
      </w:r>
      <w:r>
        <w:rPr>
          <w:rFonts w:ascii="Arial" w:cs="Arial" w:eastAsia="Arial" w:hAnsi="Arial"/>
          <w:color w:val="1C2833"/>
          <w:sz w:val="22"/>
          <w:szCs w:val="22"/>
        </w:rPr>
        <w:t xml:space="preserve">Does the proposed mechanism's timeline match the observed propagation delays?</w:t>
      </w:r>
    </w:p>
    <w:p>
      <w:pPr>
        <w:pStyle w:val="ListParagraph"/>
        <w:numPr>
          <w:ilvl w:val="0"/>
          <w:numId w:val="6"/>
        </w:numPr>
        <w:spacing w:after="80" w:line="276"/>
      </w:pPr>
      <w:r>
        <w:rPr>
          <w:rFonts w:ascii="Arial" w:cs="Arial" w:eastAsia="Arial" w:hAnsi="Arial"/>
          <w:b/>
          <w:bCs/>
          <w:color w:val="1C2833"/>
          <w:sz w:val="22"/>
          <w:szCs w:val="22"/>
        </w:rPr>
        <w:t xml:space="preserve">Entity consistency: </w:t>
      </w:r>
      <w:r>
        <w:rPr>
          <w:rFonts w:ascii="Arial" w:cs="Arial" w:eastAsia="Arial" w:hAnsi="Arial"/>
          <w:color w:val="1C2833"/>
          <w:sz w:val="22"/>
          <w:szCs w:val="22"/>
        </w:rPr>
        <w:t xml:space="preserve">Does the mechanism explain effects on the correct entity set?</w:t>
      </w:r>
    </w:p>
    <w:p>
      <w:pPr>
        <w:pStyle w:val="ListParagraph"/>
        <w:numPr>
          <w:ilvl w:val="0"/>
          <w:numId w:val="6"/>
        </w:numPr>
        <w:spacing w:after="80" w:line="276"/>
      </w:pPr>
      <w:r>
        <w:rPr>
          <w:rFonts w:ascii="Arial" w:cs="Arial" w:eastAsia="Arial" w:hAnsi="Arial"/>
          <w:b/>
          <w:bCs/>
          <w:color w:val="1C2833"/>
          <w:sz w:val="22"/>
          <w:szCs w:val="22"/>
        </w:rPr>
        <w:t xml:space="preserve">Dimensional consistency: </w:t>
      </w:r>
      <w:r>
        <w:rPr>
          <w:rFonts w:ascii="Arial" w:cs="Arial" w:eastAsia="Arial" w:hAnsi="Arial"/>
          <w:color w:val="1C2833"/>
          <w:sz w:val="22"/>
          <w:szCs w:val="22"/>
        </w:rPr>
        <w:t xml:space="preserve">Does the mechanism explain why the specific sub-population (and not others) is affected?</w:t>
      </w:r>
    </w:p>
    <w:p>
      <w:pPr>
        <w:pStyle w:val="Heading2"/>
        <w:spacing w:after="160" w:before="300"/>
      </w:pPr>
      <w:r>
        <w:rPr>
          <w:rFonts w:ascii="Arial" w:cs="Arial" w:eastAsia="Arial" w:hAnsi="Arial"/>
          <w:b/>
          <w:bCs/>
          <w:color w:val="0F2B46"/>
          <w:sz w:val="28"/>
          <w:szCs w:val="28"/>
        </w:rPr>
        <w:t xml:space="preserve">4.4 Layer 4: Confidence Calibration</w:t>
      </w:r>
    </w:p>
    <w:p>
      <w:pPr>
        <w:spacing w:after="140" w:line="276"/>
      </w:pPr>
      <w:r>
        <w:rPr>
          <w:rFonts w:ascii="Arial" w:cs="Arial" w:eastAsia="Arial" w:hAnsi="Arial"/>
          <w:b w:val="false"/>
          <w:bCs w:val="false"/>
          <w:i w:val="false"/>
          <w:iCs w:val="false"/>
          <w:color w:val="1C2833"/>
          <w:sz w:val="22"/>
          <w:szCs w:val="22"/>
        </w:rPr>
        <w:t xml:space="preserve">The LLM’s self-reported confidence scores are calibrated against historical accuracy. For every hypothesis that was later confirmed or rejected by engineering investigation, the calibration model adjusts a monotonic mapping from raw LLM confidence to calibrated confidence. Over time, this ensures that a CIL confidence of 0.8 actually means 80% of similar hypotheses were correct.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Containment Layer</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36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Failure Mode If Missing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L1: Retrieval Constraint</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generating hypotheses from training knowledge rather than retrieved evidence</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Plausible-sounding but unsupported hypotheses that misdirect investigation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L2: Citation Verification</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misattributing or fabricating source references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Engineers waste time searching for non-existent evidence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L3: Statistical Consistency</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proposing mechanisms that contradict the proven causal structure</w:t>
            </w:r>
          </w:p>
        </w:tc>
        <w:tc>
          <w:tcPr>
            <w:tcW w:type="dxa" w:w="36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Hypotheses that reverse causation direction or misidentify affected population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L4: Confidence Calibration</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LLM overconfidence in weakly-supported hypotheses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Over-investment in low-probability explanations; under-investment in high-probability ones</w:t>
            </w:r>
          </w:p>
        </w:tc>
      </w:tr>
    </w:tbl>
    <w:p>
      <w:r>
        <w:br w:type="page"/>
      </w:r>
    </w:p>
    <w:p>
      <w:pPr>
        <w:pStyle w:val="Heading1"/>
        <w:spacing w:after="200" w:before="400"/>
      </w:pPr>
      <w:r>
        <w:rPr>
          <w:rFonts w:ascii="Arial" w:cs="Arial" w:eastAsia="Arial" w:hAnsi="Arial"/>
          <w:b/>
          <w:bCs/>
          <w:color w:val="0F2B46"/>
          <w:sz w:val="32"/>
          <w:szCs w:val="32"/>
        </w:rPr>
        <w:t xml:space="preserve">5. Integration Points with AMACE Modules 1–7</w:t>
      </w:r>
    </w:p>
    <w:p>
      <w:pPr>
        <w:spacing w:after="140" w:line="276"/>
      </w:pPr>
      <w:r>
        <w:rPr>
          <w:rFonts w:ascii="Arial" w:cs="Arial" w:eastAsia="Arial" w:hAnsi="Arial"/>
          <w:b w:val="false"/>
          <w:bCs w:val="false"/>
          <w:i w:val="false"/>
          <w:iCs w:val="false"/>
          <w:color w:val="1C2833"/>
          <w:sz w:val="22"/>
          <w:szCs w:val="22"/>
        </w:rPr>
        <w:t xml:space="preserve">The CIL integrates at exactly three points in the AMACE pipeline. These integration points are carefully chosen to maximize value while minimizing the risk of hallucination contaminating the statistical proof chain.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80"/>
        <w:gridCol w:w="3080"/>
      </w:tblGrid>
      <w:tr>
        <w:tc>
          <w:tcPr>
            <w:tcW w:type="dxa" w:w="1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CIL Input</w:t>
            </w:r>
          </w:p>
        </w:tc>
        <w:tc>
          <w:tcPr>
            <w:tcW w:type="dxa" w:w="30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CIL Output</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IP-1</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CSCT Axis 4 (Semantic Affinity)</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DST pairs with high α, β scores but low δ score (entity + temporal match, semantic miss)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Augmented δ score from RASR, capped at δ_statistical × ω_rasr. Still requires CAP validation.</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IP-2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CIGS Output (Post-validation)</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Validated causal insight graph with all ablation test results. CIL is called AFTER CAP has proven causality.</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MechanisticExplanation object appended to insight graph. Does NOT modify the proven causal structure.</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IP-3</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PPE Pattern Matching</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Current DSTs and precursor sequence matches. CIL is called IN PARALLEL with PPE’s statistical matching.</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OrganizationalContext object providing past incident matches, resolutions, and remediation guidance.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CRITICAL ARCHITECTURE CONSTRAINT</w:t>
            </w:r>
          </w:p>
          <w:p>
            <w:pPr>
              <w:spacing w:after="0" w:line="276"/>
            </w:pPr>
            <w:r>
              <w:rPr>
                <w:rFonts w:ascii="Arial" w:cs="Arial" w:eastAsia="Arial" w:hAnsi="Arial"/>
                <w:color w:val="0F2B46"/>
                <w:sz w:val="20"/>
                <w:szCs w:val="20"/>
              </w:rPr>
              <w:t xml:space="preserve">The CIL NEVER appears between the detection (SADD) and validation (CAP) stages. It cannot influence whether an anomaly is detected, whether a correlation is scored, or whether a correlation is validated. It only operates on validated outputs (IP-2, IP-3) or on a single axis that remains subject to full validation (IP-1). This preserves the statistical integrity of Modules 1–7.</w:t>
            </w:r>
          </w:p>
        </w:tc>
      </w:tr>
    </w:tbl>
    <w:p>
      <w:r>
        <w:br w:type="page"/>
      </w:r>
    </w:p>
    <w:p>
      <w:pPr>
        <w:pStyle w:val="Heading1"/>
        <w:spacing w:after="200" w:before="400"/>
      </w:pPr>
      <w:r>
        <w:rPr>
          <w:rFonts w:ascii="Arial" w:cs="Arial" w:eastAsia="Arial" w:hAnsi="Arial"/>
          <w:b/>
          <w:bCs/>
          <w:color w:val="0F2B46"/>
          <w:sz w:val="32"/>
          <w:szCs w:val="32"/>
        </w:rPr>
        <w:t xml:space="preserve">6. Worked Example: SmartThings Energy Anomaly with CIL</w:t>
      </w:r>
    </w:p>
    <w:p>
      <w:pPr>
        <w:spacing w:after="140" w:line="276"/>
      </w:pPr>
      <w:r>
        <w:rPr>
          <w:rFonts w:ascii="Arial" w:cs="Arial" w:eastAsia="Arial" w:hAnsi="Arial"/>
          <w:b w:val="false"/>
          <w:bCs w:val="false"/>
          <w:i w:val="false"/>
          <w:iCs w:val="false"/>
          <w:color w:val="1C2833"/>
          <w:sz w:val="22"/>
          <w:szCs w:val="22"/>
        </w:rPr>
        <w:t xml:space="preserve">This example demonstrates all three CIL sub-modules operating on the SmartThings energy spike use case from the Samsung embodiment document.</w:t>
      </w:r>
    </w:p>
    <w:p>
      <w:pPr>
        <w:pStyle w:val="Heading2"/>
        <w:spacing w:after="160" w:before="300"/>
      </w:pPr>
      <w:r>
        <w:rPr>
          <w:rFonts w:ascii="Arial" w:cs="Arial" w:eastAsia="Arial" w:hAnsi="Arial"/>
          <w:b/>
          <w:bCs/>
          <w:color w:val="0F2B46"/>
          <w:sz w:val="28"/>
          <w:szCs w:val="28"/>
        </w:rPr>
        <w:t xml:space="preserve">6.1 Scenario Recap</w:t>
      </w:r>
    </w:p>
    <w:p>
      <w:pPr>
        <w:spacing w:after="140" w:line="276"/>
      </w:pPr>
      <w:r>
        <w:rPr>
          <w:rFonts w:ascii="Arial" w:cs="Arial" w:eastAsia="Arial" w:hAnsi="Arial"/>
          <w:b w:val="false"/>
          <w:bCs w:val="false"/>
          <w:i w:val="false"/>
          <w:iCs w:val="false"/>
          <w:color w:val="1C2833"/>
          <w:sz w:val="22"/>
          <w:szCs w:val="22"/>
        </w:rPr>
        <w:t xml:space="preserve">A household’s energy consumption spikes 40%. No device triggers an alert individually. AMACE Modules 1–7 discover the causal chain: hub_temperature_sensor_drift(S₀) → AC_overcooling(S₁) → energy_mode_suboptimal_decision(S₂).</w:t>
      </w:r>
    </w:p>
    <w:p>
      <w:pPr>
        <w:pStyle w:val="Heading2"/>
        <w:spacing w:after="160" w:before="300"/>
      </w:pPr>
      <w:r>
        <w:rPr>
          <w:rFonts w:ascii="Arial" w:cs="Arial" w:eastAsia="Arial" w:hAnsi="Arial"/>
          <w:b/>
          <w:bCs/>
          <w:color w:val="0F2B46"/>
          <w:sz w:val="28"/>
          <w:szCs w:val="28"/>
        </w:rPr>
        <w:t xml:space="preserve">6.2 RASR Activation (Integration Point 1)</w:t>
      </w:r>
    </w:p>
    <w:p>
      <w:pPr>
        <w:spacing w:after="140" w:line="276"/>
      </w:pPr>
      <w:r>
        <w:rPr>
          <w:rFonts w:ascii="Arial" w:cs="Arial" w:eastAsia="Arial" w:hAnsi="Arial"/>
          <w:b w:val="false"/>
          <w:bCs w:val="false"/>
          <w:i w:val="false"/>
          <w:iCs w:val="false"/>
          <w:color w:val="1C2833"/>
          <w:sz w:val="22"/>
          <w:szCs w:val="22"/>
        </w:rPr>
        <w:t xml:space="preserve">During CSCT computation, a secondary correlation candidate is flagged: the “refrigerator_compressor_restart_frequency” and the “hub_temperature_sensor_drift” have high entity coincidence (same house) and temporal alignment, but the statistical semantic score is low (0.18) because these metrics have rarely co-occurred historically.</w:t>
      </w:r>
    </w:p>
    <w:p>
      <w:pPr>
        <w:spacing w:after="60"/>
      </w:pPr>
    </w:p>
    <w:p>
      <w:pPr>
        <w:spacing w:after="140" w:line="276"/>
        <w:jc w:val="left"/>
      </w:pPr>
      <w:r>
        <w:rPr>
          <w:rFonts w:ascii="Arial" w:cs="Arial" w:eastAsia="Arial" w:hAnsi="Arial"/>
          <w:b/>
          <w:bCs/>
          <w:color w:val="1C2833"/>
          <w:sz w:val="22"/>
          <w:szCs w:val="22"/>
        </w:rPr>
        <w:t xml:space="preserve">RASR retrieves: </w:t>
      </w:r>
      <w:r>
        <w:rPr>
          <w:rFonts w:ascii="Arial" w:cs="Arial" w:eastAsia="Arial" w:hAnsi="Arial"/>
          <w:color w:val="1C2833"/>
          <w:sz w:val="22"/>
          <w:szCs w:val="22"/>
        </w:rPr>
        <w:t xml:space="preserve">(1) SmartThings device documentation explaining that the refrigerator’s duty cycle optimization uses ambient temperature from the hub. (2) Thermodynamics knowledge base entry explaining that lower ambient temperature readings cause reduced compressor duty, leading to internal warming and increased restart frequency.</w:t>
      </w:r>
    </w:p>
    <w:p>
      <w:pPr>
        <w:spacing w:after="140" w:line="276"/>
        <w:jc w:val="left"/>
      </w:pPr>
      <w:r>
        <w:rPr>
          <w:rFonts w:ascii="Arial" w:cs="Arial" w:eastAsia="Arial" w:hAnsi="Arial"/>
          <w:b/>
          <w:bCs/>
          <w:color w:val="1C2833"/>
          <w:sz w:val="22"/>
          <w:szCs w:val="22"/>
        </w:rPr>
        <w:t xml:space="preserve">RASR output: </w:t>
      </w:r>
      <w:r>
        <w:rPr>
          <w:rFonts w:ascii="Arial" w:cs="Arial" w:eastAsia="Arial" w:hAnsi="Arial"/>
          <w:color w:val="1C2833"/>
          <w:sz w:val="22"/>
          <w:szCs w:val="22"/>
        </w:rPr>
        <w:t xml:space="preserve">δ_rasr = 0.84 (high confidence mechanism found). Augmented score: max(0.18, 0.84 × 0.7) = max(0.18, 0.59) = 0.59. This pair now proceeds to CAP validation. CAP confirms: removing the hub sensor drift eliminates the compressor restart anomaly. The parallel chain is validated.</w:t>
      </w:r>
    </w:p>
    <w:p>
      <w:pPr>
        <w:pStyle w:val="Heading2"/>
        <w:spacing w:after="160" w:before="300"/>
      </w:pPr>
      <w:r>
        <w:rPr>
          <w:rFonts w:ascii="Arial" w:cs="Arial" w:eastAsia="Arial" w:hAnsi="Arial"/>
          <w:b/>
          <w:bCs/>
          <w:color w:val="0F2B46"/>
          <w:sz w:val="28"/>
          <w:szCs w:val="28"/>
        </w:rPr>
        <w:t xml:space="preserve">6.3 ACHG Activation (Integration Point 2)</w:t>
      </w:r>
    </w:p>
    <w:p>
      <w:pPr>
        <w:spacing w:after="140" w:line="276"/>
      </w:pPr>
      <w:r>
        <w:rPr>
          <w:rFonts w:ascii="Arial" w:cs="Arial" w:eastAsia="Arial" w:hAnsi="Arial"/>
          <w:b w:val="false"/>
          <w:bCs w:val="false"/>
          <w:i w:val="false"/>
          <w:iCs w:val="false"/>
          <w:color w:val="1C2833"/>
          <w:sz w:val="22"/>
          <w:szCs w:val="22"/>
        </w:rPr>
        <w:t xml:space="preserve">With the full causal graph validated, ACHG is invoked to explain the mechanism.</w:t>
      </w:r>
    </w:p>
    <w:p>
      <w:pPr>
        <w:spacing w:after="60"/>
      </w:pPr>
    </w:p>
    <w:p>
      <w:pPr>
        <w:spacing w:after="140" w:line="276"/>
        <w:jc w:val="left"/>
      </w:pPr>
      <w:r>
        <w:rPr>
          <w:rFonts w:ascii="Arial" w:cs="Arial" w:eastAsia="Arial" w:hAnsi="Arial"/>
          <w:b/>
          <w:bCs/>
          <w:color w:val="1C2833"/>
          <w:sz w:val="22"/>
          <w:szCs w:val="22"/>
        </w:rPr>
        <w:t xml:space="preserve">ACHG retrieves: </w:t>
      </w:r>
      <w:r>
        <w:rPr>
          <w:rFonts w:ascii="Arial" w:cs="Arial" w:eastAsia="Arial" w:hAnsi="Arial"/>
          <w:color w:val="1C2833"/>
          <w:sz w:val="22"/>
          <w:szCs w:val="22"/>
        </w:rPr>
        <w:t xml:space="preserve">(1) SmartThings hub hardware specification showing the ambient sensor’s calibration schedule. (2) A SmartThings community forum post from 6 months ago describing a similar drift after a hub firmware update. (3) The WindFree AC’s AI Energy Mode documentation explaining its dependency on SmartThings ambient temperature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20"/>
              <w:left w:type="dxa" w:w="200"/>
              <w:bottom w:type="dxa" w:w="120"/>
              <w:right w:type="dxa" w:w="200"/>
            </w:tcMar>
          </w:tcPr>
          <w:p>
            <w:pPr>
              <w:spacing w:after="80"/>
            </w:pPr>
            <w:r>
              <w:rPr>
                <w:rFonts w:ascii="Arial" w:cs="Arial" w:eastAsia="Arial" w:hAnsi="Arial"/>
                <w:b/>
                <w:bCs/>
                <w:color w:val="7E57C2"/>
                <w:sz w:val="22"/>
                <w:szCs w:val="22"/>
              </w:rPr>
              <w:t xml:space="preserve">ACHG HYPOTHESIS OUTPUT</w:t>
            </w:r>
          </w:p>
          <w:p>
            <w:pPr>
              <w:spacing w:after="0" w:line="276"/>
            </w:pPr>
            <w:r>
              <w:rPr>
                <w:rFonts w:ascii="Arial" w:cs="Arial" w:eastAsia="Arial" w:hAnsi="Arial"/>
                <w:color w:val="1C2833"/>
                <w:sz w:val="20"/>
                <w:szCs w:val="20"/>
              </w:rPr>
              <w:t xml:space="preserve">Hypothesis 1 (confidence: 0.87): The SmartThings Station Pro hub’s NTC thermistor has drifted -3°C due to component aging or thermal stress. The hub’s calibration routine runs monthly (per spec doc HUB-HW-2024, Section 4.3), and the last calibration was 26 days ago. The WindFree AC’s AI Energy Mode receives ambient temperature via SmartThings API endpoint /v1/devices/{hub_id}/status (per API doc ST-API-v3, Section 8.2), with no independent verification. This creates a single-point-of-failure where one sensor’s drift propagates to all dependent automations.
Hypothesis 2 (confidence: 0.71): Hub firmware v4.2.1 introduced a change to the temperature averaging algorithm (per community post CP-2025-0847) that weights the most recent reading more heavily, amplifying sensor noise into systematic bias.</w:t>
            </w:r>
          </w:p>
        </w:tc>
      </w:tr>
    </w:tbl>
    <w:p>
      <w:pPr>
        <w:pStyle w:val="Heading2"/>
        <w:spacing w:after="160" w:before="300"/>
      </w:pPr>
      <w:r>
        <w:rPr>
          <w:rFonts w:ascii="Arial" w:cs="Arial" w:eastAsia="Arial" w:hAnsi="Arial"/>
          <w:b/>
          <w:bCs/>
          <w:color w:val="0F2B46"/>
          <w:sz w:val="28"/>
          <w:szCs w:val="28"/>
        </w:rPr>
        <w:t xml:space="preserve">6.4 OMRE Activation (Integration Point 3)</w:t>
      </w:r>
    </w:p>
    <w:p>
      <w:pPr>
        <w:spacing w:after="140" w:line="276"/>
        <w:jc w:val="left"/>
      </w:pPr>
      <w:r>
        <w:rPr>
          <w:rFonts w:ascii="Arial" w:cs="Arial" w:eastAsia="Arial" w:hAnsi="Arial"/>
          <w:b/>
          <w:bCs/>
          <w:color w:val="1C2833"/>
          <w:sz w:val="22"/>
          <w:szCs w:val="22"/>
        </w:rPr>
        <w:t xml:space="preserve">OMRE retrieves: </w:t>
      </w:r>
      <w:r>
        <w:rPr>
          <w:rFonts w:ascii="Arial" w:cs="Arial" w:eastAsia="Arial" w:hAnsi="Arial"/>
          <w:color w:val="1C2833"/>
          <w:sz w:val="22"/>
          <w:szCs w:val="22"/>
        </w:rPr>
        <w:t xml:space="preserve">A SmartThings Pro deployment postmortem from an HVAC customer where a hub sensor drift caused a commercial building’s heating system to overcycle for 3 weeks before manual discovery. Resolution: replaced hub sensor, added secondary temperature check via a standalone sensor as redundancy.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A69A" w:sz="1"/>
              <w:left w:val="single" w:color="26A69A" w:sz="8"/>
              <w:bottom w:val="single" w:color="26A69A" w:sz="1"/>
              <w:right w:val="single" w:color="26A69A" w:sz="1"/>
            </w:tcBorders>
            <w:shd w:fill="E0F2F1" w:val="clear"/>
            <w:tcMar>
              <w:top w:type="dxa" w:w="120"/>
              <w:left w:type="dxa" w:w="200"/>
              <w:bottom w:type="dxa" w:w="120"/>
              <w:right w:type="dxa" w:w="200"/>
            </w:tcMar>
          </w:tcPr>
          <w:p>
            <w:pPr>
              <w:spacing w:after="80"/>
            </w:pPr>
            <w:r>
              <w:rPr>
                <w:rFonts w:ascii="Arial" w:cs="Arial" w:eastAsia="Arial" w:hAnsi="Arial"/>
                <w:b/>
                <w:bCs/>
                <w:color w:val="26A69A"/>
                <w:sz w:val="22"/>
                <w:szCs w:val="22"/>
              </w:rPr>
              <w:t xml:space="preserve">OMRE REMEDIATION OUTPUT</w:t>
            </w:r>
          </w:p>
          <w:p>
            <w:pPr>
              <w:spacing w:after="0" w:line="276"/>
            </w:pPr>
            <w:r>
              <w:rPr>
                <w:rFonts w:ascii="Arial" w:cs="Arial" w:eastAsia="Arial" w:hAnsi="Arial"/>
                <w:color w:val="1C2833"/>
                <w:sz w:val="20"/>
                <w:szCs w:val="20"/>
              </w:rPr>
              <w:t xml:space="preserve">Similar past incident found: HVAC-INC-2025-0034 (similarity: 0.82)
Resolution applied: Hub sensor replacement + added redundant temperature sensor
Resolution effective: Yes, within 24 hours
Estimated cost: $15 (sensor) + 30 minutes installation
Recommended resolution sequence:
1. Immediately: Override AI Energy Mode with manual temperature setting (stops energy waste)
2. Within 24 hours: Recalibrate or replace hub temperature sensor
3. Preventive: Add a secondary temperature sensor in the same room and configure SmartThings to cross-validate readings
4. Systemic: Request SmartThings firmware update to add automatic cross-sensor validation when multiple temperature sources are available</w:t>
            </w:r>
          </w:p>
        </w:tc>
      </w:tr>
    </w:tbl>
    <w:p>
      <w:r>
        <w:br w:type="page"/>
      </w:r>
    </w:p>
    <w:p>
      <w:pPr>
        <w:pStyle w:val="Heading1"/>
        <w:spacing w:after="200" w:before="400"/>
      </w:pPr>
      <w:r>
        <w:rPr>
          <w:rFonts w:ascii="Arial" w:cs="Arial" w:eastAsia="Arial" w:hAnsi="Arial"/>
          <w:b/>
          <w:bCs/>
          <w:color w:val="0F2B46"/>
          <w:sz w:val="32"/>
          <w:szCs w:val="32"/>
        </w:rPr>
        <w:t xml:space="preserve">7. Patent Claims for Module 8</w:t>
      </w:r>
    </w:p>
    <w:p>
      <w:pPr>
        <w:pStyle w:val="Heading2"/>
        <w:spacing w:after="160" w:before="300"/>
      </w:pPr>
      <w:r>
        <w:rPr>
          <w:rFonts w:ascii="Arial" w:cs="Arial" w:eastAsia="Arial" w:hAnsi="Arial"/>
          <w:b/>
          <w:bCs/>
          <w:color w:val="0F2B46"/>
          <w:sz w:val="28"/>
          <w:szCs w:val="28"/>
        </w:rPr>
        <w:t xml:space="preserve">7.1 Independent Claim 5: Contextual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ALICE §101 DEFENSE</w:t>
            </w:r>
          </w:p>
          <w:p>
            <w:pPr>
              <w:spacing w:after="0" w:line="276"/>
            </w:pPr>
            <w:r>
              <w:rPr>
                <w:rFonts w:ascii="Arial" w:cs="Arial" w:eastAsia="Arial" w:hAnsi="Arial"/>
                <w:color w:val="1C2833"/>
                <w:sz w:val="20"/>
                <w:szCs w:val="20"/>
              </w:rPr>
              <w:t xml:space="preserve">This claim does not merely “use an LLM to explain things.” It defines a specific architectural constraint system (statistical veto, citation verification, consistency checking, confidence calibration) that operates on specific data structures (Deviation Signature Tensors, validated causal insight graphs) to produce specific outputs (mechanistic hypotheses with provenance chains). The LLM operates within mathematically enforced guardrails. This is a technical improvement to the functioning of a computer system, not an abstract idea.</w:t>
            </w:r>
          </w:p>
        </w:tc>
      </w:tr>
    </w:tbl>
    <w:p>
      <w:pPr>
        <w:spacing w:after="60"/>
      </w:pPr>
    </w:p>
    <w:p>
      <w:pPr>
        <w:spacing w:after="140" w:line="276"/>
        <w:jc w:val="left"/>
      </w:pPr>
      <w:r>
        <w:rPr>
          <w:rFonts w:ascii="Arial" w:cs="Arial" w:eastAsia="Arial" w:hAnsi="Arial"/>
          <w:b/>
          <w:bCs/>
          <w:color w:val="1C2833"/>
          <w:sz w:val="22"/>
          <w:szCs w:val="22"/>
        </w:rPr>
        <w:t xml:space="preserve">CLAIM 5. </w:t>
      </w:r>
      <w:r>
        <w:rPr>
          <w:rFonts w:ascii="Arial" w:cs="Arial" w:eastAsia="Arial" w:hAnsi="Arial"/>
          <w:color w:val="1C2833"/>
          <w:sz w:val="22"/>
          <w:szCs w:val="22"/>
        </w:rPr>
        <w:t xml:space="preserve">A computer-implemented method for generating mechanistic causal explanations for statistically validated cross-stratum anomaly correlations, the method comprising:</w:t>
      </w:r>
    </w:p>
    <w:p>
      <w:pPr>
        <w:spacing w:after="140" w:line="276"/>
        <w:jc w:val="left"/>
      </w:pPr>
      <w:r>
        <w:rPr>
          <w:rFonts w:ascii="Arial" w:cs="Arial" w:eastAsia="Arial" w:hAnsi="Arial"/>
          <w:i/>
          <w:iCs/>
          <w:color w:val="1C2833"/>
          <w:sz w:val="22"/>
          <w:szCs w:val="22"/>
        </w:rPr>
        <w:t xml:space="preserve">(a) receiving a validated causal insight graph from a statistical correlation engine, wherein the causal insight graph comprises a directed acyclic graph of Deviation Signature Tensors with causal relationships that have been validated through computational ablation testing with statistical significance bounds;</w:t>
      </w:r>
    </w:p>
    <w:p>
      <w:pPr>
        <w:spacing w:after="140" w:line="276"/>
        <w:jc w:val="left"/>
      </w:pPr>
      <w:r>
        <w:rPr>
          <w:rFonts w:ascii="Arial" w:cs="Arial" w:eastAsia="Arial" w:hAnsi="Arial"/>
          <w:i/>
          <w:iCs/>
          <w:color w:val="1C2833"/>
          <w:sz w:val="22"/>
          <w:szCs w:val="22"/>
        </w:rPr>
        <w:t xml:space="preserve">(b) for each causal edge in the validated graph, constructing a structured retrieval query and querying a knowledge index comprising at least change records, system architecture documentation, vendor advisories, and historical incident postmortems;</w:t>
      </w:r>
    </w:p>
    <w:p>
      <w:pPr>
        <w:spacing w:after="140" w:line="276"/>
        <w:jc w:val="left"/>
      </w:pPr>
      <w:r>
        <w:rPr>
          <w:rFonts w:ascii="Arial" w:cs="Arial" w:eastAsia="Arial" w:hAnsi="Arial"/>
          <w:i/>
          <w:iCs/>
          <w:color w:val="1C2833"/>
          <w:sz w:val="22"/>
          <w:szCs w:val="22"/>
        </w:rPr>
        <w:t xml:space="preserve">(c) providing the validated causal structure and retrieved documents to a large language model with constraints that require: all hypotheses to cite specific retrieved documents, all hypotheses to be consistent with the statistically proven causal direction, and an explicit instruction to report insufficient evidence rather than hypothesize without document support;</w:t>
      </w:r>
    </w:p>
    <w:p>
      <w:pPr>
        <w:spacing w:after="140" w:line="276"/>
        <w:jc w:val="left"/>
      </w:pPr>
      <w:r>
        <w:rPr>
          <w:rFonts w:ascii="Arial" w:cs="Arial" w:eastAsia="Arial" w:hAnsi="Arial"/>
          <w:i/>
          <w:iCs/>
          <w:color w:val="1C2833"/>
          <w:sz w:val="22"/>
          <w:szCs w:val="22"/>
        </w:rPr>
        <w:t xml:space="preserve">(d) programmatically verifying each generated hypothesis against the validated causal structure by checking causal direction consistency, temporal consistency, entity set consistency, and dimensional locus consistency, and discarding any hypothesis that fails consistency verification regardless of language model confidence;</w:t>
      </w:r>
    </w:p>
    <w:p>
      <w:pPr>
        <w:spacing w:after="140" w:line="276"/>
        <w:jc w:val="left"/>
      </w:pPr>
      <w:r>
        <w:rPr>
          <w:rFonts w:ascii="Arial" w:cs="Arial" w:eastAsia="Arial" w:hAnsi="Arial"/>
          <w:i/>
          <w:iCs/>
          <w:color w:val="1C2833"/>
          <w:sz w:val="22"/>
          <w:szCs w:val="22"/>
        </w:rPr>
        <w:t xml:space="preserve">(e) programmatically verifying each document citation by confirming that the cited chunk exists in the retrieval results and that the language model’s characterization is semantically consistent with the cited chunk’s content; and</w:t>
      </w:r>
    </w:p>
    <w:p>
      <w:pPr>
        <w:spacing w:after="140" w:line="276"/>
        <w:jc w:val="left"/>
      </w:pPr>
      <w:r>
        <w:rPr>
          <w:rFonts w:ascii="Arial" w:cs="Arial" w:eastAsia="Arial" w:hAnsi="Arial"/>
          <w:i/>
          <w:iCs/>
          <w:color w:val="1C2833"/>
          <w:sz w:val="22"/>
          <w:szCs w:val="22"/>
        </w:rPr>
        <w:t xml:space="preserve">(f) outputting a ranked list of mechanistic hypotheses, each comprising a natural-language explanation, document citations with provenance hashes, a consistency verification result, and a calibrated confidence score.</w:t>
      </w:r>
    </w:p>
    <w:p>
      <w:pPr>
        <w:spacing w:after="60"/>
      </w:pPr>
    </w:p>
    <w:p>
      <w:pPr>
        <w:pStyle w:val="Heading2"/>
        <w:spacing w:after="160" w:before="300"/>
      </w:pPr>
      <w:r>
        <w:rPr>
          <w:rFonts w:ascii="Arial" w:cs="Arial" w:eastAsia="Arial" w:hAnsi="Arial"/>
          <w:b/>
          <w:bCs/>
          <w:color w:val="0F2B46"/>
          <w:sz w:val="28"/>
          <w:szCs w:val="28"/>
        </w:rPr>
        <w:t xml:space="preserve">7.2 Independent Claim 6: Retrieval-Augmented Semantic Bridging</w:t>
      </w:r>
    </w:p>
    <w:p>
      <w:pPr>
        <w:spacing w:after="140" w:line="276"/>
        <w:jc w:val="left"/>
      </w:pPr>
      <w:r>
        <w:rPr>
          <w:rFonts w:ascii="Arial" w:cs="Arial" w:eastAsia="Arial" w:hAnsi="Arial"/>
          <w:b/>
          <w:bCs/>
          <w:color w:val="1C2833"/>
          <w:sz w:val="22"/>
          <w:szCs w:val="22"/>
        </w:rPr>
        <w:t xml:space="preserve">CLAIM 6. </w:t>
      </w:r>
      <w:r>
        <w:rPr>
          <w:rFonts w:ascii="Arial" w:cs="Arial" w:eastAsia="Arial" w:hAnsi="Arial"/>
          <w:color w:val="1C2833"/>
          <w:sz w:val="22"/>
          <w:szCs w:val="22"/>
        </w:rPr>
        <w:t xml:space="preserve">A computer-implemented method for computing semantic similarity between anomaly representations in a cross-stratum correlation system, the method comprising:</w:t>
      </w:r>
    </w:p>
    <w:p>
      <w:pPr>
        <w:spacing w:after="140" w:line="276"/>
        <w:jc w:val="left"/>
      </w:pPr>
      <w:r>
        <w:rPr>
          <w:rFonts w:ascii="Arial" w:cs="Arial" w:eastAsia="Arial" w:hAnsi="Arial"/>
          <w:i/>
          <w:iCs/>
          <w:color w:val="1C2833"/>
          <w:sz w:val="22"/>
          <w:szCs w:val="22"/>
        </w:rPr>
        <w:t xml:space="preserve">(a) receiving a pair of Deviation Signature Tensors from different abstraction strata of a computing system, wherein the pair has high entity coincidence and temporal precedence scores but low statistical semantic affinity due to insufficient historical co-occurrence data;</w:t>
      </w:r>
    </w:p>
    <w:p>
      <w:pPr>
        <w:spacing w:after="140" w:line="276"/>
        <w:jc w:val="left"/>
      </w:pPr>
      <w:r>
        <w:rPr>
          <w:rFonts w:ascii="Arial" w:cs="Arial" w:eastAsia="Arial" w:hAnsi="Arial"/>
          <w:i/>
          <w:iCs/>
          <w:color w:val="1C2833"/>
          <w:sz w:val="22"/>
          <w:szCs w:val="22"/>
        </w:rPr>
        <w:t xml:space="preserve">(b) constructing a retrieval query from the metric names, stratum origins, and dimensional context of both tensors, and querying a knowledge index comprising system architecture documentation, metric definitions, and domain knowledge;</w:t>
      </w:r>
    </w:p>
    <w:p>
      <w:pPr>
        <w:spacing w:after="140" w:line="276"/>
        <w:jc w:val="left"/>
      </w:pPr>
      <w:r>
        <w:rPr>
          <w:rFonts w:ascii="Arial" w:cs="Arial" w:eastAsia="Arial" w:hAnsi="Arial"/>
          <w:i/>
          <w:iCs/>
          <w:color w:val="1C2833"/>
          <w:sz w:val="22"/>
          <w:szCs w:val="22"/>
        </w:rPr>
        <w:t xml:space="preserve">(c) providing the retrieved documents and tensor descriptions to a large language model to determine whether a causal mechanism exists connecting the two metrics, with a constraint that the model must cite specific retrieved documents or report that no mechanism was found;</w:t>
      </w:r>
    </w:p>
    <w:p>
      <w:pPr>
        <w:spacing w:after="140" w:line="276"/>
        <w:jc w:val="left"/>
      </w:pPr>
      <w:r>
        <w:rPr>
          <w:rFonts w:ascii="Arial" w:cs="Arial" w:eastAsia="Arial" w:hAnsi="Arial"/>
          <w:i/>
          <w:iCs/>
          <w:color w:val="1C2833"/>
          <w:sz w:val="22"/>
          <w:szCs w:val="22"/>
        </w:rPr>
        <w:t xml:space="preserve">(d) computing a retrieval-augmented semantic affinity score based on the language model’s mechanism confidence, discounted by a trust factor that ensures the augmented score is bounded below equivalent statistical evidence; and</w:t>
      </w:r>
    </w:p>
    <w:p>
      <w:pPr>
        <w:spacing w:after="140" w:line="276"/>
        <w:jc w:val="left"/>
      </w:pPr>
      <w:r>
        <w:rPr>
          <w:rFonts w:ascii="Arial" w:cs="Arial" w:eastAsia="Arial" w:hAnsi="Arial"/>
          <w:i/>
          <w:iCs/>
          <w:color w:val="1C2833"/>
          <w:sz w:val="22"/>
          <w:szCs w:val="22"/>
        </w:rPr>
        <w:t xml:space="preserve">(e) integrating the augmented semantic score into the cross-stratum correlation tensor, wherein the augmented pair is subsequently subjected to the same computational ablation validation as statistically-discovered correlations, and wherein the statistical validation engine retains veto authority over the language model’s semantic judgment.</w:t>
      </w:r>
    </w:p>
    <w:p>
      <w:pPr>
        <w:spacing w:after="60"/>
      </w:pPr>
    </w:p>
    <w:p>
      <w:pPr>
        <w:pStyle w:val="Heading2"/>
        <w:spacing w:after="160" w:before="300"/>
      </w:pPr>
      <w:r>
        <w:rPr>
          <w:rFonts w:ascii="Arial" w:cs="Arial" w:eastAsia="Arial" w:hAnsi="Arial"/>
          <w:b/>
          <w:bCs/>
          <w:color w:val="0F2B46"/>
          <w:sz w:val="28"/>
          <w:szCs w:val="28"/>
        </w:rPr>
        <w:t xml:space="preserve">7.3 Key Dependent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Name</w:t>
            </w:r>
          </w:p>
        </w:tc>
        <w:tc>
          <w:tcPr>
            <w:tcW w:type="dxa" w:w="6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Language</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25</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Organizational Memory</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further comprising querying unstructured organizational knowledge repositories including incident postmortems, engineering discussion threads, and architecture decision records, and appending matched past incident resolutions with historical success rates to the causal insight output.</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Hallucination Containment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wherein the language model output is subjected to a four-layer containment protocol comprising: (i) retrieval-only constraint in the prompt, (ii) programmatic citation verification against retrieved chunks, (iii) statistical consistency checking against the validated causal graph, and (iv) confidence calibration against historical accuracy of prior hypotheses.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27</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Trust Discount Factor</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6, wherein the trust factor is a configurable parameter less than 1.0 that ensures retrieval-augmented semantic scores are always strictly lower than equivalent scores derived from statistical co-occurrence evidence, and wherein the trust factor is adapted over time based on the historical validation rate of language-model-augmented correlations.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28</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Hybrid Retrieval</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wherein the knowledge index is queried using a hybrid retrieval approach combining dense semantic embeddings for conceptual matching and sparse token-level scoring for precise term matching of metric names, error codes, and configuration parameter identifiers, with results combined via reciprocal rank fusion.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29</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Provenance Chain</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wherein every document citation in the output includes a cryptographic hash linking the cited excerpt to the source document in the knowledge index, enabling end-to-end auditability from mechanistic hypothesis to original source material.</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30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Adaptive Confidence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further comprising maintaining a calibration model that maps raw language model confidence scores to empirically calibrated confidence scores based on the historical rate at which hypotheses at each confidence level were subsequently confirmed or refuted by engineering investigation.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31</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Cross-Domain Reasoning</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6, wherein the retrieval-augmented semantic reasoner bridges semantic gaps between metrics from different engineering domains by retrieving interdisciplinary documentation that explains causal mechanisms spanning domain boundaries, such as the relationship between environmental sensor readings and appliance energy consumption.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32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Remediation Ranking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5, further comprising generating a ranked list of remediation actions by retrieving past resolutions for similar causal patterns, filtering for applicability to the current system configuration, and ranking by historical success rate weighted by recency and similarity to the current incident.</w:t>
            </w:r>
          </w:p>
        </w:tc>
      </w:tr>
    </w:tbl>
    <w:p>
      <w:r>
        <w:br w:type="page"/>
      </w:r>
    </w:p>
    <w:p>
      <w:pPr>
        <w:pStyle w:val="Heading1"/>
        <w:spacing w:after="200" w:before="400"/>
      </w:pPr>
      <w:r>
        <w:rPr>
          <w:rFonts w:ascii="Arial" w:cs="Arial" w:eastAsia="Arial" w:hAnsi="Arial"/>
          <w:b/>
          <w:bCs/>
          <w:color w:val="0F2B46"/>
          <w:sz w:val="32"/>
          <w:szCs w:val="32"/>
        </w:rPr>
        <w:t xml:space="preserve">8. Complete AMACE Architecture: Modules 1–8</w:t>
      </w:r>
    </w:p>
    <w:p>
      <w:pPr>
        <w:spacing w:after="140" w:line="276"/>
      </w:pPr>
      <w:r>
        <w:rPr>
          <w:rFonts w:ascii="Arial" w:cs="Arial" w:eastAsia="Arial" w:hAnsi="Arial"/>
          <w:b w:val="false"/>
          <w:bCs w:val="false"/>
          <w:i w:val="false"/>
          <w:iCs w:val="false"/>
          <w:color w:val="1C2833"/>
          <w:sz w:val="22"/>
          <w:szCs w:val="22"/>
        </w:rPr>
        <w:t xml:space="preserve">With the addition of Module 8, the complete AMACE system comprises eight modules spanning three functional tiers: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30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Statistical Proof Tier</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M1 (SSIE), M2 (SADD), M3 (ERD), M4 (CSCT), M5 (CAP)</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Detect anomalies, discover correlations, validate causality. All outputs have formal statistical guarantees.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AUTHORITATIVE. These modules produce mathematically provable results. Their outputs constrain everything downstream.</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Synthesis Tier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M6 (CIGS), M7 (PPE)</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Assemble validated correlations into causal graphs and match against precursor patterns.</w:t>
            </w:r>
          </w:p>
        </w:tc>
        <w:tc>
          <w:tcPr>
            <w:tcW w:type="dxa" w:w="3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HIGH TRUST. Operates on validated inputs; produces structured outputs.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Intelligence Tier</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M8 (CIL: RASR, ACHG, OMRE)</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Explain WHY correlations exist, retrieve organizational memory, suggest remediations.</w:t>
            </w:r>
          </w:p>
        </w:tc>
        <w:tc>
          <w:tcPr>
            <w:tcW w:type="dxa" w:w="30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ADVISORY. Produces hypotheses constrained by the Statistical Proof Tier. All outputs are labeled as hypotheses, never as proven facts.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THE THREE-TIER TRUST HIERARCHY IS THE KEY INNOVATION</w:t>
            </w:r>
          </w:p>
          <w:p>
            <w:pPr>
              <w:spacing w:after="0" w:line="276"/>
            </w:pPr>
            <w:r>
              <w:rPr>
                <w:rFonts w:ascii="Arial" w:cs="Arial" w:eastAsia="Arial" w:hAnsi="Arial"/>
                <w:color w:val="0F2B46"/>
                <w:sz w:val="20"/>
                <w:szCs w:val="20"/>
              </w:rPr>
              <w:t xml:space="preserve">What makes AMACE + CIL novel is not the use of an LLM (obvious) or RAG (common). It is the formal trust hierarchy that governs how the language model’s outputs interact with the statistical engine’s outputs. The statistical tier has veto power. The intelligence tier operates within guardrails. The trust discount factor, citation verification, consistency checking, and confidence calibration together form a containment architecture that has no prior art equivalent in cross-stratum anomaly correlation systems.</w:t>
            </w:r>
          </w:p>
        </w:tc>
      </w:tr>
    </w:tbl>
    <w:p>
      <w:pPr>
        <w:spacing w:after="60"/>
      </w:pPr>
    </w:p>
    <w:p>
      <w:pPr>
        <w:pStyle w:val="Heading2"/>
        <w:spacing w:after="160" w:before="300"/>
      </w:pPr>
      <w:r>
        <w:rPr>
          <w:rFonts w:ascii="Arial" w:cs="Arial" w:eastAsia="Arial" w:hAnsi="Arial"/>
          <w:b/>
          <w:bCs/>
          <w:color w:val="0F2B46"/>
          <w:sz w:val="28"/>
          <w:szCs w:val="28"/>
        </w:rPr>
        <w:t xml:space="preserve">8.1 Total Patent Claim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Category</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Claims</w:t>
            </w:r>
          </w:p>
        </w:tc>
        <w:tc>
          <w:tcPr>
            <w:tcW w:type="dxa" w:w="61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Core Statistical Method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1—2</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Multi-stratum detection, ERD beam search, CSCT 4-axis tensor, CAP ablation validation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Observable Outputs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3, 9</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API output schema, UI display with causal chains and ablation evidence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Predictive Capability</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4</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Precursor sequence matching with predictive warnings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Contextual Intelligence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5—6</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RAG-augmented semantic bridging, constrained mechanistic hypothesis generation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Safety and Containment</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26–27, 29–30</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Hallucination containment protocol, trust discount factor, provenance chain, adaptive confidence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Domain Embodiments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10—24</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Network, mobile, cloud, financial, healthcare, SmartThings, camera, foldable, semiconductor, AI OS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Advanced Features</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6—8, 25, 28, 31–32</w:t>
            </w:r>
          </w:p>
        </w:tc>
        <w:tc>
          <w:tcPr>
            <w:tcW w:type="dxa" w:w="6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Anti-correlation, immune memory, self-calibration, organizational memory, hybrid retrieval, cross-domain reasoning, remediation ranking</w:t>
            </w:r>
          </w:p>
        </w:tc>
      </w:tr>
    </w:tbl>
    <w:p>
      <w:pPr>
        <w:spacing w:after="60"/>
      </w:pPr>
    </w:p>
    <w:p>
      <w:pPr>
        <w:spacing w:after="140" w:line="276"/>
        <w:jc w:val="left"/>
      </w:pPr>
      <w:r>
        <w:rPr>
          <w:rFonts w:ascii="Arial" w:cs="Arial" w:eastAsia="Arial" w:hAnsi="Arial"/>
          <w:b/>
          <w:bCs/>
          <w:color w:val="1C2833"/>
          <w:sz w:val="22"/>
          <w:szCs w:val="22"/>
        </w:rPr>
        <w:t xml:space="preserve">Total: 6 independent claims + 26 dependent claims = 32 claims </w:t>
      </w:r>
      <w:r>
        <w:rPr>
          <w:rFonts w:ascii="Arial" w:cs="Arial" w:eastAsia="Arial" w:hAnsi="Arial"/>
          <w:color w:val="1C2833"/>
          <w:sz w:val="22"/>
          <w:szCs w:val="22"/>
        </w:rPr>
        <w:t xml:space="preserve">covering 8 architectural modules, 5 domain-agnostic use cases, 5 Samsung-specific embodiments, and 4 hallucination containment mechanisms.</w:t>
      </w:r>
    </w:p>
    <w:p>
      <w:r>
        <w:br w:type="page"/>
      </w:r>
    </w:p>
    <w:p>
      <w:pPr>
        <w:pStyle w:val="Heading1"/>
        <w:spacing w:after="200" w:before="400"/>
      </w:pPr>
      <w:r>
        <w:rPr>
          <w:rFonts w:ascii="Arial" w:cs="Arial" w:eastAsia="Arial" w:hAnsi="Arial"/>
          <w:b/>
          <w:bCs/>
          <w:color w:val="0F2B46"/>
          <w:sz w:val="32"/>
          <w:szCs w:val="32"/>
        </w:rPr>
        <w:t xml:space="preserve">9. Why the CIL Integration Is Independently Patentable</w:t>
      </w:r>
    </w:p>
    <w:p>
      <w:pPr>
        <w:spacing w:after="140" w:line="276"/>
      </w:pPr>
      <w:r>
        <w:rPr>
          <w:rFonts w:ascii="Arial" w:cs="Arial" w:eastAsia="Arial" w:hAnsi="Arial"/>
          <w:b w:val="false"/>
          <w:bCs w:val="false"/>
          <w:i w:val="false"/>
          <w:iCs w:val="false"/>
          <w:color w:val="1C2833"/>
          <w:sz w:val="22"/>
          <w:szCs w:val="22"/>
        </w:rPr>
        <w:t xml:space="preserve">The addition of Module 8 creates at least three independently patentable innovations beyond the base AMACE system:</w:t>
      </w:r>
    </w:p>
    <w:p>
      <w:pPr>
        <w:spacing w:after="60"/>
      </w:pPr>
    </w:p>
    <w:p>
      <w:pPr>
        <w:pStyle w:val="Heading2"/>
        <w:spacing w:after="160" w:before="300"/>
      </w:pPr>
      <w:r>
        <w:rPr>
          <w:rFonts w:ascii="Arial" w:cs="Arial" w:eastAsia="Arial" w:hAnsi="Arial"/>
          <w:b/>
          <w:bCs/>
          <w:color w:val="0F2B46"/>
          <w:sz w:val="28"/>
          <w:szCs w:val="28"/>
        </w:rPr>
        <w:t xml:space="preserve">9.1 Innovation 1: Constrained Abductive Reasoning Within Statistical Guardrails</w:t>
      </w:r>
    </w:p>
    <w:p>
      <w:pPr>
        <w:spacing w:after="140" w:line="276"/>
        <w:jc w:val="left"/>
      </w:pPr>
      <w:r>
        <w:rPr>
          <w:rFonts w:ascii="Arial" w:cs="Arial" w:eastAsia="Arial" w:hAnsi="Arial"/>
          <w:b/>
          <w:bCs/>
          <w:color w:val="1C2833"/>
          <w:sz w:val="22"/>
          <w:szCs w:val="22"/>
        </w:rPr>
        <w:t xml:space="preserve">No prior art system </w:t>
      </w:r>
      <w:r>
        <w:rPr>
          <w:rFonts w:ascii="Arial" w:cs="Arial" w:eastAsia="Arial" w:hAnsi="Arial"/>
          <w:color w:val="1C2833"/>
          <w:sz w:val="22"/>
          <w:szCs w:val="22"/>
        </w:rPr>
        <w:t xml:space="preserve">generates mechanistic causal hypotheses using an LLM that is formally constrained by statistical ablation results. Existing systems either use LLMs unconstrained (chatbots, general RAG) or use statistics without explanation (AIOps). The AMACE CIL is the first system where the LLM’s reasoning is bounded by a formal proof of causal direction, entity set, temporal envelope, and dimensional locus. This is a new form of “statistically-grounded abductive reasoning” with no prior art equivalent.</w:t>
      </w:r>
    </w:p>
    <w:p>
      <w:pPr>
        <w:pStyle w:val="Heading2"/>
        <w:spacing w:after="160" w:before="300"/>
      </w:pPr>
      <w:r>
        <w:rPr>
          <w:rFonts w:ascii="Arial" w:cs="Arial" w:eastAsia="Arial" w:hAnsi="Arial"/>
          <w:b/>
          <w:bCs/>
          <w:color w:val="0F2B46"/>
          <w:sz w:val="28"/>
          <w:szCs w:val="28"/>
        </w:rPr>
        <w:t xml:space="preserve">9.2 Innovation 2: Trust Discount Factor for LLM-Augmented Correlation Tensors</w:t>
      </w:r>
    </w:p>
    <w:p>
      <w:pPr>
        <w:spacing w:after="140" w:line="276"/>
        <w:jc w:val="left"/>
      </w:pPr>
      <w:r>
        <w:rPr>
          <w:rFonts w:ascii="Arial" w:cs="Arial" w:eastAsia="Arial" w:hAnsi="Arial"/>
          <w:b/>
          <w:bCs/>
          <w:color w:val="1C2833"/>
          <w:sz w:val="22"/>
          <w:szCs w:val="22"/>
        </w:rPr>
        <w:t xml:space="preserve">No prior art system </w:t>
      </w:r>
      <w:r>
        <w:rPr>
          <w:rFonts w:ascii="Arial" w:cs="Arial" w:eastAsia="Arial" w:hAnsi="Arial"/>
          <w:color w:val="1C2833"/>
          <w:sz w:val="22"/>
          <w:szCs w:val="22"/>
        </w:rPr>
        <w:t xml:space="preserve">integrates LLM-derived semantic scores into a multi-axis correlation tensor with a formal trust discount that ensures LLM evidence is always weighted below statistical evidence. The trust discount factor is adaptive: it increases as the LLM’s semantic bridging is historically validated, and decreases when LLM-bridged correlations fail CAP validation. This creates a self-correcting trust boundary between statistical and language-model reasoning.</w:t>
      </w:r>
    </w:p>
    <w:p>
      <w:pPr>
        <w:pStyle w:val="Heading2"/>
        <w:spacing w:after="160" w:before="300"/>
      </w:pPr>
      <w:r>
        <w:rPr>
          <w:rFonts w:ascii="Arial" w:cs="Arial" w:eastAsia="Arial" w:hAnsi="Arial"/>
          <w:b/>
          <w:bCs/>
          <w:color w:val="0F2B46"/>
          <w:sz w:val="28"/>
          <w:szCs w:val="28"/>
        </w:rPr>
        <w:t xml:space="preserve">9.3 Innovation 3: Four-Layer Hallucination Containment for Reliability-Critical Systems</w:t>
      </w:r>
    </w:p>
    <w:p>
      <w:pPr>
        <w:spacing w:after="140" w:line="276"/>
        <w:jc w:val="left"/>
      </w:pPr>
      <w:r>
        <w:rPr>
          <w:rFonts w:ascii="Arial" w:cs="Arial" w:eastAsia="Arial" w:hAnsi="Arial"/>
          <w:b/>
          <w:bCs/>
          <w:color w:val="1C2833"/>
          <w:sz w:val="22"/>
          <w:szCs w:val="22"/>
        </w:rPr>
        <w:t xml:space="preserve">No prior art system </w:t>
      </w:r>
      <w:r>
        <w:rPr>
          <w:rFonts w:ascii="Arial" w:cs="Arial" w:eastAsia="Arial" w:hAnsi="Arial"/>
          <w:color w:val="1C2833"/>
          <w:sz w:val="22"/>
          <w:szCs w:val="22"/>
        </w:rPr>
        <w:t xml:space="preserve">implements a four-layer containment protocol (retrieval constraint, citation verification, statistical consistency, confidence calibration) specifically designed to prevent LLM hallucinations from contaminating a statistical proof chain in a reliability-critical operational context. Existing hallucination mitigation focuses on factual accuracy; AMACE CIL’s containment focuses on causal consistency, which is a fundamentally different and more demanding requirement.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BOTTOM LINE</w:t>
            </w:r>
          </w:p>
          <w:p>
            <w:pPr>
              <w:spacing w:after="0" w:line="276"/>
            </w:pPr>
            <w:r>
              <w:rPr>
                <w:rFonts w:ascii="Arial" w:cs="Arial" w:eastAsia="Arial" w:hAnsi="Arial"/>
                <w:color w:val="1C2833"/>
                <w:sz w:val="20"/>
                <w:szCs w:val="20"/>
              </w:rPr>
              <w:t xml:space="preserve">Module 8 transforms AMACE from a system that proves WHAT happened into a system that proves WHAT happened, explains WHY it happened, recalls WHEN it happened before, and recommends HOW to fix it — all within mathematically enforced guardrails that prevent the language model from ever contradicting the statistical proof. This is not ‘adding AI to AI.’ This is creating a formal trust architecture between two fundamentally different forms of intelligence: statistical proof and linguistic reasoning.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E57C2" w:sz="1" w:space="4"/>
      </w:pBd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E57C2" w:sz="2" w:space="4"/>
      </w:pBdr>
      <w:jc w:val="right"/>
    </w:pPr>
    <w:r>
      <w:rPr>
        <w:rFonts w:ascii="Arial" w:cs="Arial" w:eastAsia="Arial" w:hAnsi="Arial"/>
        <w:i/>
        <w:iCs/>
        <w:color w:val="5D6D7E"/>
        <w:sz w:val="18"/>
        <w:szCs w:val="18"/>
      </w:rPr>
      <w:t xml:space="preserve">AMACE Module 8 — Contextual Intelligence Layer (CIL)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2026-04-08T03:11:48.038Z</dcterms:created>
  <dcterms:modified xsi:type="dcterms:W3CDTF">2026-04-08T03:11:48.039Z</dcterms:modified>
</cp:coreProperties>
</file>

<file path=docProps/custom.xml><?xml version="1.0" encoding="utf-8"?>
<Properties xmlns="http://schemas.openxmlformats.org/officeDocument/2006/custom-properties" xmlns:vt="http://schemas.openxmlformats.org/officeDocument/2006/docPropsVTypes"/>
</file>