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rFonts w:ascii="Arial" w:cs="Arial" w:eastAsia="Arial" w:hAnsi="Arial"/>
          <w:color w:val="5D6D7E"/>
          <w:sz w:val="24"/>
          <w:szCs w:val="24"/>
        </w:rPr>
        <w:t xml:space="preserve">AMACE PATENT SPECIFICATION — ADDENDUM</w:t>
      </w:r>
    </w:p>
    <w:p>
      <w:pPr>
        <w:pBdr>
          <w:bottom w:val="single" w:color="1428A0" w:sz="4"/>
        </w:pBdr>
        <w:spacing w:after="300"/>
        <w:jc w:val="center"/>
      </w:pPr>
    </w:p>
    <w:p>
      <w:pPr>
        <w:spacing w:after="120"/>
        <w:jc w:val="center"/>
      </w:pPr>
      <w:r>
        <w:rPr>
          <w:rFonts w:ascii="Arial" w:cs="Arial" w:eastAsia="Arial" w:hAnsi="Arial"/>
          <w:b/>
          <w:bCs/>
          <w:color w:val="1428A0"/>
          <w:sz w:val="52"/>
          <w:szCs w:val="52"/>
        </w:rPr>
        <w:t xml:space="preserve">SAMSUNG ECOSYSTEM</w:t>
      </w:r>
    </w:p>
    <w:p>
      <w:pPr>
        <w:spacing w:after="120"/>
        <w:jc w:val="center"/>
      </w:pPr>
      <w:r>
        <w:rPr>
          <w:rFonts w:ascii="Arial" w:cs="Arial" w:eastAsia="Arial" w:hAnsi="Arial"/>
          <w:b/>
          <w:bCs/>
          <w:color w:val="1428A0"/>
          <w:sz w:val="52"/>
          <w:szCs w:val="52"/>
        </w:rPr>
        <w:t xml:space="preserve">PREFERRED EMBODIMENTS</w:t>
      </w:r>
    </w:p>
    <w:p>
      <w:pPr>
        <w:pBdr>
          <w:bottom w:val="single" w:color="1428A0" w:sz="4"/>
        </w:pBdr>
        <w:spacing w:after="300" w:before="200"/>
        <w:jc w:val="center"/>
      </w:pPr>
    </w:p>
    <w:p>
      <w:pPr>
        <w:spacing w:after="80"/>
        <w:jc w:val="center"/>
      </w:pPr>
      <w:r>
        <w:rPr>
          <w:rFonts w:ascii="Arial" w:cs="Arial" w:eastAsia="Arial" w:hAnsi="Arial"/>
          <w:i/>
          <w:iCs/>
          <w:color w:val="5D6D7E"/>
          <w:sz w:val="24"/>
          <w:szCs w:val="24"/>
        </w:rPr>
        <w:t xml:space="preserve">Five Domain-Specific Use Cases for the</w:t>
      </w:r>
    </w:p>
    <w:p>
      <w:pPr>
        <w:spacing w:after="80"/>
        <w:jc w:val="center"/>
      </w:pPr>
      <w:r>
        <w:rPr>
          <w:rFonts w:ascii="Arial" w:cs="Arial" w:eastAsia="Arial" w:hAnsi="Arial"/>
          <w:i/>
          <w:iCs/>
          <w:color w:val="5D6D7E"/>
          <w:sz w:val="24"/>
          <w:szCs w:val="24"/>
        </w:rPr>
        <w:t xml:space="preserve">Autonomous Multi-Stratum Anomaly Correlation Engine</w:t>
      </w:r>
    </w:p>
    <w:p>
      <w:pPr>
        <w:spacing w:after="200"/>
        <w:jc w:val="center"/>
      </w:pPr>
      <w:r>
        <w:rPr>
          <w:rFonts w:ascii="Arial" w:cs="Arial" w:eastAsia="Arial" w:hAnsi="Arial"/>
          <w:i/>
          <w:iCs/>
          <w:color w:val="5D6D7E"/>
          <w:sz w:val="24"/>
          <w:szCs w:val="24"/>
        </w:rPr>
        <w:t xml:space="preserve">Within the Samsung Connected Device Ecosystem</w:t>
      </w:r>
    </w:p>
    <w:p>
      <w:pPr>
        <w:spacing w:after="80" w:before="400"/>
        <w:jc w:val="center"/>
      </w:pPr>
      <w:r>
        <w:rPr>
          <w:rFonts w:ascii="Arial" w:cs="Arial" w:eastAsia="Arial" w:hAnsi="Arial"/>
          <w:b/>
          <w:bCs/>
          <w:color w:val="B03A2E"/>
          <w:sz w:val="20"/>
          <w:szCs w:val="20"/>
        </w:rPr>
        <w:t xml:space="preserve">CONFIDENTIAL — PATENT PORTFOLIO DOCUMENTATION</w:t>
      </w:r>
    </w:p>
    <w:p>
      <w:pPr>
        <w:spacing w:after="80"/>
        <w:jc w:val="center"/>
      </w:pPr>
      <w:r>
        <w:rPr>
          <w:rFonts w:ascii="Arial" w:cs="Arial" w:eastAsia="Arial" w:hAnsi="Arial"/>
          <w:color w:val="5D6D7E"/>
          <w:sz w:val="22"/>
          <w:szCs w:val="22"/>
        </w:rPr>
        <w:t xml:space="preserve">April 2026</w:t>
      </w:r>
    </w:p>
    <w:p>
      <w:r>
        <w:br w:type="page"/>
      </w:r>
    </w:p>
    <w:p>
      <w:pPr>
        <w:pStyle w:val="Heading1"/>
        <w:spacing w:after="200" w:before="400"/>
      </w:pPr>
      <w:r>
        <w:rPr>
          <w:rFonts w:ascii="Arial" w:cs="Arial" w:eastAsia="Arial" w:hAnsi="Arial"/>
          <w:b/>
          <w:bCs/>
          <w:color w:val="0F2B46"/>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0F2B46"/>
          <w:sz w:val="32"/>
          <w:szCs w:val="32"/>
        </w:rPr>
        <w:t xml:space="preserve">1. Samsung Ecosystem as Preferred Embodiment</w:t>
      </w:r>
    </w:p>
    <w:p>
      <w:pPr>
        <w:spacing w:after="140" w:line="276"/>
      </w:pPr>
      <w:r>
        <w:rPr>
          <w:rFonts w:ascii="Arial" w:cs="Arial" w:eastAsia="Arial" w:hAnsi="Arial"/>
          <w:b w:val="false"/>
          <w:bCs w:val="false"/>
          <w:i w:val="false"/>
          <w:iCs w:val="false"/>
          <w:color w:val="1C2833"/>
          <w:sz w:val="22"/>
          <w:szCs w:val="22"/>
        </w:rPr>
        <w:t xml:space="preserve">The AMACE architecture is domain-agnostic by design. However, the Samsung connected device ecosystem represents an ideal preferred embodiment because it inherently contains all three data strata across multiple interconnected product lines. Samsung operates one of the world's largest heterogeneous device ecosystems: 430+ million SmartThings users, Galaxy smartphones with on-device AI (Galaxy AI / One UI), smart home appliances with embedded sensors and cameras, wearable health monitoring devices, and advanced semiconductor/memory systems.</w:t>
      </w:r>
    </w:p>
    <w:p>
      <w:pPr>
        <w:spacing w:after="60"/>
      </w:pPr>
    </w:p>
    <w:p>
      <w:pPr>
        <w:spacing w:after="140" w:line="276"/>
      </w:pPr>
      <w:r>
        <w:rPr>
          <w:rFonts w:ascii="Arial" w:cs="Arial" w:eastAsia="Arial" w:hAnsi="Arial"/>
          <w:b w:val="false"/>
          <w:bCs w:val="false"/>
          <w:i w:val="false"/>
          <w:iCs w:val="false"/>
          <w:color w:val="1C2833"/>
          <w:sz w:val="22"/>
          <w:szCs w:val="22"/>
        </w:rPr>
        <w:t xml:space="preserve">This addendum provides five Samsung-specific use cases that serve as dependent claim embodiments, strengthening the patent by grounding abstract claims in concrete, commercially significant implementations.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180"/>
        <w:gridCol w:w="3180"/>
      </w:tblGrid>
      <w:tr>
        <w:tc>
          <w:tcPr>
            <w:tcW w:type="dxa" w:w="6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Samsung Products Involved</w:t>
            </w:r>
          </w:p>
        </w:tc>
        <w:tc>
          <w:tcPr>
            <w:tcW w:type="dxa" w:w="318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Unique AMACE Value</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Smart Home: Cross-Device Anomaly Cascade</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Hub, Bespoke AI appliances, Galaxy phone sensors, SmartThings Energy, Matter devices</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Correlates anomalies across 50+ device types from multiple manufacturers in a single home, detecting cascading failures invisible to per-device monitoring</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Camera + ProVisual Engine: Silent Image Quality Degradation</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Z Fold7/Flip7 200MP camera, ProVisual Engine ISP, Galaxy AI Photo Assist, One UI Camera app</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Detects cross-stratum correlations between hardware sensor drift, ISP pipeline anomalies, and AI model quality degradation that no individual diagnostic catches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3</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Foldable Innovation: Hinge-Display-Software Interaction Failures</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Z Fold/Flip/TriFold, Armor FlexHinge, flexible AMOLED, One UI Flex Mode, crease compensation algorithms</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Discovers causal chains across mechanical sensor data, display calibration features, and software adaptation models unique to foldable form factors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4</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Samsung Semiconductor: Memory/Foundry Production Anomaly Correlation</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Samsung Foundry 2nm process, Exynos chipsets, LPDDR5X memory, UFS 4.0 NAND, V-NAND production lines</w:t>
            </w:r>
          </w:p>
        </w:tc>
        <w:tc>
          <w:tcPr>
            <w:tcW w:type="dxa" w:w="31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Correlates anomalies across fabrication telemetry, electrical test features, and yield prediction models to detect process drift hours before yield loss</w:t>
            </w:r>
          </w:p>
        </w:tc>
      </w:tr>
      <w:tr>
        <w:tc>
          <w:tcPr>
            <w:tcW w:type="dxa" w:w="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5</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AI OS: On-Device Intelligence Degradation Detection</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One UI 8.5, Galaxy AI (Personal Data Engine, Now Nudge, Call Screening), Knox security, Bixby/Gemini agents, SmartThings integration</w:t>
            </w:r>
          </w:p>
        </w:tc>
        <w:tc>
          <w:tcPr>
            <w:tcW w:type="dxa" w:w="318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Detects when AI model performance, system resource allocation, and user experience metrics simultaneously degrade across the on-device AI stack</w:t>
            </w:r>
          </w:p>
        </w:tc>
      </w:tr>
    </w:tbl>
    <w:p>
      <w:r>
        <w:br w:type="page"/>
      </w:r>
    </w:p>
    <w:p>
      <w:pPr>
        <w:pStyle w:val="Heading1"/>
        <w:spacing w:after="200" w:before="400"/>
      </w:pPr>
      <w:r>
        <w:rPr>
          <w:rFonts w:ascii="Arial" w:cs="Arial" w:eastAsia="Arial" w:hAnsi="Arial"/>
          <w:b/>
          <w:bCs/>
          <w:color w:val="0F2B46"/>
          <w:sz w:val="32"/>
          <w:szCs w:val="32"/>
        </w:rPr>
        <w:t xml:space="preserve">2. Use Case 1: SmartThings — Cross-Device Anomaly Cascade in Connected Home</w:t>
      </w:r>
    </w:p>
    <w:p>
      <w:pPr>
        <w:pStyle w:val="Heading2"/>
        <w:spacing w:after="160" w:before="300"/>
      </w:pPr>
      <w:r>
        <w:rPr>
          <w:rFonts w:ascii="Arial" w:cs="Arial" w:eastAsia="Arial" w:hAnsi="Arial"/>
          <w:b/>
          <w:bCs/>
          <w:color w:val="0F2B46"/>
          <w:sz w:val="28"/>
          <w:szCs w:val="28"/>
        </w:rPr>
        <w:t xml:space="preserve">2.1 Problem Statement</w:t>
      </w:r>
    </w:p>
    <w:p>
      <w:pPr>
        <w:spacing w:after="140" w:line="276"/>
      </w:pPr>
      <w:r>
        <w:rPr>
          <w:rFonts w:ascii="Arial" w:cs="Arial" w:eastAsia="Arial" w:hAnsi="Arial"/>
          <w:b w:val="false"/>
          <w:bCs w:val="false"/>
          <w:i w:val="false"/>
          <w:iCs w:val="false"/>
          <w:color w:val="1C2833"/>
          <w:sz w:val="22"/>
          <w:szCs w:val="22"/>
        </w:rPr>
        <w:t xml:space="preserve">A household operates 47 SmartThings-connected devices: a SmartThings Station Pro hub, Bespoke AI refrigerator with AI Vision (powered by Google Gemini), Bespoke AI Laundry Combo, WindFree Pro air conditioner with AI Energy Mode, Jet Bot Steam Ultra robot vacuum, 12 Matter-compatible smart lights (IKEA, Eve), 3 Aqara Matter cameras, Samsung Smart TV with Tizen OS, Galaxy Watch health sensors feeding Samsung Health, and assorted Zigbee/Z-Wave sensors (door, motion, temperature, humidity).</w:t>
      </w:r>
    </w:p>
    <w:p>
      <w:pPr>
        <w:spacing w:after="60"/>
      </w:pPr>
    </w:p>
    <w:p>
      <w:pPr>
        <w:spacing w:after="140" w:line="276"/>
      </w:pPr>
      <w:r>
        <w:rPr>
          <w:rFonts w:ascii="Arial" w:cs="Arial" w:eastAsia="Arial" w:hAnsi="Arial"/>
          <w:b w:val="false"/>
          <w:bCs w:val="false"/>
          <w:i w:val="false"/>
          <w:iCs w:val="false"/>
          <w:color w:val="1C2833"/>
          <w:sz w:val="22"/>
          <w:szCs w:val="22"/>
        </w:rPr>
        <w:t xml:space="preserve">One evening, the family notices their electricity bill has spiked 40% over two weeks. The SmartThings Energy dashboard shows overall consumption is up, but no single device has breached its individual alert threshold. The air conditioner's AI Energy Mode reports normal operation. The refrigerator's compressor cycle times look typical. The laundry combo's energy per cycle is within tolerance. Every device individually reports green — yet the household is consuming 40% more energy.</w:t>
      </w:r>
    </w:p>
    <w:p>
      <w:pPr>
        <w:spacing w:after="60"/>
      </w:pPr>
    </w:p>
    <w:p>
      <w:pPr>
        <w:spacing w:after="140" w:line="276"/>
        <w:jc w:val="left"/>
      </w:pPr>
      <w:r>
        <w:rPr>
          <w:rFonts w:ascii="Arial" w:cs="Arial" w:eastAsia="Arial" w:hAnsi="Arial"/>
          <w:b/>
          <w:bCs/>
          <w:color w:val="1C2833"/>
          <w:sz w:val="22"/>
          <w:szCs w:val="22"/>
        </w:rPr>
        <w:t xml:space="preserve">The invisible cause: </w:t>
      </w:r>
      <w:r>
        <w:rPr>
          <w:rFonts w:ascii="Arial" w:cs="Arial" w:eastAsia="Arial" w:hAnsi="Arial"/>
          <w:color w:val="1C2833"/>
          <w:sz w:val="22"/>
          <w:szCs w:val="22"/>
        </w:rPr>
        <w:t xml:space="preserve">A failed temperature sensor in the SmartThings hub's environmental monitor is reporting the ambient temperature as 3°C lower than actual. The WindFree AC's AI Energy Mode, which trusts the hub's sensor data, compensates by running longer cycles. The refrigerator, receiving the same falsely-low ambient reading via SmartThings, reduces its compressor duty cycle (it thinks the kitchen is cooler). This causes the refrigerator interior to warm slightly, triggering more frequent compressor restarts. The combined effect: AC overcooling + refrigerator inefficient cycling = 40% energy spike. No single device is "broken" — the system-level interaction is the problem.</w:t>
      </w:r>
    </w:p>
    <w:p>
      <w:pPr>
        <w:pStyle w:val="Heading2"/>
        <w:spacing w:after="160" w:before="300"/>
      </w:pPr>
      <w:r>
        <w:rPr>
          <w:rFonts w:ascii="Arial" w:cs="Arial" w:eastAsia="Arial" w:hAnsi="Arial"/>
          <w:b/>
          <w:bCs/>
          <w:color w:val="0F2B46"/>
          <w:sz w:val="28"/>
          <w:szCs w:val="28"/>
        </w:rPr>
        <w:t xml:space="preserve">2.2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SmartThings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Specific Data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Raw device telemetry: SmartThings hub sensor readings, device state change events, Matter protocol messages, Zigbee/Z-Wave radio traffic, energy meter readings from Samsung Smart Plug</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Hub temperature reading: 18°C (actual: 21°C), AC duty cycle events, compressor on/off timestamps, smart plug watt-hour readings per device, camera motion events, door sensor open/close logs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computed features: AI Energy Mode consumption profiles per device, SmartThings Energy aggregated dashboard metrics, routine execution statistics, device health scores, sleep quality report features (from Galaxy Watch + bedroom sensors)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AC energy-per-hour feature: +28% above 30-day baseline, refrigerator compressor restart frequency: 14/hr (baseline 8/hr), overall household energy consumption index: +40%, sleep environment score: degraded (room too cold)</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AI model outputs: AI Energy Mode optimization decisions, Bespoke AI appliance automation recommendations, SmartThings routine suggestion confidence scores, insurance risk assessment (Hartford Steam Boiler partnership)</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AI Energy Mode model recommending extended AC cycles (based on false sensor input), routine suggestion engine proposing "turn off AC at night" (detecting suboptimal pattern), insurance risk model flagging elevated appliance stress pattern</w:t>
            </w:r>
          </w:p>
        </w:tc>
      </w:tr>
    </w:tbl>
    <w:p>
      <w:pPr>
        <w:pStyle w:val="Heading2"/>
        <w:spacing w:after="160" w:before="300"/>
      </w:pPr>
      <w:r>
        <w:rPr>
          <w:rFonts w:ascii="Arial" w:cs="Arial" w:eastAsia="Arial" w:hAnsi="Arial"/>
          <w:b/>
          <w:bCs/>
          <w:color w:val="0F2B46"/>
          <w:sz w:val="28"/>
          <w:szCs w:val="28"/>
        </w:rPr>
        <w:t xml:space="preserve">2.3 How AMACE Solves This</w:t>
      </w:r>
    </w:p>
    <w:p>
      <w:pPr>
        <w:spacing w:after="140" w:line="276"/>
        <w:jc w:val="left"/>
      </w:pPr>
      <w:r>
        <w:rPr>
          <w:rFonts w:ascii="Arial" w:cs="Arial" w:eastAsia="Arial" w:hAnsi="Arial"/>
          <w:b/>
          <w:bCs/>
          <w:color w:val="1C2833"/>
          <w:sz w:val="22"/>
          <w:szCs w:val="22"/>
        </w:rPr>
        <w:t xml:space="preserve">SSIE </w:t>
      </w:r>
      <w:r>
        <w:rPr>
          <w:rFonts w:ascii="Arial" w:cs="Arial" w:eastAsia="Arial" w:hAnsi="Arial"/>
          <w:color w:val="1C2833"/>
          <w:sz w:val="22"/>
          <w:szCs w:val="22"/>
        </w:rPr>
        <w:t xml:space="preserve">auto-discovers entity relationships across the SmartThings ecosystem: device_id, room assignment, manufacturer, protocol type (Matter/Zigbee/Z-Wave/WiFi), and SmartThings device category. It maps the hub's sensor readings to the same entity space as the AC's consumption data and the refrigerator's compressor logs — all without configuration.</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detects sub-threshold deviations: no single device breaches its alert threshold, but SADD's adaptive PSI monitoring detects distributional shifts in AC duty cycle patterns (S₀), refrigerator compressor restart frequency (S₁), and AI Energy Mode's optimization decision confidence (S₂). Each generates a DST.</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identifies the dimensional slice: location=kitchen × device_type=climate_sensor × data_source=hub_environmental. This is the precise sub-population where the false temperature reading propagates to dependent devices.</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discovers the causal chain: hub_sensor_drift(S₀) → AC_overcooling_pattern(S₁) → energy_mode_suboptimal_decision(S₂), AND a parallel chain: hub_sensor_drift(S₀) → refrigerator_duty_cycle_shift(S₁) → compressor_stress_elevation(S₂). Entity coincidence is near-perfect: the same hub sensor feeds both chains.</w:t>
      </w:r>
    </w:p>
    <w:p>
      <w:pPr>
        <w:spacing w:after="140" w:line="276"/>
        <w:jc w:val="left"/>
      </w:pPr>
      <w:r>
        <w:rPr>
          <w:rFonts w:ascii="Arial" w:cs="Arial" w:eastAsia="Arial" w:hAnsi="Arial"/>
          <w:b/>
          <w:bCs/>
          <w:color w:val="1C2833"/>
          <w:sz w:val="22"/>
          <w:szCs w:val="22"/>
        </w:rPr>
        <w:t xml:space="preserve">Anti-Correlation Detection: </w:t>
      </w:r>
      <w:r>
        <w:rPr>
          <w:rFonts w:ascii="Arial" w:cs="Arial" w:eastAsia="Arial" w:hAnsi="Arial"/>
          <w:color w:val="1C2833"/>
          <w:sz w:val="22"/>
          <w:szCs w:val="22"/>
        </w:rPr>
        <w:t xml:space="preserve">AMACE also flags that the SmartThings routine engine SHOULD have suggested adjusting the AC schedule (it has done so historically for similar consumption patterns) but DID NOT — because the routine engine also trusts the hub's false temperature reading. This reveals that the failed sensor has contaminated three independent systems.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28A0" w:sz="1"/>
              <w:left w:val="single" w:color="1428A0" w:sz="8"/>
              <w:bottom w:val="single" w:color="1428A0" w:sz="1"/>
              <w:right w:val="single" w:color="1428A0" w:sz="1"/>
            </w:tcBorders>
            <w:shd w:fill="E8EAF6" w:val="clear"/>
            <w:tcMar>
              <w:top w:type="dxa" w:w="120"/>
              <w:left w:type="dxa" w:w="200"/>
              <w:bottom w:type="dxa" w:w="120"/>
              <w:right w:type="dxa" w:w="200"/>
            </w:tcMar>
          </w:tcPr>
          <w:p>
            <w:pPr>
              <w:spacing w:after="80"/>
            </w:pPr>
            <w:r>
              <w:rPr>
                <w:rFonts w:ascii="Arial" w:cs="Arial" w:eastAsia="Arial" w:hAnsi="Arial"/>
                <w:b/>
                <w:bCs/>
                <w:color w:val="1428A0"/>
                <w:sz w:val="22"/>
                <w:szCs w:val="22"/>
              </w:rPr>
              <w:t xml:space="preserve">SAMSUNG-SPECIFIC INSIGHT</w:t>
            </w:r>
          </w:p>
          <w:p>
            <w:pPr>
              <w:spacing w:after="0" w:line="276"/>
            </w:pPr>
            <w:r>
              <w:rPr>
                <w:rFonts w:ascii="Arial" w:cs="Arial" w:eastAsia="Arial" w:hAnsi="Arial"/>
                <w:color w:val="1C2833"/>
                <w:sz w:val="20"/>
                <w:szCs w:val="20"/>
              </w:rPr>
              <w:t xml:space="preserve">AMACE outputs: "SmartThings Hub environmental sensor is reporting ambient temperature 3°C below actual. This has caused: (1) WindFree AC running 28% longer cycles via AI Energy Mode, (2) Bespoke AI refrigerator compressor restarting 75% more frequently, (3) SmartThings routine engine unable to detect the pattern because it trusts the same faulty data source. Combined impact: +40% household energy consumption ($67/month). Recommended action: recalibrate or replace hub temperature sensor. Confidence: 0.94."</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PATENT VALUE</w:t>
            </w:r>
          </w:p>
          <w:p>
            <w:pPr>
              <w:spacing w:after="0" w:line="276"/>
            </w:pPr>
            <w:r>
              <w:rPr>
                <w:rFonts w:ascii="Arial" w:cs="Arial" w:eastAsia="Arial" w:hAnsi="Arial"/>
                <w:color w:val="1C2833"/>
                <w:sz w:val="20"/>
                <w:szCs w:val="20"/>
              </w:rPr>
              <w:t xml:space="preserve">This use case demonstrates AMACE operating across Matter, Zigbee, and WiFi protocol boundaries within the SmartThings ecosystem — a multi-protocol, multi-manufacturer environment that no existing monitoring tool can correlate across. The dependent claim reads: "The method of Claim 1, wherein the observation stratum comprises device telemetry from a smart home platform supporting multiple communication protocols including Matter, Zigbee, Z-Wave, and WiFi, the representation stratum comprises computed energy consumption profiles and device health metrics aggregated across the smart home platform, and the inference stratum comprises AI-driven automation optimization decisions and predictive maintenance model outputs."</w:t>
            </w:r>
          </w:p>
        </w:tc>
      </w:tr>
    </w:tbl>
    <w:p>
      <w:r>
        <w:br w:type="page"/>
      </w:r>
    </w:p>
    <w:p>
      <w:pPr>
        <w:pStyle w:val="Heading1"/>
        <w:spacing w:after="200" w:before="400"/>
      </w:pPr>
      <w:r>
        <w:rPr>
          <w:rFonts w:ascii="Arial" w:cs="Arial" w:eastAsia="Arial" w:hAnsi="Arial"/>
          <w:b/>
          <w:bCs/>
          <w:color w:val="0F2B46"/>
          <w:sz w:val="32"/>
          <w:szCs w:val="32"/>
        </w:rPr>
        <w:t xml:space="preserve">3. Use Case 2: Galaxy Camera — Silent Image Quality Degradation</w:t>
      </w:r>
    </w:p>
    <w:p>
      <w:pPr>
        <w:pStyle w:val="Heading2"/>
        <w:spacing w:after="160" w:before="300"/>
      </w:pPr>
      <w:r>
        <w:rPr>
          <w:rFonts w:ascii="Arial" w:cs="Arial" w:eastAsia="Arial" w:hAnsi="Arial"/>
          <w:b/>
          <w:bCs/>
          <w:color w:val="0F2B46"/>
          <w:sz w:val="28"/>
          <w:szCs w:val="28"/>
        </w:rPr>
        <w:t xml:space="preserve">3.1 Problem Statement</w:t>
      </w:r>
    </w:p>
    <w:p>
      <w:pPr>
        <w:spacing w:after="140" w:line="276"/>
      </w:pPr>
      <w:r>
        <w:rPr>
          <w:rFonts w:ascii="Arial" w:cs="Arial" w:eastAsia="Arial" w:hAnsi="Arial"/>
          <w:b w:val="false"/>
          <w:bCs w:val="false"/>
          <w:i w:val="false"/>
          <w:iCs w:val="false"/>
          <w:color w:val="1C2833"/>
          <w:sz w:val="22"/>
          <w:szCs w:val="22"/>
        </w:rPr>
        <w:t xml:space="preserve">The Galaxy Z Fold7 features a 200MP main camera with Samsung's ProVisual Engine, which includes always-on 10-bit HDR+, AI scene detection, noise reduction, and 8K AI Super Steady video. The camera system is a deeply integrated hardware-software-AI stack: the ISOCELL sensor captures raw Bayer data, the ProVisual Engine ISP processes it through a multi-stage pipeline, and Galaxy AI models (Photo Assist, Portrait Studio, Nightography) apply intelligent enhancements.</w:t>
      </w:r>
    </w:p>
    <w:p>
      <w:pPr>
        <w:spacing w:after="60"/>
      </w:pPr>
    </w:p>
    <w:p>
      <w:pPr>
        <w:spacing w:after="140" w:line="276"/>
      </w:pPr>
      <w:r>
        <w:rPr>
          <w:rFonts w:ascii="Arial" w:cs="Arial" w:eastAsia="Arial" w:hAnsi="Arial"/>
          <w:b w:val="false"/>
          <w:bCs w:val="false"/>
          <w:i w:val="false"/>
          <w:iCs w:val="false"/>
          <w:color w:val="1C2833"/>
          <w:sz w:val="22"/>
          <w:szCs w:val="22"/>
        </w:rPr>
        <w:t xml:space="preserve">After a One UI software update, users on photography forums begin reporting that low-light photos look "slightly different" — not worse per se, but the Nightography results have a subtle color shift in warm indoor lighting. Samsung's QA team checks individual metrics: the ISOCELL sensor performance is within spec, the ISP pipeline outputs pass all automated image quality tests, and the Nightography AI model's accuracy metrics on benchmark datasets are unchanged. Every component individually tests clean.</w:t>
      </w:r>
    </w:p>
    <w:p>
      <w:pPr>
        <w:spacing w:after="60"/>
      </w:pPr>
    </w:p>
    <w:p>
      <w:pPr>
        <w:spacing w:after="140" w:line="276"/>
        <w:jc w:val="left"/>
      </w:pPr>
      <w:r>
        <w:rPr>
          <w:rFonts w:ascii="Arial" w:cs="Arial" w:eastAsia="Arial" w:hAnsi="Arial"/>
          <w:b/>
          <w:bCs/>
          <w:color w:val="1C2833"/>
          <w:sz w:val="22"/>
          <w:szCs w:val="22"/>
        </w:rPr>
        <w:t xml:space="preserve">The invisible cause: </w:t>
      </w:r>
      <w:r>
        <w:rPr>
          <w:rFonts w:ascii="Arial" w:cs="Arial" w:eastAsia="Arial" w:hAnsi="Arial"/>
          <w:color w:val="1C2833"/>
          <w:sz w:val="22"/>
          <w:szCs w:val="22"/>
        </w:rPr>
        <w:t xml:space="preserve">The software update included a minor adjustment to the ISP's white balance pre-processing stage. This change is within the ISP's tolerance range and passes all ISP-level tests. However, the Nightography AI model was trained on data processed with the old white balance behavior. The new white balance produces input distributions that are subtly different from training data, causing the AI model to apply slightly incorrect color correction in warm indoor lighting. The ISP is fine. The AI model is fine. The interaction between them — across strata — is the problem.</w:t>
      </w:r>
    </w:p>
    <w:p>
      <w:pPr>
        <w:pStyle w:val="Heading2"/>
        <w:spacing w:after="160" w:before="300"/>
      </w:pPr>
      <w:r>
        <w:rPr>
          <w:rFonts w:ascii="Arial" w:cs="Arial" w:eastAsia="Arial" w:hAnsi="Arial"/>
          <w:b/>
          <w:bCs/>
          <w:color w:val="0F2B46"/>
          <w:sz w:val="28"/>
          <w:szCs w:val="28"/>
        </w:rPr>
        <w:t xml:space="preserve">3.2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Camera System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Specific Data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Raw sensor data: ISOCELL 200MP Bayer pattern output, gyroscope/accelerometer data for OIS, ambient light sensor readings, shutter speed/ISO/aperture logs, ISP pipeline stage output buffers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White balance pre-processing output shifted: average warm-light CCT estimate changed from 3200K to 3350K post-update, raw sensor SNR unchanged, OIS performance nominal</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ProVisual Engine computed features: per-frame image quality metrics (sharpness, noise level, color accuracy), scene classification confidence, HDR tone mapping histograms, batch-level quality distributions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Color accuracy (delta-E) for warm indoor scenes: 2.1 → 4.7 (still passes 5.0 threshold), Nightography activation rate unchanged, scene classification distributional shift: PSI = 0.15 for "indoor warm" category</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AI model outputs: Nightography enhancement decisions, Photo Assist suggestion scores, Portrait Studio quality predictions, user satisfaction predictions from engagement telemetry</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Nightography color correction vector shifted for warm scenes, Photo Assist edit suggestion rate increased 12% for color adjustments (users are manually correcting), user re-take rate for indoor photos: +8%</w:t>
            </w:r>
          </w:p>
        </w:tc>
      </w:tr>
    </w:tbl>
    <w:p>
      <w:pPr>
        <w:pStyle w:val="Heading2"/>
        <w:spacing w:after="160" w:before="300"/>
      </w:pPr>
      <w:r>
        <w:rPr>
          <w:rFonts w:ascii="Arial" w:cs="Arial" w:eastAsia="Arial" w:hAnsi="Arial"/>
          <w:b/>
          <w:bCs/>
          <w:color w:val="0F2B46"/>
          <w:sz w:val="28"/>
          <w:szCs w:val="28"/>
        </w:rPr>
        <w:t xml:space="preserve">3.3 How AMACE Solves This</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detects three sub-threshold DSTs: the white balance CCT shift in S₀ (within tolerance), the color accuracy delta-E increase in S₁ (still below threshold), and the Photo Assist suggestion rate increase in S₂ (not a traditional "anomaly"). Individually, none triggers an alert.</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localizes: lighting_condition=warm_indoor × camera_mode=nightography × software_version=post_update. The MDL score is 8,400 bits — highly informative because the anomaly is concentrated exclusively in this slice.</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discovers the cross-stratum chain: ISP_white_balance_shift(S₀) → color_accuracy_degradation(S₁) → nightography_color_correction_drift(S₂). Temporal precedence: the ISP change occurs at the moment of software update; the S₁ shift appears in the first photo batch after update; the S₂ model behavior shifts within hours. Entity coincidence: 100% — every affected photo passes through all three stages.</w:t>
      </w:r>
    </w:p>
    <w:p>
      <w:pPr>
        <w:spacing w:after="140" w:line="276"/>
        <w:jc w:val="left"/>
      </w:pPr>
      <w:r>
        <w:rPr>
          <w:rFonts w:ascii="Arial" w:cs="Arial" w:eastAsia="Arial" w:hAnsi="Arial"/>
          <w:b/>
          <w:bCs/>
          <w:color w:val="1C2833"/>
          <w:sz w:val="22"/>
          <w:szCs w:val="22"/>
        </w:rPr>
        <w:t xml:space="preserve">CAP validates: </w:t>
      </w:r>
      <w:r>
        <w:rPr>
          <w:rFonts w:ascii="Arial" w:cs="Arial" w:eastAsia="Arial" w:hAnsi="Arial"/>
          <w:color w:val="1C2833"/>
          <w:sz w:val="22"/>
          <w:szCs w:val="22"/>
        </w:rPr>
        <w:t xml:space="preserve">Exclusivity test: reverting the white balance to pre-update behavior eliminates the downstream color accuracy shift and model drift. Sufficiency test: the white balance change alone predicts the model behavior change. Confirmed causal.</w:t>
      </w:r>
    </w:p>
    <w:p>
      <w:pPr>
        <w:spacing w:after="140" w:line="276"/>
        <w:jc w:val="left"/>
      </w:pPr>
      <w:r>
        <w:rPr>
          <w:rFonts w:ascii="Arial" w:cs="Arial" w:eastAsia="Arial" w:hAnsi="Arial"/>
          <w:b/>
          <w:bCs/>
          <w:color w:val="1C2833"/>
          <w:sz w:val="22"/>
          <w:szCs w:val="22"/>
        </w:rPr>
        <w:t xml:space="preserve">PPE predicts: </w:t>
      </w:r>
      <w:r>
        <w:rPr>
          <w:rFonts w:ascii="Arial" w:cs="Arial" w:eastAsia="Arial" w:hAnsi="Arial"/>
          <w:color w:val="1C2833"/>
          <w:sz w:val="22"/>
          <w:szCs w:val="22"/>
        </w:rPr>
        <w:t xml:space="preserve">Historical pattern match: previous ISP pipeline changes that shifted pre-processing distributions have caused downstream AI model degradation in 73% of cases. AMACE could have issued a predictive warning at the moment the update was deployed, before any user-visible impact.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28A0" w:sz="1"/>
              <w:left w:val="single" w:color="1428A0" w:sz="8"/>
              <w:bottom w:val="single" w:color="1428A0" w:sz="1"/>
              <w:right w:val="single" w:color="1428A0" w:sz="1"/>
            </w:tcBorders>
            <w:shd w:fill="E8EAF6" w:val="clear"/>
            <w:tcMar>
              <w:top w:type="dxa" w:w="120"/>
              <w:left w:type="dxa" w:w="200"/>
              <w:bottom w:type="dxa" w:w="120"/>
              <w:right w:type="dxa" w:w="200"/>
            </w:tcMar>
          </w:tcPr>
          <w:p>
            <w:pPr>
              <w:spacing w:after="80"/>
            </w:pPr>
            <w:r>
              <w:rPr>
                <w:rFonts w:ascii="Arial" w:cs="Arial" w:eastAsia="Arial" w:hAnsi="Arial"/>
                <w:b/>
                <w:bCs/>
                <w:color w:val="1428A0"/>
                <w:sz w:val="22"/>
                <w:szCs w:val="22"/>
              </w:rPr>
              <w:t xml:space="preserve">SAMSUNG-SPECIFIC INSIGHT</w:t>
            </w:r>
          </w:p>
          <w:p>
            <w:pPr>
              <w:spacing w:after="0" w:line="276"/>
            </w:pPr>
            <w:r>
              <w:rPr>
                <w:rFonts w:ascii="Arial" w:cs="Arial" w:eastAsia="Arial" w:hAnsi="Arial"/>
                <w:color w:val="1C2833"/>
                <w:sz w:val="20"/>
                <w:szCs w:val="20"/>
              </w:rPr>
              <w:t xml:space="preserve">AMACE outputs: "One UI update v8.5.2 modified ISP white balance pre-processing, shifting warm-light CCT estimation by +150K. This causes the Nightography AI model to apply incorrect color correction for indoor warm lighting scenes on Galaxy Z Fold7/Flip7. User-visible impact: color accuracy degraded from delta-E 2.1 to 4.7 (perceptible). Behavioral signal: users manually correcting color 12% more often via Photo Assist. Recommended action: retrain Nightography model on post-update ISP output distributions, or revert white balance parameter. Confidence: 0.91."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PATENT VALUE</w:t>
            </w:r>
          </w:p>
          <w:p>
            <w:pPr>
              <w:spacing w:after="0" w:line="276"/>
            </w:pPr>
            <w:r>
              <w:rPr>
                <w:rFonts w:ascii="Arial" w:cs="Arial" w:eastAsia="Arial" w:hAnsi="Arial"/>
                <w:color w:val="1C2833"/>
                <w:sz w:val="20"/>
                <w:szCs w:val="20"/>
              </w:rPr>
              <w:t xml:space="preserve">This use case demonstrates AMACE correlating across hardware (ISOCELL sensor), firmware (ProVisual Engine ISP), and AI (Galaxy AI models) strata within a single device. This is a hardware-software-AI correlation that no existing tool architecture supports. Dependent claim: "The method of Claim 1, wherein the observation stratum comprises image sensor output data and image signal processing pipeline stage outputs, the representation stratum comprises computed image quality metrics across processing stages, and the inference stratum comprises AI-driven image enhancement model outputs and user engagement telemetry."</w:t>
            </w:r>
          </w:p>
        </w:tc>
      </w:tr>
    </w:tbl>
    <w:p>
      <w:r>
        <w:br w:type="page"/>
      </w:r>
    </w:p>
    <w:p>
      <w:pPr>
        <w:pStyle w:val="Heading1"/>
        <w:spacing w:after="200" w:before="400"/>
      </w:pPr>
      <w:r>
        <w:rPr>
          <w:rFonts w:ascii="Arial" w:cs="Arial" w:eastAsia="Arial" w:hAnsi="Arial"/>
          <w:b/>
          <w:bCs/>
          <w:color w:val="0F2B46"/>
          <w:sz w:val="32"/>
          <w:szCs w:val="32"/>
        </w:rPr>
        <w:t xml:space="preserve">4. Use Case 3: Foldable Innovation — Hinge-Display-Software Interaction Failure</w:t>
      </w:r>
    </w:p>
    <w:p>
      <w:pPr>
        <w:pStyle w:val="Heading2"/>
        <w:spacing w:after="160" w:before="300"/>
      </w:pPr>
      <w:r>
        <w:rPr>
          <w:rFonts w:ascii="Arial" w:cs="Arial" w:eastAsia="Arial" w:hAnsi="Arial"/>
          <w:b/>
          <w:bCs/>
          <w:color w:val="0F2B46"/>
          <w:sz w:val="28"/>
          <w:szCs w:val="28"/>
        </w:rPr>
        <w:t xml:space="preserve">4.1 Problem Statement</w:t>
      </w:r>
    </w:p>
    <w:p>
      <w:pPr>
        <w:spacing w:after="140" w:line="276"/>
      </w:pPr>
      <w:r>
        <w:rPr>
          <w:rFonts w:ascii="Arial" w:cs="Arial" w:eastAsia="Arial" w:hAnsi="Arial"/>
          <w:b w:val="false"/>
          <w:bCs w:val="false"/>
          <w:i w:val="false"/>
          <w:iCs w:val="false"/>
          <w:color w:val="1C2833"/>
          <w:sz w:val="22"/>
          <w:szCs w:val="22"/>
        </w:rPr>
        <w:t xml:space="preserve">Samsung's foldable lineup — Galaxy Z Fold7 (8.0" main display, 6.5" cover, 215g, 8.9mm folded), Galaxy Z Flip7 (6.9" main, 4.1" FlexWindow), and the new Galaxy Z TriFold (10" unfolded, 5600mAh three-cell battery, triple-hinge) — represents the industry's most complex consumer electromechanical systems. Each device combines precision mechanical components (Armor FlexHinge with waterdrop rail structure), flexible AMOLED displays (with Corning Gorilla Glass Ceramic 2), and sophisticated software adaptation (Flex Mode, crease compensation, multi-window optimization, Now Brief on FlexWindow).</w:t>
      </w:r>
    </w:p>
    <w:p>
      <w:pPr>
        <w:spacing w:after="60"/>
      </w:pPr>
    </w:p>
    <w:p>
      <w:pPr>
        <w:spacing w:after="140" w:line="276"/>
      </w:pPr>
      <w:r>
        <w:rPr>
          <w:rFonts w:ascii="Arial" w:cs="Arial" w:eastAsia="Arial" w:hAnsi="Arial"/>
          <w:b w:val="false"/>
          <w:bCs w:val="false"/>
          <w:i w:val="false"/>
          <w:iCs w:val="false"/>
          <w:color w:val="1C2833"/>
          <w:sz w:val="22"/>
          <w:szCs w:val="22"/>
        </w:rPr>
        <w:t xml:space="preserve">A quality issue emerges after 6 months of use for a specific manufacturing batch of Z Fold7 units: users report intermittent display flickering near the fold line, but only when using Flex Mode (half-folded at approximately 90°). Samsung's testing teams find no hardware defect — the hinge mechanism operates within spec, the display panel passes all electrical tests, and the Flex Mode software functions correctly in isolation. The flickering is intermittent and only manifests under a specific combination of fold angle, display brightness, ambient temperature, and app workload.</w:t>
      </w:r>
    </w:p>
    <w:p>
      <w:pPr>
        <w:spacing w:after="60"/>
      </w:pPr>
    </w:p>
    <w:p>
      <w:pPr>
        <w:spacing w:after="140" w:line="276"/>
        <w:jc w:val="left"/>
      </w:pPr>
      <w:r>
        <w:rPr>
          <w:rFonts w:ascii="Arial" w:cs="Arial" w:eastAsia="Arial" w:hAnsi="Arial"/>
          <w:b/>
          <w:bCs/>
          <w:color w:val="1C2833"/>
          <w:sz w:val="22"/>
          <w:szCs w:val="22"/>
        </w:rPr>
        <w:t xml:space="preserve">The invisible cause: </w:t>
      </w:r>
      <w:r>
        <w:rPr>
          <w:rFonts w:ascii="Arial" w:cs="Arial" w:eastAsia="Arial" w:hAnsi="Arial"/>
          <w:color w:val="1C2833"/>
          <w:sz w:val="22"/>
          <w:szCs w:val="22"/>
        </w:rPr>
        <w:t xml:space="preserve">A subtle manufacturing variance in one production batch's hinge friction coefficient causes the fold angle to settle at 87° instead of 90° when the user intends Flex Mode. The 3° discrepancy is within the hinge's mechanical tolerance. However, the crease compensation algorithm is optimized for exactly 90° and applies incorrect pixel correction at 87°. This incorrect correction interacts with the display's variable refresh rate controller (which adjusts brightness near the fold line), creating visible flicker under high-brightness, high-temperature conditions where the OLED panel's response time is slightly slower.</w:t>
      </w:r>
    </w:p>
    <w:p>
      <w:pPr>
        <w:pStyle w:val="Heading2"/>
        <w:spacing w:after="160" w:before="300"/>
      </w:pPr>
      <w:r>
        <w:rPr>
          <w:rFonts w:ascii="Arial" w:cs="Arial" w:eastAsia="Arial" w:hAnsi="Arial"/>
          <w:b/>
          <w:bCs/>
          <w:color w:val="0F2B46"/>
          <w:sz w:val="28"/>
          <w:szCs w:val="28"/>
        </w:rPr>
        <w:t xml:space="preserve">4.2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Foldable System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Specific Data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Raw mechanical and display telemetry: hinge angle sensor readings, fold/unfold event logs, display panel electrical diagnostics, accelerometer/gyroscope data, ambient temperature sensor, manufacturing batch identifier</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Hinge angle: 87.3° ± 0.4° (spec: 90° ± 5° — within tolerance), display panel current draw near fold: nominal, ambient temp: 28°C, manufacturing batch: BQ-2025-0847</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Computed display and UX features: crease visibility score, Flex Mode activation success rate, display uniformity metrics across fold region, variable refresh rate adaptation statistics, battery drain rate in Flex Mode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Crease compensation pixel offset: applying 90° correction to 87° angle (3° mismatch), display uniformity score near fold: 94% (threshold: 90% — passes), Flex Mode battery drain: +7% vs. baseline batch average</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Software model outputs: Flex Mode app layout optimization decisions, display health prediction model, crease compensation algorithm outputs, user satisfaction inference from interaction patterns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Flex Mode layout confidence: 0.82 (normal: 0.95), display health model: "normal" (doesn't model angle-dependent compensation), user flicker-related app switches: 3.2x baseline — users are closing and reopening apps when flicker occurs</w:t>
            </w:r>
          </w:p>
        </w:tc>
      </w:tr>
    </w:tbl>
    <w:p>
      <w:pPr>
        <w:pStyle w:val="Heading2"/>
        <w:spacing w:after="160" w:before="300"/>
      </w:pPr>
      <w:r>
        <w:rPr>
          <w:rFonts w:ascii="Arial" w:cs="Arial" w:eastAsia="Arial" w:hAnsi="Arial"/>
          <w:b/>
          <w:bCs/>
          <w:color w:val="0F2B46"/>
          <w:sz w:val="28"/>
          <w:szCs w:val="28"/>
        </w:rPr>
        <w:t xml:space="preserve">4.3 How AMACE Solves This</w:t>
      </w:r>
    </w:p>
    <w:p>
      <w:pPr>
        <w:spacing w:after="140" w:line="276"/>
        <w:jc w:val="left"/>
      </w:pPr>
      <w:r>
        <w:rPr>
          <w:rFonts w:ascii="Arial" w:cs="Arial" w:eastAsia="Arial" w:hAnsi="Arial"/>
          <w:b/>
          <w:bCs/>
          <w:color w:val="1C2833"/>
          <w:sz w:val="22"/>
          <w:szCs w:val="22"/>
        </w:rPr>
        <w:t xml:space="preserve">SSIE </w:t>
      </w:r>
      <w:r>
        <w:rPr>
          <w:rFonts w:ascii="Arial" w:cs="Arial" w:eastAsia="Arial" w:hAnsi="Arial"/>
          <w:color w:val="1C2833"/>
          <w:sz w:val="22"/>
          <w:szCs w:val="22"/>
        </w:rPr>
        <w:t xml:space="preserve">auto-discovers the manufacturing batch identifier as a dimensional attribute, enabling batch-level analysis. It also identifies hinge angle sensor readings as a continuous metric and maps fold/unfold events to the same entity timeline as display diagnostics.</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localizes: manufacturing_batch=BQ-2025-0847 × mode=flex_mode × ambient_temp&gt;25°C × brightness&gt;70%. The anomaly concentrates in this exact 4-dimensional slice. MDL score: 6,200 bits.</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builds the causal chain: hinge_angle_offset(S₀, 87° vs 90°) → crease_compensation_mismatch(S₁, 3° error) → flex_mode_layout_confidence_drop(S₂) + user_flicker_avoidance_behavior(S₂). The temporal pattern: flicker onset correlates with specific fold angle readings, not with time-of-day or usage duration.</w:t>
      </w:r>
    </w:p>
    <w:p>
      <w:pPr>
        <w:spacing w:after="140" w:line="276"/>
        <w:jc w:val="left"/>
      </w:pPr>
      <w:r>
        <w:rPr>
          <w:rFonts w:ascii="Arial" w:cs="Arial" w:eastAsia="Arial" w:hAnsi="Arial"/>
          <w:b/>
          <w:bCs/>
          <w:color w:val="1C2833"/>
          <w:sz w:val="22"/>
          <w:szCs w:val="22"/>
        </w:rPr>
        <w:t xml:space="preserve">Anti-Correlation Detection: </w:t>
      </w:r>
      <w:r>
        <w:rPr>
          <w:rFonts w:ascii="Arial" w:cs="Arial" w:eastAsia="Arial" w:hAnsi="Arial"/>
          <w:color w:val="1C2833"/>
          <w:sz w:val="22"/>
          <w:szCs w:val="22"/>
        </w:rPr>
        <w:t xml:space="preserve">The display health prediction model SHOULD flag this batch but DOES NOT because it models display degradation as a function of fold count, not fold angle precision. AMACE identifies this gap in the health model's coverage.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28A0" w:sz="1"/>
              <w:left w:val="single" w:color="1428A0" w:sz="8"/>
              <w:bottom w:val="single" w:color="1428A0" w:sz="1"/>
              <w:right w:val="single" w:color="1428A0" w:sz="1"/>
            </w:tcBorders>
            <w:shd w:fill="E8EAF6" w:val="clear"/>
            <w:tcMar>
              <w:top w:type="dxa" w:w="120"/>
              <w:left w:type="dxa" w:w="200"/>
              <w:bottom w:type="dxa" w:w="120"/>
              <w:right w:type="dxa" w:w="200"/>
            </w:tcMar>
          </w:tcPr>
          <w:p>
            <w:pPr>
              <w:spacing w:after="80"/>
            </w:pPr>
            <w:r>
              <w:rPr>
                <w:rFonts w:ascii="Arial" w:cs="Arial" w:eastAsia="Arial" w:hAnsi="Arial"/>
                <w:b/>
                <w:bCs/>
                <w:color w:val="1428A0"/>
                <w:sz w:val="22"/>
                <w:szCs w:val="22"/>
              </w:rPr>
              <w:t xml:space="preserve">SAMSUNG-SPECIFIC INSIGHT</w:t>
            </w:r>
          </w:p>
          <w:p>
            <w:pPr>
              <w:spacing w:after="0" w:line="276"/>
            </w:pPr>
            <w:r>
              <w:rPr>
                <w:rFonts w:ascii="Arial" w:cs="Arial" w:eastAsia="Arial" w:hAnsi="Arial"/>
                <w:color w:val="1C2833"/>
                <w:sz w:val="20"/>
                <w:szCs w:val="20"/>
              </w:rPr>
              <w:t xml:space="preserve">AMACE outputs: "Galaxy Z Fold7 manufacturing batch BQ-2025-0847 exhibits 3° hinge angle offset in Flex Mode (87° vs target 90°, within mechanical tolerance). This causes crease compensation algorithm mismatch, producing intermittent display flicker under high-brightness, high-temperature conditions. Affected units: ~12,400 devices from this batch. User behavioral signal: 3.2x elevated app-restart rate during Flex Mode sessions. Display health model has a gap: does not account for angle-dependent compensation errors. Recommended actions: (1) Update crease compensation algorithm to use measured angle instead of target angle, (2) OTA software fix for affected batch, (3) Update display health model to include angle precision as input feature. Confidence: 0.88."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PATENT VALUE</w:t>
            </w:r>
          </w:p>
          <w:p>
            <w:pPr>
              <w:spacing w:after="0" w:line="276"/>
            </w:pPr>
            <w:r>
              <w:rPr>
                <w:rFonts w:ascii="Arial" w:cs="Arial" w:eastAsia="Arial" w:hAnsi="Arial"/>
                <w:color w:val="1C2833"/>
                <w:sz w:val="20"/>
                <w:szCs w:val="20"/>
              </w:rPr>
              <w:t xml:space="preserve">This use case is uniquely Samsung — no other manufacturer has the foldable complexity to produce this class of cross-stratum interaction failure. The dependent claim: "The method of Claim 1, wherein the observation stratum comprises mechanical hinge sensor telemetry and flexible display electrical diagnostics from a foldable computing device, the representation stratum comprises computed display quality metrics including crease compensation accuracy and display uniformity across the fold region, and the inference stratum comprises software adaptation model outputs including fold-angle-dependent layout optimization decisions."</w:t>
            </w:r>
          </w:p>
        </w:tc>
      </w:tr>
    </w:tbl>
    <w:p>
      <w:r>
        <w:br w:type="page"/>
      </w:r>
    </w:p>
    <w:p>
      <w:pPr>
        <w:pStyle w:val="Heading1"/>
        <w:spacing w:after="200" w:before="400"/>
      </w:pPr>
      <w:r>
        <w:rPr>
          <w:rFonts w:ascii="Arial" w:cs="Arial" w:eastAsia="Arial" w:hAnsi="Arial"/>
          <w:b/>
          <w:bCs/>
          <w:color w:val="0F2B46"/>
          <w:sz w:val="32"/>
          <w:szCs w:val="32"/>
        </w:rPr>
        <w:t xml:space="preserve">5. Use Case 4: Samsung Semiconductor — Foundry Process Drift Detection</w:t>
      </w:r>
    </w:p>
    <w:p>
      <w:pPr>
        <w:pStyle w:val="Heading2"/>
        <w:spacing w:after="160" w:before="300"/>
      </w:pPr>
      <w:r>
        <w:rPr>
          <w:rFonts w:ascii="Arial" w:cs="Arial" w:eastAsia="Arial" w:hAnsi="Arial"/>
          <w:b/>
          <w:bCs/>
          <w:color w:val="0F2B46"/>
          <w:sz w:val="28"/>
          <w:szCs w:val="28"/>
        </w:rPr>
        <w:t xml:space="preserve">5.1 Problem Statement</w:t>
      </w:r>
    </w:p>
    <w:p>
      <w:pPr>
        <w:spacing w:after="140" w:line="276"/>
      </w:pPr>
      <w:r>
        <w:rPr>
          <w:rFonts w:ascii="Arial" w:cs="Arial" w:eastAsia="Arial" w:hAnsi="Arial"/>
          <w:b w:val="false"/>
          <w:bCs w:val="false"/>
          <w:i w:val="false"/>
          <w:iCs w:val="false"/>
          <w:color w:val="1C2833"/>
          <w:sz w:val="22"/>
          <w:szCs w:val="22"/>
        </w:rPr>
        <w:t xml:space="preserve">Samsung Foundry operates the world's most advanced 2nm GAA (Gate-All-Around) semiconductor fabrication process, producing the Exynos 2600 chipset that powers the Galaxy S26 series. The fabrication process involves over 1,000 sequential steps across lithography, deposition, etching, ion implantation, and chemical mechanical polishing (CMP). Each step generates millions of sensor readings per wafer.</w:t>
      </w:r>
    </w:p>
    <w:p>
      <w:pPr>
        <w:spacing w:after="60"/>
      </w:pPr>
    </w:p>
    <w:p>
      <w:pPr>
        <w:spacing w:after="140" w:line="276"/>
      </w:pPr>
      <w:r>
        <w:rPr>
          <w:rFonts w:ascii="Arial" w:cs="Arial" w:eastAsia="Arial" w:hAnsi="Arial"/>
          <w:b w:val="false"/>
          <w:bCs w:val="false"/>
          <w:i w:val="false"/>
          <w:iCs w:val="false"/>
          <w:color w:val="1C2833"/>
          <w:sz w:val="22"/>
          <w:szCs w:val="22"/>
        </w:rPr>
        <w:t xml:space="preserve">A subtle process drift begins in the EUV lithography stage for a specific layer. The drift is within the lithography tool's control limits and does not trigger any individual process control alarms. However, the drift causes a systematic 0.3nm line width variation that propagates through subsequent etching and deposition steps, ultimately affecting transistor threshold voltage (Vt) uniformity. The yield prediction models, trained on historical data, do not flag this because the Vt distribution is still within the model's "acceptable" range. However, the actual yield drops 2.1% over three days — representing millions of dollars in lost production — before any single monitoring system triggers an alert.</w:t>
      </w:r>
    </w:p>
    <w:p>
      <w:pPr>
        <w:pStyle w:val="Heading2"/>
        <w:spacing w:after="160" w:before="300"/>
      </w:pPr>
      <w:r>
        <w:rPr>
          <w:rFonts w:ascii="Arial" w:cs="Arial" w:eastAsia="Arial" w:hAnsi="Arial"/>
          <w:b/>
          <w:bCs/>
          <w:color w:val="0F2B46"/>
          <w:sz w:val="28"/>
          <w:szCs w:val="28"/>
        </w:rPr>
        <w:t xml:space="preserve">5.2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Semiconductor Fabrication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Specific Data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Raw fabrication telemetry: EUV scanner alignment data, chamber pressure/temperature/gas flow readings, etch rate measurements, CMP removal rate, wafer inspection (defect maps), in-line CD-SEM (critical dimension) measurements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EUV overlay: +0.3nm drift on layer 7 (control limit: ±1.0nm — within spec), etch rate stability: nominal, CMP uniformity: marginal shift in zone 3</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Computed process features: statistical process control (SPC) charts, wafer-level uniformity indices, lot-level Cpk values, multi-variate process fingerprints, cross-layer correlation matrices between process steps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Lot Cpk for Vt uniformity: 1.45 (spec: &gt;1.33 — passes), wafer uniformity radial profile: slight edge-to-center gradient shift, cross-layer correlation between litho overlay and etch CD: weakened from 0.89 to 0.74</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ML model outputs: yield prediction per wafer/lot, defect classification model outputs, virtual metrology predictions, equipment health predictions, root cause analysis model suggestions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Yield prediction model: predicting 94.2% (actual: 92.1%), virtual metrology for Vt: slight bias but within model confidence interval, equipment health model: all tools rated "healthy"</w:t>
            </w:r>
          </w:p>
        </w:tc>
      </w:tr>
    </w:tbl>
    <w:p>
      <w:pPr>
        <w:pStyle w:val="Heading2"/>
        <w:spacing w:after="160" w:before="300"/>
      </w:pPr>
      <w:r>
        <w:rPr>
          <w:rFonts w:ascii="Arial" w:cs="Arial" w:eastAsia="Arial" w:hAnsi="Arial"/>
          <w:b/>
          <w:bCs/>
          <w:color w:val="0F2B46"/>
          <w:sz w:val="28"/>
          <w:szCs w:val="28"/>
        </w:rPr>
        <w:t xml:space="preserve">5.3 How AMACE Solves This</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detects: the 0.3nm overlay drift in S₀ is within control limits but detected as a distributional shift (PSI = 0.18). The Cpk weakening in S₁ is detected as a trend deviation. The yield model's prediction bias in S₂ is detected by the prediction interval monitor as a systematic over-prediction.</w:t>
      </w:r>
    </w:p>
    <w:p>
      <w:pPr>
        <w:spacing w:after="140" w:line="276"/>
        <w:jc w:val="left"/>
      </w:pPr>
      <w:r>
        <w:rPr>
          <w:rFonts w:ascii="Arial" w:cs="Arial" w:eastAsia="Arial" w:hAnsi="Arial"/>
          <w:b/>
          <w:bCs/>
          <w:color w:val="1C2833"/>
          <w:sz w:val="22"/>
          <w:szCs w:val="22"/>
        </w:rPr>
        <w:t xml:space="preserve">ERD </w:t>
      </w:r>
      <w:r>
        <w:rPr>
          <w:rFonts w:ascii="Arial" w:cs="Arial" w:eastAsia="Arial" w:hAnsi="Arial"/>
          <w:color w:val="1C2833"/>
          <w:sz w:val="22"/>
          <w:szCs w:val="22"/>
        </w:rPr>
        <w:t xml:space="preserve">localizes: process_step=EUV_layer7 × wafer_zone=edge × equipment=scanner_3 × shift=night_shift. The drift concentrates on wafers processed during night shift on scanner 3, where a thermal stabilization variance exists.</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chains: EUV_overlay_drift(S₀) → Vt_uniformity_degradation(S₁) → yield_prediction_bias(S₂). The temporal precedence precisely tracks the lot processing sequence through the fabrication line, with propagation delays matching the known transit time between process steps.</w:t>
      </w:r>
    </w:p>
    <w:p>
      <w:pPr>
        <w:spacing w:after="140" w:line="276"/>
        <w:jc w:val="left"/>
      </w:pPr>
      <w:r>
        <w:rPr>
          <w:rFonts w:ascii="Arial" w:cs="Arial" w:eastAsia="Arial" w:hAnsi="Arial"/>
          <w:b/>
          <w:bCs/>
          <w:color w:val="1C2833"/>
          <w:sz w:val="22"/>
          <w:szCs w:val="22"/>
        </w:rPr>
        <w:t xml:space="preserve">PPE predicts: </w:t>
      </w:r>
      <w:r>
        <w:rPr>
          <w:rFonts w:ascii="Arial" w:cs="Arial" w:eastAsia="Arial" w:hAnsi="Arial"/>
          <w:color w:val="1C2833"/>
          <w:sz w:val="22"/>
          <w:szCs w:val="22"/>
        </w:rPr>
        <w:t xml:space="preserve">Historical pattern match: overlay drifts on layer 7 that exceed 0.2nm have preceded yield losses in 89% of historical cases. AMACE issues a predictive warning after detecting the first shifted lots, 18 hours before the yield drop becomes statistically significant in traditional SPC monitoring.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28A0" w:sz="1"/>
              <w:left w:val="single" w:color="1428A0" w:sz="8"/>
              <w:bottom w:val="single" w:color="1428A0" w:sz="1"/>
              <w:right w:val="single" w:color="1428A0" w:sz="1"/>
            </w:tcBorders>
            <w:shd w:fill="E8EAF6" w:val="clear"/>
            <w:tcMar>
              <w:top w:type="dxa" w:w="120"/>
              <w:left w:type="dxa" w:w="200"/>
              <w:bottom w:type="dxa" w:w="120"/>
              <w:right w:type="dxa" w:w="200"/>
            </w:tcMar>
          </w:tcPr>
          <w:p>
            <w:pPr>
              <w:spacing w:after="80"/>
            </w:pPr>
            <w:r>
              <w:rPr>
                <w:rFonts w:ascii="Arial" w:cs="Arial" w:eastAsia="Arial" w:hAnsi="Arial"/>
                <w:b/>
                <w:bCs/>
                <w:color w:val="1428A0"/>
                <w:sz w:val="22"/>
                <w:szCs w:val="22"/>
              </w:rPr>
              <w:t xml:space="preserve">SAMSUNG-SPECIFIC INSIGHT</w:t>
            </w:r>
          </w:p>
          <w:p>
            <w:pPr>
              <w:spacing w:after="0" w:line="276"/>
            </w:pPr>
            <w:r>
              <w:rPr>
                <w:rFonts w:ascii="Arial" w:cs="Arial" w:eastAsia="Arial" w:hAnsi="Arial"/>
                <w:color w:val="1C2833"/>
                <w:sz w:val="20"/>
                <w:szCs w:val="20"/>
              </w:rPr>
              <w:t xml:space="preserve">AMACE outputs: "EUV scanner 3 exhibiting 0.3nm overlay drift on layer 7 during night shift processing. Propagation path: overlay drift → etch CD variation → transistor Vt non-uniformity → yield loss. Predicted yield impact: -2.1% (confirmed). Estimated production loss: $4.2M over 3 days if uncorrected. Root cause: thermal stabilization variance on scanner 3 during night-shift ambient temperature cycling. Recommended: recalibrate scanner 3 thermal management, adjust night-shift chamber pre-conditioning protocol. Confidence: 0.93."</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PATENT VALUE</w:t>
            </w:r>
          </w:p>
          <w:p>
            <w:pPr>
              <w:spacing w:after="0" w:line="276"/>
            </w:pPr>
            <w:r>
              <w:rPr>
                <w:rFonts w:ascii="Arial" w:cs="Arial" w:eastAsia="Arial" w:hAnsi="Arial"/>
                <w:color w:val="1C2833"/>
                <w:sz w:val="20"/>
                <w:szCs w:val="20"/>
              </w:rPr>
              <w:t xml:space="preserve">Semiconductor fabrication is the highest-value application of AMACE — each percentage point of yield improvement is worth tens of millions of dollars annually. The dependent claim: "The method of Claim 1, wherein the observation stratum comprises semiconductor fabrication tool sensor data including lithography alignment measurements, chamber environmental readings, and in-line metrology data, the representation stratum comprises computed process capability indices and cross-step correlation features, and the inference stratum comprises yield prediction model outputs and virtual metrology estimates."</w:t>
            </w:r>
          </w:p>
        </w:tc>
      </w:tr>
    </w:tbl>
    <w:p>
      <w:r>
        <w:br w:type="page"/>
      </w:r>
    </w:p>
    <w:p>
      <w:pPr>
        <w:pStyle w:val="Heading1"/>
        <w:spacing w:after="200" w:before="400"/>
      </w:pPr>
      <w:r>
        <w:rPr>
          <w:rFonts w:ascii="Arial" w:cs="Arial" w:eastAsia="Arial" w:hAnsi="Arial"/>
          <w:b/>
          <w:bCs/>
          <w:color w:val="0F2B46"/>
          <w:sz w:val="32"/>
          <w:szCs w:val="32"/>
        </w:rPr>
        <w:t xml:space="preserve">6. Use Case 5: Galaxy AI OS — On-Device Intelligence Degradation</w:t>
      </w:r>
    </w:p>
    <w:p>
      <w:pPr>
        <w:pStyle w:val="Heading2"/>
        <w:spacing w:after="160" w:before="300"/>
      </w:pPr>
      <w:r>
        <w:rPr>
          <w:rFonts w:ascii="Arial" w:cs="Arial" w:eastAsia="Arial" w:hAnsi="Arial"/>
          <w:b/>
          <w:bCs/>
          <w:color w:val="0F2B46"/>
          <w:sz w:val="28"/>
          <w:szCs w:val="28"/>
        </w:rPr>
        <w:t xml:space="preserve">6.1 Problem Statement</w:t>
      </w:r>
    </w:p>
    <w:p>
      <w:pPr>
        <w:spacing w:after="140" w:line="276"/>
      </w:pPr>
      <w:r>
        <w:rPr>
          <w:rFonts w:ascii="Arial" w:cs="Arial" w:eastAsia="Arial" w:hAnsi="Arial"/>
          <w:b w:val="false"/>
          <w:bCs w:val="false"/>
          <w:i w:val="false"/>
          <w:iCs w:val="false"/>
          <w:color w:val="1C2833"/>
          <w:sz w:val="22"/>
          <w:szCs w:val="22"/>
        </w:rPr>
        <w:t xml:space="preserve">The Galaxy S26 series runs One UI 8.5 with deeply integrated Galaxy AI features: Personal Data Engine (on-device analysis of photos, calendar, messages for personalized intelligence), Now Nudge (context-aware action suggestions by analyzing on-screen content), Call Screening (AI-driven real-time call filtering with live transcription in 13 languages), Creative Studio (AI sticker/wallpaper generation), Enhanced Photo Assist (prompt-based photo editing), Bixby with agentic AI capabilities, Gemini Live integration with screen sharing, and Perplexity as a secondary AI agent. These features run on the Exynos 2600's 2nm NPU alongside Samsung Knox security enforcement and Knox Matrix cross-device trust chain.</w:t>
      </w:r>
    </w:p>
    <w:p>
      <w:pPr>
        <w:spacing w:after="60"/>
      </w:pPr>
    </w:p>
    <w:p>
      <w:pPr>
        <w:spacing w:after="140" w:line="276"/>
      </w:pPr>
      <w:r>
        <w:rPr>
          <w:rFonts w:ascii="Arial" w:cs="Arial" w:eastAsia="Arial" w:hAnsi="Arial"/>
          <w:b w:val="false"/>
          <w:bCs w:val="false"/>
          <w:i w:val="false"/>
          <w:iCs w:val="false"/>
          <w:color w:val="1C2833"/>
          <w:sz w:val="22"/>
          <w:szCs w:val="22"/>
        </w:rPr>
        <w:t xml:space="preserve">After several weeks of use, a user notices that Now Nudge suggestions feel "less relevant" — it used to suggest adding calendar events when texting about dinner plans, but now it misses these contexts. Call Screening's transcription accuracy seems slightly lower. Photo Assist takes noticeably longer to process edits. But none of these individual observations triggers any system diagnostic. The phone's health check reports everything normal. Knox security is green. Battery health is 97%.</w:t>
      </w:r>
    </w:p>
    <w:p>
      <w:pPr>
        <w:spacing w:after="60"/>
      </w:pPr>
    </w:p>
    <w:p>
      <w:pPr>
        <w:spacing w:after="140" w:line="276"/>
        <w:jc w:val="left"/>
      </w:pPr>
      <w:r>
        <w:rPr>
          <w:rFonts w:ascii="Arial" w:cs="Arial" w:eastAsia="Arial" w:hAnsi="Arial"/>
          <w:b/>
          <w:bCs/>
          <w:color w:val="1C2833"/>
          <w:sz w:val="22"/>
          <w:szCs w:val="22"/>
        </w:rPr>
        <w:t xml:space="preserve">The invisible cause: </w:t>
      </w:r>
      <w:r>
        <w:rPr>
          <w:rFonts w:ascii="Arial" w:cs="Arial" w:eastAsia="Arial" w:hAnsi="Arial"/>
          <w:color w:val="1C2833"/>
          <w:sz w:val="22"/>
          <w:szCs w:val="22"/>
        </w:rPr>
        <w:t xml:space="preserve">A Knox security policy update tightened memory isolation between AI model containers. This is correct security behavior — it prevents potential data leakage between AI agents. However, the tighter memory boundaries reduced the shared context cache that Personal Data Engine uses to maintain user behavior context across AI features. Now Nudge lost access to recent messaging context patterns. Call Screening's language model lost access to the user's learned vocabulary cache. Photo Assist's generative model is swapping to slower storage more frequently. Each AI feature degraded independently, for the same root cause, but the degradation is subtle enough that no individual feature's quality metric breaches its alert threshold.</w:t>
      </w:r>
    </w:p>
    <w:p>
      <w:pPr>
        <w:pStyle w:val="Heading2"/>
        <w:spacing w:after="160" w:before="300"/>
      </w:pPr>
      <w:r>
        <w:rPr>
          <w:rFonts w:ascii="Arial" w:cs="Arial" w:eastAsia="Arial" w:hAnsi="Arial"/>
          <w:b/>
          <w:bCs/>
          <w:color w:val="0F2B46"/>
          <w:sz w:val="28"/>
          <w:szCs w:val="28"/>
        </w:rPr>
        <w:t xml:space="preserve">6.2 Stratum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Stratum</w:t>
            </w:r>
          </w:p>
        </w:tc>
        <w:tc>
          <w:tcPr>
            <w:tcW w:type="dxa" w:w="34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Galaxy AI OS Mapping</w:t>
            </w:r>
          </w:p>
        </w:tc>
        <w:tc>
          <w:tcPr>
            <w:tcW w:type="dxa" w:w="45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Specific Data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S₀: Observation</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Raw system events: Knox policy update logs, memory allocation events, NPU utilization logs, model loading/unloading events, app lifecycle events, Personal Data Engine indexing operations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Knox policy update event at timestamp T, NPU memory partition boundaries changed, model swap-to-storage events increased 340%, Personal Data Engine context cache hits dropped from 94% to 61%</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S₁: Representation</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Computed system features: per-model inference latency distributions, context relevance scores per AI feature, battery drain attribution per AI model, memory pressure indices, model freshness metrics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Now Nudge context relevance score: 0.84 → 0.52, Call Screening transcription latency: +45ms, Photo Assist generation time: +1.8 seconds, battery drain from AI features: +14%, NPU thermal throttling frequency: +23%</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S₂: Inference</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Galaxy AI model outputs: Now Nudge action suggestion confidence scores, Call Screening intent classification accuracy, Photo Assist edit quality predictions, Bixby command understanding scores, user satisfaction predictions</w:t>
            </w:r>
          </w:p>
        </w:tc>
        <w:tc>
          <w:tcPr>
            <w:tcW w:type="dxa" w:w="45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Now Nudge suggestion acceptance rate (user behavioral proxy): 67% → 41%, Call Screening correct intent classification: 94% → 87%, Photo Assist user satisfaction (re-edit rate): +28%, Bixby first-try success rate: -8%</w:t>
            </w:r>
          </w:p>
        </w:tc>
      </w:tr>
    </w:tbl>
    <w:p>
      <w:pPr>
        <w:pStyle w:val="Heading2"/>
        <w:spacing w:after="160" w:before="300"/>
      </w:pPr>
      <w:r>
        <w:rPr>
          <w:rFonts w:ascii="Arial" w:cs="Arial" w:eastAsia="Arial" w:hAnsi="Arial"/>
          <w:b/>
          <w:bCs/>
          <w:color w:val="0F2B46"/>
          <w:sz w:val="28"/>
          <w:szCs w:val="28"/>
        </w:rPr>
        <w:t xml:space="preserve">6.3 How AMACE Solves This</w:t>
      </w:r>
    </w:p>
    <w:p>
      <w:pPr>
        <w:spacing w:after="140" w:line="276"/>
        <w:jc w:val="left"/>
      </w:pPr>
      <w:r>
        <w:rPr>
          <w:rFonts w:ascii="Arial" w:cs="Arial" w:eastAsia="Arial" w:hAnsi="Arial"/>
          <w:b/>
          <w:bCs/>
          <w:color w:val="1C2833"/>
          <w:sz w:val="22"/>
          <w:szCs w:val="22"/>
        </w:rPr>
        <w:t xml:space="preserve">SSIE </w:t>
      </w:r>
      <w:r>
        <w:rPr>
          <w:rFonts w:ascii="Arial" w:cs="Arial" w:eastAsia="Arial" w:hAnsi="Arial"/>
          <w:color w:val="1C2833"/>
          <w:sz w:val="22"/>
          <w:szCs w:val="22"/>
        </w:rPr>
        <w:t xml:space="preserve">maps the Galaxy AI ecosystem: identifies Knox policy events as system-level configuration changes, NPU allocation events as resource metrics, model inference logs as per-feature telemetry, and user interaction patterns as behavioral signals. All linked to the same device entity.</w:t>
      </w:r>
    </w:p>
    <w:p>
      <w:pPr>
        <w:spacing w:after="140" w:line="276"/>
        <w:jc w:val="left"/>
      </w:pPr>
      <w:r>
        <w:rPr>
          <w:rFonts w:ascii="Arial" w:cs="Arial" w:eastAsia="Arial" w:hAnsi="Arial"/>
          <w:b/>
          <w:bCs/>
          <w:color w:val="1C2833"/>
          <w:sz w:val="22"/>
          <w:szCs w:val="22"/>
        </w:rPr>
        <w:t xml:space="preserve">SADD </w:t>
      </w:r>
      <w:r>
        <w:rPr>
          <w:rFonts w:ascii="Arial" w:cs="Arial" w:eastAsia="Arial" w:hAnsi="Arial"/>
          <w:color w:val="1C2833"/>
          <w:sz w:val="22"/>
          <w:szCs w:val="22"/>
        </w:rPr>
        <w:t xml:space="preserve">detects synchronized degradation: four AI features (Now Nudge, Call Screening, Photo Assist, Bixby) all show distributional shifts in their quality metrics within the same 48-hour window post-Knox-update. No individual feature breaches its alert threshold, but the simultaneity is statistically improbable under independent failure assumptions.</w:t>
      </w:r>
    </w:p>
    <w:p>
      <w:pPr>
        <w:spacing w:after="140" w:line="276"/>
        <w:jc w:val="left"/>
      </w:pPr>
      <w:r>
        <w:rPr>
          <w:rFonts w:ascii="Arial" w:cs="Arial" w:eastAsia="Arial" w:hAnsi="Arial"/>
          <w:b/>
          <w:bCs/>
          <w:color w:val="1C2833"/>
          <w:sz w:val="22"/>
          <w:szCs w:val="22"/>
        </w:rPr>
        <w:t xml:space="preserve">CSCT </w:t>
      </w:r>
      <w:r>
        <w:rPr>
          <w:rFonts w:ascii="Arial" w:cs="Arial" w:eastAsia="Arial" w:hAnsi="Arial"/>
          <w:color w:val="1C2833"/>
          <w:sz w:val="22"/>
          <w:szCs w:val="22"/>
        </w:rPr>
        <w:t xml:space="preserve">correlates: Knox_policy_update(S₀) → context_cache_hit_drop(S₁) → [Now_Nudge_relevance_drop(S₂) + Call_Screening_accuracy_drop(S₂) + Photo_Assist_latency_increase(S₂) + Bixby_success_rate_drop(S₂)]. This is a one-to-many causal pattern: single root cause, four parallel effects. Entity coincidence: 100% (same device, same NPU, same memory subsystem).</w:t>
      </w:r>
    </w:p>
    <w:p>
      <w:pPr>
        <w:spacing w:after="140" w:line="276"/>
        <w:jc w:val="left"/>
      </w:pPr>
      <w:r>
        <w:rPr>
          <w:rFonts w:ascii="Arial" w:cs="Arial" w:eastAsia="Arial" w:hAnsi="Arial"/>
          <w:b/>
          <w:bCs/>
          <w:color w:val="1C2833"/>
          <w:sz w:val="22"/>
          <w:szCs w:val="22"/>
        </w:rPr>
        <w:t xml:space="preserve">CAP validates: </w:t>
      </w:r>
      <w:r>
        <w:rPr>
          <w:rFonts w:ascii="Arial" w:cs="Arial" w:eastAsia="Arial" w:hAnsi="Arial"/>
          <w:color w:val="1C2833"/>
          <w:sz w:val="22"/>
          <w:szCs w:val="22"/>
        </w:rPr>
        <w:t xml:space="preserve">Exclusivity: reverting Knox policy restores context cache performance and all four AI features recover. Sufficiency: the Knox policy change alone predicts all four degradations. Minimality: no additional factors needed — confirmed single root cause.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28A0" w:sz="1"/>
              <w:left w:val="single" w:color="1428A0" w:sz="8"/>
              <w:bottom w:val="single" w:color="1428A0" w:sz="1"/>
              <w:right w:val="single" w:color="1428A0" w:sz="1"/>
            </w:tcBorders>
            <w:shd w:fill="E8EAF6" w:val="clear"/>
            <w:tcMar>
              <w:top w:type="dxa" w:w="120"/>
              <w:left w:type="dxa" w:w="200"/>
              <w:bottom w:type="dxa" w:w="120"/>
              <w:right w:type="dxa" w:w="200"/>
            </w:tcMar>
          </w:tcPr>
          <w:p>
            <w:pPr>
              <w:spacing w:after="80"/>
            </w:pPr>
            <w:r>
              <w:rPr>
                <w:rFonts w:ascii="Arial" w:cs="Arial" w:eastAsia="Arial" w:hAnsi="Arial"/>
                <w:b/>
                <w:bCs/>
                <w:color w:val="1428A0"/>
                <w:sz w:val="22"/>
                <w:szCs w:val="22"/>
              </w:rPr>
              <w:t xml:space="preserve">SAMSUNG-SPECIFIC INSIGHT</w:t>
            </w:r>
          </w:p>
          <w:p>
            <w:pPr>
              <w:spacing w:after="0" w:line="276"/>
            </w:pPr>
            <w:r>
              <w:rPr>
                <w:rFonts w:ascii="Arial" w:cs="Arial" w:eastAsia="Arial" w:hAnsi="Arial"/>
                <w:color w:val="1C2833"/>
                <w:sz w:val="20"/>
                <w:szCs w:val="20"/>
              </w:rPr>
              <w:t xml:space="preserve">AMACE outputs: "Knox security policy update (version KP-2026-0412) tightened AI model memory isolation, reducing Personal Data Engine shared context cache hit rate from 94% to 61%. This caused synchronized degradation across four Galaxy AI features: Now Nudge relevance (-38%), Call Screening accuracy (-7%), Photo Assist latency (+1.8s), Bixby understanding (-8%). User-visible impact: suggestion acceptance rate dropped 39%. Root cause is a security-performance tradeoff. Recommended: increase shared context cache allocation within new Knox boundaries, or implement selective context sharing with Knox-approved encryption. Security posture can be maintained while restoring AI performance. Confidence: 0.96."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5B12" w:sz="1"/>
              <w:left w:val="single" w:color="C75B12" w:sz="8"/>
              <w:bottom w:val="single" w:color="C75B12" w:sz="1"/>
              <w:right w:val="single" w:color="C75B12" w:sz="1"/>
            </w:tcBorders>
            <w:shd w:fill="FDF2E9" w:val="clear"/>
            <w:tcMar>
              <w:top w:type="dxa" w:w="120"/>
              <w:left w:type="dxa" w:w="200"/>
              <w:bottom w:type="dxa" w:w="120"/>
              <w:right w:type="dxa" w:w="200"/>
            </w:tcMar>
          </w:tcPr>
          <w:p>
            <w:pPr>
              <w:spacing w:after="80"/>
            </w:pPr>
            <w:r>
              <w:rPr>
                <w:rFonts w:ascii="Arial" w:cs="Arial" w:eastAsia="Arial" w:hAnsi="Arial"/>
                <w:b/>
                <w:bCs/>
                <w:color w:val="C75B12"/>
                <w:sz w:val="22"/>
                <w:szCs w:val="22"/>
              </w:rPr>
              <w:t xml:space="preserve">PATENT VALUE</w:t>
            </w:r>
          </w:p>
          <w:p>
            <w:pPr>
              <w:spacing w:after="0" w:line="276"/>
            </w:pPr>
            <w:r>
              <w:rPr>
                <w:rFonts w:ascii="Arial" w:cs="Arial" w:eastAsia="Arial" w:hAnsi="Arial"/>
                <w:color w:val="1C2833"/>
                <w:sz w:val="20"/>
                <w:szCs w:val="20"/>
              </w:rPr>
              <w:t xml:space="preserve">This use case demonstrates AMACE detecting emergent system-level behavior in an on-device AI stack — where security, resource management, and multiple AI models interact in ways no single-layer monitor can observe. Dependent claim: "The method of Claim 1, wherein the observation stratum comprises on-device security policy events and AI model resource allocation telemetry, the representation stratum comprises computed per-model inference quality metrics and system resource utilization features, and the inference stratum comprises multiple concurrent AI model output quality scores and user behavioral engagement metrics, and wherein the method detects correlated degradation across multiple AI models sharing common device resources."</w:t>
            </w:r>
          </w:p>
        </w:tc>
      </w:tr>
    </w:tbl>
    <w:p>
      <w:r>
        <w:br w:type="page"/>
      </w:r>
    </w:p>
    <w:p>
      <w:pPr>
        <w:pStyle w:val="Heading1"/>
        <w:spacing w:after="200" w:before="400"/>
      </w:pPr>
      <w:r>
        <w:rPr>
          <w:rFonts w:ascii="Arial" w:cs="Arial" w:eastAsia="Arial" w:hAnsi="Arial"/>
          <w:b/>
          <w:bCs/>
          <w:color w:val="0F2B46"/>
          <w:sz w:val="32"/>
          <w:szCs w:val="32"/>
        </w:rPr>
        <w:t xml:space="preserve">7. Samsung Ecosystem Dependent Claims — Consolidated</w:t>
      </w:r>
    </w:p>
    <w:p>
      <w:pPr>
        <w:spacing w:after="140" w:line="276"/>
      </w:pPr>
      <w:r>
        <w:rPr>
          <w:rFonts w:ascii="Arial" w:cs="Arial" w:eastAsia="Arial" w:hAnsi="Arial"/>
          <w:b w:val="false"/>
          <w:bCs w:val="false"/>
          <w:i w:val="false"/>
          <w:iCs w:val="false"/>
          <w:color w:val="1C2833"/>
          <w:sz w:val="22"/>
          <w:szCs w:val="22"/>
        </w:rPr>
        <w:t xml:space="preserve">The following dependent claims should be added to the AMACE specification to cover the Samsung ecosystem embodiments: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Name</w:t>
            </w:r>
          </w:p>
        </w:tc>
        <w:tc>
          <w:tcPr>
            <w:tcW w:type="dxa" w:w="6360"/>
            <w:tcBorders>
              <w:top w:val="single" w:color="BDC3C7" w:sz="1"/>
              <w:left w:val="single" w:color="BDC3C7" w:sz="1"/>
              <w:bottom w:val="single" w:color="BDC3C7" w:sz="1"/>
              <w:right w:val="single" w:color="BDC3C7" w:sz="1"/>
            </w:tcBorders>
            <w:shd w:fill="0F2B46" w:val="clear"/>
            <w:tcMar>
              <w:top w:type="dxa" w:w="80"/>
              <w:left w:type="dxa" w:w="120"/>
              <w:bottom w:type="dxa" w:w="80"/>
              <w:right w:type="dxa" w:w="120"/>
            </w:tcMar>
          </w:tcPr>
          <w:p>
            <w:r>
              <w:rPr>
                <w:rFonts w:ascii="Arial" w:cs="Arial" w:eastAsia="Arial" w:hAnsi="Arial"/>
                <w:b/>
                <w:bCs/>
                <w:color w:val="FFFFFF"/>
                <w:sz w:val="20"/>
                <w:szCs w:val="20"/>
              </w:rPr>
              <w:t xml:space="preserve">Claim Language</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15</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SmartThings Embodiment</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the observation stratum comprises device telemetry from a plurality of smart home devices connected via a smart home platform supporting heterogeneous communication protocols, the representation stratum comprises computed energy consumption profiles, device health metrics, and environmental quality indices aggregated across the platform, and the inference stratum comprises AI-driven home automation optimization decisions and predictive maintenance outputs.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16</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Camera Pipeline Embodiment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the observation stratum comprises image sensor output data and image signal processing pipeline stage outputs from a multi-stage camera system, the representation stratum comprises computed per-frame image quality metrics and scene classification confidence distributions, and the inference stratum comprises AI-driven image enhancement model outputs and user editing behavior telemetry.</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17</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Foldable Device Embodiment</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the observation stratum comprises mechanical hinge sensor telemetry, flexible display electrical diagnostics, and fold angle measurements from a foldable computing device, the representation stratum comprises computed display quality metrics including fold-angle-dependent compensation accuracy, and the inference stratum comprises software adaptation model outputs for fold-state-specific user interface configurations.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18</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Semiconductor Fabrication Embodiment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the observation stratum comprises semiconductor fabrication tool sensor data including lithography alignment, chamber environmental readings, and in-line metrology, the representation stratum comprises computed statistical process control indices and cross-step process correlation features, and the inference stratum comprises yield prediction model outputs and virtual metrology estimates.</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19</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On-Device AI Stack Embodiment</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the observation stratum comprises security policy events and AI model resource allocation telemetry on a mobile computing device, the representation stratum comprises per-model inference latency and quality metrics, and the inference stratum comprises multiple concurrent AI model output quality scores, and wherein the method detects correlated quality degradation across multiple AI models sharing common device resources.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Cross-Ecosystem Correlation</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wherein Deviation Signature Tensors are generated from devices spanning multiple Samsung product categories including smartphones, smart home appliances, wearable devices, and display systems, and wherein the cross-stratum causal tensor correlates anomalies across device category boundaries through the SmartThings platform.</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21</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Knox-Secured Correlation</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 further comprising encrypting Deviation Signature Tensors using a hardware-backed security platform prior to cross-stratum comparison, and performing the correlation computation within a trusted execution environment to prevent exposure of raw device telemetry.</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22</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Multi-Protocol Smart Home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15, wherein the smart home platform aggregates device telemetry across Matter, Zigbee, Z-Wave, WiFi, and Bluetooth communication protocols, and wherein the Stratum Schema Inference Engine automatically resolves entity identifiers across protocol boundaries without manual device pairing configuration.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23</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Foldable Manufacturing QA</w:t>
            </w:r>
          </w:p>
        </w:tc>
        <w:tc>
          <w:tcPr>
            <w:tcW w:type="dxa" w:w="6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17, further comprising correlating manufacturing batch identifiers with field-observed fold-angle-dependent anomalies to identify production batches requiring targeted quality intervention.</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bCs/>
                <w:color w:val="1C2833"/>
                <w:sz w:val="20"/>
                <w:szCs w:val="20"/>
              </w:rPr>
              <w:t xml:space="preserve">24</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AI Performance-Security Tradeoff</w:t>
            </w:r>
          </w:p>
        </w:tc>
        <w:tc>
          <w:tcPr>
            <w:tcW w:type="dxa" w:w="6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40" w:line="260"/>
            </w:pPr>
            <w:r>
              <w:rPr>
                <w:rFonts w:ascii="Arial" w:cs="Arial" w:eastAsia="Arial" w:hAnsi="Arial"/>
                <w:b w:val="false"/>
                <w:bCs w:val="false"/>
                <w:color w:val="1C2833"/>
                <w:sz w:val="20"/>
                <w:szCs w:val="20"/>
              </w:rPr>
              <w:t xml:space="preserve">The method of Claim 19, further comprising generating a remediation recommendation that specifies resource allocation adjustments to restore AI model performance while maintaining the security policy constraints that caused the degradation.</w:t>
            </w:r>
          </w:p>
        </w:tc>
      </w:tr>
    </w:tbl>
    <w:p>
      <w:r>
        <w:br w:type="page"/>
      </w:r>
    </w:p>
    <w:p>
      <w:pPr>
        <w:pStyle w:val="Heading1"/>
        <w:spacing w:after="200" w:before="400"/>
      </w:pPr>
      <w:r>
        <w:rPr>
          <w:rFonts w:ascii="Arial" w:cs="Arial" w:eastAsia="Arial" w:hAnsi="Arial"/>
          <w:b/>
          <w:bCs/>
          <w:color w:val="0F2B46"/>
          <w:sz w:val="32"/>
          <w:szCs w:val="32"/>
        </w:rPr>
        <w:t xml:space="preserve">8. Strategic Value of Samsung Embodiments</w:t>
      </w:r>
    </w:p>
    <w:p>
      <w:pPr>
        <w:spacing w:after="140" w:line="276"/>
      </w:pPr>
      <w:r>
        <w:rPr>
          <w:rFonts w:ascii="Arial" w:cs="Arial" w:eastAsia="Arial" w:hAnsi="Arial"/>
          <w:b w:val="false"/>
          <w:bCs w:val="false"/>
          <w:i w:val="false"/>
          <w:iCs w:val="false"/>
          <w:color w:val="1C2833"/>
          <w:sz w:val="22"/>
          <w:szCs w:val="22"/>
        </w:rPr>
        <w:t xml:space="preserve">These five Samsung-specific use cases strengthen the AMACE patent portfolio in four critical dimensions:</w:t>
      </w:r>
    </w:p>
    <w:p>
      <w:pPr>
        <w:pStyle w:val="ListParagraph"/>
        <w:numPr>
          <w:ilvl w:val="0"/>
          <w:numId w:val="2"/>
        </w:numPr>
        <w:spacing w:after="80" w:line="276"/>
      </w:pPr>
      <w:r>
        <w:rPr>
          <w:rFonts w:ascii="Arial" w:cs="Arial" w:eastAsia="Arial" w:hAnsi="Arial"/>
          <w:b/>
          <w:bCs/>
          <w:color w:val="1C2833"/>
          <w:sz w:val="22"/>
          <w:szCs w:val="22"/>
        </w:rPr>
        <w:t xml:space="preserve">Breadth of Coverage: </w:t>
      </w:r>
      <w:r>
        <w:rPr>
          <w:rFonts w:ascii="Arial" w:cs="Arial" w:eastAsia="Arial" w:hAnsi="Arial"/>
          <w:color w:val="1C2833"/>
          <w:sz w:val="22"/>
          <w:szCs w:val="22"/>
        </w:rPr>
        <w:t xml:space="preserve">The dependent claims cover Samsung's five major business divisions — Mobile (Galaxy AI OS, camera, foldables), Semiconductor (foundry, memory), and Consumer Electronics (SmartThings, appliances). Any competitor entering Samsung's markets would need to license or design around these claims.</w:t>
      </w:r>
    </w:p>
    <w:p>
      <w:pPr>
        <w:pStyle w:val="ListParagraph"/>
        <w:numPr>
          <w:ilvl w:val="0"/>
          <w:numId w:val="2"/>
        </w:numPr>
        <w:spacing w:after="80" w:line="276"/>
      </w:pPr>
      <w:r>
        <w:rPr>
          <w:rFonts w:ascii="Arial" w:cs="Arial" w:eastAsia="Arial" w:hAnsi="Arial"/>
          <w:b/>
          <w:bCs/>
          <w:color w:val="1C2833"/>
          <w:sz w:val="22"/>
          <w:szCs w:val="22"/>
        </w:rPr>
        <w:t xml:space="preserve">Enforceability: </w:t>
      </w:r>
      <w:r>
        <w:rPr>
          <w:rFonts w:ascii="Arial" w:cs="Arial" w:eastAsia="Arial" w:hAnsi="Arial"/>
          <w:color w:val="1C2833"/>
          <w:sz w:val="22"/>
          <w:szCs w:val="22"/>
        </w:rPr>
        <w:t xml:space="preserve">SmartThings Energy dashboard showing cross-device causal insights, Galaxy Camera showing ISP-to-AI correlation warnings, and One UI displaying AI performance diagnostics are all externally observable UI outputs. A competitor's infringement can be detected through product screenshots alone.</w:t>
      </w:r>
    </w:p>
    <w:p>
      <w:pPr>
        <w:pStyle w:val="ListParagraph"/>
        <w:numPr>
          <w:ilvl w:val="0"/>
          <w:numId w:val="2"/>
        </w:numPr>
        <w:spacing w:after="80" w:line="276"/>
      </w:pPr>
      <w:r>
        <w:rPr>
          <w:rFonts w:ascii="Arial" w:cs="Arial" w:eastAsia="Arial" w:hAnsi="Arial"/>
          <w:b/>
          <w:bCs/>
          <w:color w:val="1C2833"/>
          <w:sz w:val="22"/>
          <w:szCs w:val="22"/>
        </w:rPr>
        <w:t xml:space="preserve">Defensive Value: </w:t>
      </w:r>
      <w:r>
        <w:rPr>
          <w:rFonts w:ascii="Arial" w:cs="Arial" w:eastAsia="Arial" w:hAnsi="Arial"/>
          <w:color w:val="1C2833"/>
          <w:sz w:val="22"/>
          <w:szCs w:val="22"/>
        </w:rPr>
        <w:t xml:space="preserve">The semiconductor fabrication embodiment (Claim 18) is particularly valuable defensively — any competitor building an AI-driven semiconductor yield management system must either license AMACE or prove their approach does not use cross-stratum correlation with counterfactual validation.</w:t>
      </w:r>
    </w:p>
    <w:p>
      <w:pPr>
        <w:pStyle w:val="ListParagraph"/>
        <w:numPr>
          <w:ilvl w:val="0"/>
          <w:numId w:val="2"/>
        </w:numPr>
        <w:spacing w:after="80" w:line="276"/>
      </w:pPr>
      <w:r>
        <w:rPr>
          <w:rFonts w:ascii="Arial" w:cs="Arial" w:eastAsia="Arial" w:hAnsi="Arial"/>
          <w:b/>
          <w:bCs/>
          <w:color w:val="1C2833"/>
          <w:sz w:val="22"/>
          <w:szCs w:val="22"/>
        </w:rPr>
        <w:t xml:space="preserve">Ecosystem Lock-in: </w:t>
      </w:r>
      <w:r>
        <w:rPr>
          <w:rFonts w:ascii="Arial" w:cs="Arial" w:eastAsia="Arial" w:hAnsi="Arial"/>
          <w:color w:val="1C2833"/>
          <w:sz w:val="22"/>
          <w:szCs w:val="22"/>
        </w:rPr>
        <w:t xml:space="preserve">The cross-ecosystem correlation claim (Claim 20) covers the unique Samsung advantage: correlating anomalies between a user's Galaxy phone, SmartThings home, Galaxy Watch health data, and Samsung TV through a unified platform. No competitor has this cross-category device reach.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FB5" w:sz="1"/>
              <w:left w:val="single" w:color="1A6FB5" w:sz="8"/>
              <w:bottom w:val="single" w:color="1A6FB5" w:sz="1"/>
              <w:right w:val="single" w:color="1A6FB5" w:sz="1"/>
            </w:tcBorders>
            <w:shd w:fill="D6E8F7" w:val="clear"/>
            <w:tcMar>
              <w:top w:type="dxa" w:w="120"/>
              <w:left w:type="dxa" w:w="200"/>
              <w:bottom w:type="dxa" w:w="120"/>
              <w:right w:type="dxa" w:w="200"/>
            </w:tcMar>
          </w:tcPr>
          <w:p>
            <w:pPr>
              <w:spacing w:after="80"/>
            </w:pPr>
            <w:r>
              <w:rPr>
                <w:rFonts w:ascii="Arial" w:cs="Arial" w:eastAsia="Arial" w:hAnsi="Arial"/>
                <w:b/>
                <w:bCs/>
                <w:color w:val="0F2B46"/>
                <w:sz w:val="22"/>
                <w:szCs w:val="22"/>
              </w:rPr>
              <w:t xml:space="preserve">BOTTOM LINE</w:t>
            </w:r>
          </w:p>
          <w:p>
            <w:pPr>
              <w:spacing w:after="0" w:line="276"/>
            </w:pPr>
            <w:r>
              <w:rPr>
                <w:rFonts w:ascii="Arial" w:cs="Arial" w:eastAsia="Arial" w:hAnsi="Arial"/>
                <w:color w:val="0F2B46"/>
                <w:sz w:val="20"/>
                <w:szCs w:val="20"/>
              </w:rPr>
              <w:t xml:space="preserve">The Samsung ecosystem embodiments transform AMACE from a generic domain-agnostic framework into a specifically grounded patent portfolio with claims covering Samsung's most commercially significant product lines. The five use cases demonstrate concrete, high-value applications where AMACE produces insights worth millions of dollars (semiconductor yield), prevents user-impacting quality issues (camera, foldables, AI OS), and enables new product capabilities (cross-device SmartThings intelligence). Each use case maps precisely to Samsung's current 2026 product strategy: SmartThings as the home intelligence platform, Galaxy AI as the on-device intelligence layer, foldables as the premium form factor, 2nm foundry as the semiconductor platform, and the 200MP ProVisual camera system as the imaging leader.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28A0" w:sz="1" w:space="4"/>
      </w:pBdr>
      <w:jc w:val="center"/>
    </w:pPr>
    <w:r>
      <w:rPr>
        <w:rFonts w:ascii="Arial" w:cs="Arial" w:eastAsia="Arial" w:hAnsi="Arial"/>
        <w:color w:val="5D6D7E"/>
        <w:sz w:val="18"/>
        <w:szCs w:val="18"/>
      </w:rPr>
      <w:t xml:space="preserve">CONFIDENTIAL — 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8A0" w:sz="2" w:space="4"/>
      </w:pBdr>
      <w:jc w:val="right"/>
    </w:pPr>
    <w:r>
      <w:rPr>
        <w:rFonts w:ascii="Arial" w:cs="Arial" w:eastAsia="Arial" w:hAnsi="Arial"/>
        <w:i/>
        <w:iCs/>
        <w:color w:val="5D6D7E"/>
        <w:sz w:val="18"/>
        <w:szCs w:val="18"/>
      </w:rPr>
      <w:t xml:space="preserve">AMACE — Samsung Ecosystem Preferred Embodiments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B4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F2B4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6F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2026-04-07T14:31:07.566Z</dcterms:created>
  <dcterms:modified xsi:type="dcterms:W3CDTF">2026-04-07T14:31:07.567Z</dcterms:modified>
</cp:coreProperties>
</file>

<file path=docProps/custom.xml><?xml version="1.0" encoding="utf-8"?>
<Properties xmlns="http://schemas.openxmlformats.org/officeDocument/2006/custom-properties" xmlns:vt="http://schemas.openxmlformats.org/officeDocument/2006/docPropsVTypes"/>
</file>