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Legacy Application Documentation &amp; Validation</w:t>
        <w:br/>
        <w:t>Cursor Master Prompt</w:t>
      </w:r>
    </w:p>
    <w:p>
      <w:pPr>
        <w:jc w:val="center"/>
      </w:pPr>
      <w:r>
        <w:rPr>
          <w:i/>
        </w:rPr>
        <w:t>Reusable prompt for repository analysis, dependency mapping, documentation, and reporting</w:t>
      </w:r>
    </w:p>
    <w:p>
      <w:pPr>
        <w:pStyle w:val="Heading1"/>
      </w:pPr>
      <w:r>
        <w:t>Purpose</w:t>
      </w:r>
    </w:p>
    <w:p>
      <w:r>
        <w:t>This document contains a high-level master prompt to run in Cursor Agent mode against the legacy application repository. It guides Cursor to inspect existing source code and artifacts, improve the existing documentation and Cursor Skills, validate dependencies, and produce an evidence-based documentation package.</w:t>
      </w:r>
    </w:p>
    <w:p>
      <w:pPr>
        <w:pStyle w:val="Heading1"/>
      </w:pPr>
      <w:r>
        <w:t>How to Use</w:t>
      </w:r>
    </w:p>
    <w:p>
      <w:pPr>
        <w:pStyle w:val="ListNumber"/>
      </w:pPr>
      <w:r>
        <w:t>Open the legacy application repository in Cursor.</w:t>
      </w:r>
    </w:p>
    <w:p>
      <w:pPr>
        <w:pStyle w:val="ListNumber"/>
      </w:pPr>
      <w:r>
        <w:t>Switch to Agent mode.</w:t>
      </w:r>
    </w:p>
    <w:p>
      <w:pPr>
        <w:pStyle w:val="ListNumber"/>
      </w:pPr>
      <w:r>
        <w:t>Copy the complete master prompt from the section below and paste it into Cursor.</w:t>
      </w:r>
    </w:p>
    <w:p>
      <w:pPr>
        <w:pStyle w:val="ListNumber"/>
      </w:pPr>
      <w:r>
        <w:t>Review the proposed plan and inspect the changes before approving significant source-code or build-configuration changes.</w:t>
      </w:r>
    </w:p>
    <w:p>
      <w:pPr>
        <w:pStyle w:val="ListNumber"/>
      </w:pPr>
      <w:r>
        <w:t>Review the generated reports and confirm any SME-dependent findings with the appropriate subject-matter experts.</w:t>
      </w:r>
    </w:p>
    <w:p>
      <w:pPr>
        <w:pStyle w:val="Heading1"/>
      </w:pPr>
      <w:r>
        <w:t>High-Level Master Prompt</w:t>
      </w:r>
    </w:p>
    <w:p>
      <w:pPr>
        <w:pStyle w:val="Heading2"/>
      </w:pPr>
      <w:r>
        <w:t>Role and objective</w:t>
      </w:r>
    </w:p>
    <w:p>
      <w:r>
        <w:t>Act as a senior legacy application analyst, IBM i/AS400 developer, dependency analysis expert, and technical documentation specialist.</w:t>
      </w:r>
    </w:p>
    <w:p>
      <w:r>
        <w:t>Review the entire existing repository, source code, build configuration, generated documentation, and existing Cursor Skills. Improve the current implementation and complete all outstanding documentation, dependency analysis, validation, and reporting activities in one end-to-end workflow.</w:t>
      </w:r>
    </w:p>
    <w:p>
      <w:pPr>
        <w:pStyle w:val="Heading2"/>
      </w:pPr>
      <w:r>
        <w:t>1. Source discovery</w:t>
      </w:r>
    </w:p>
    <w:p>
      <w:r>
        <w:t>Inventory all source files, programs, copybooks, screens, database files, service programs, binding directories, build scripts, tests, runtime libraries, configuration files, and CCSID settings. Reconcile the source inventory with the existing documentation.</w:t>
      </w:r>
    </w:p>
    <w:p>
      <w:pPr>
        <w:pStyle w:val="Heading2"/>
      </w:pPr>
      <w:r>
        <w:t>2. Unresolved dependencies</w:t>
      </w:r>
    </w:p>
    <w:p>
      <w:r>
        <w:t>Investigate ORD500, CUS200, PRO203, and other unresolved references. Classify each reference as Resolved, External, Missing, or Unverified. Record the referencing program, source path and line where available, supporting evidence, impacted business scenarios, and recommended next action. Do not assume a target is missing solely because its source is absent from the repository.</w:t>
      </w:r>
    </w:p>
    <w:p>
      <w:pPr>
        <w:pStyle w:val="Heading2"/>
      </w:pPr>
      <w:r>
        <w:t>3. Build and runtime configuration</w:t>
      </w:r>
    </w:p>
    <w:p>
      <w:r>
        <w:t>Analyze QBNDSRC/SAMPLE.BNDDIR, binding-directory entries, service-program targets, and build configuration. Investigate why QTRGSRC and QTESTSRC are excluded from the default build. Verify build dependencies, runtime libraries/library lists, and source CCSID settings. Separate confirmed findings from assumptions that require build-engineer or SME confirmation.</w:t>
      </w:r>
    </w:p>
    <w:p>
      <w:pPr>
        <w:pStyle w:val="Heading2"/>
      </w:pPr>
      <w:r>
        <w:t>4. Dependency matrices</w:t>
      </w:r>
    </w:p>
    <w:p>
      <w:r>
        <w:t>Generate complete program-to-program (caller-to-callee), program-to-copybook, program-to-file, program-to-screen, and program-to-service-program/build-target matrices. Include dependency type, source location, resolution status, business scenario, and evidence wherever available.</w:t>
      </w:r>
    </w:p>
    <w:p>
      <w:pPr>
        <w:pStyle w:val="Heading2"/>
      </w:pPr>
      <w:r>
        <w:t>5. Business rules and scenarios</w:t>
      </w:r>
    </w:p>
    <w:p>
      <w:r>
        <w:t>Extract business rules, validations, calculations, conditions, processing flows, data updates, and exception handling directly from the original source code. Map each scenario to related programs, screens, files, copybooks, and dependencies. Include source paths and line references wherever possible. Identify documentation gaps and items requiring SME confirmation.</w:t>
      </w:r>
    </w:p>
    <w:p>
      <w:pPr>
        <w:pStyle w:val="Heading2"/>
      </w:pPr>
      <w:r>
        <w:t>6. Update the six Cursor Skills</w:t>
      </w:r>
    </w:p>
    <w:p>
      <w:r>
        <w:t>Inspect and improve the existing Discovery, Dependency Analysis, Business-Rule Extraction, Documentation Generation, Validation, and Reporting Skills. Make them reusable and evidence-driven, and ensure they detect missing source references, unresolved dependencies, incomplete mappings, unsupported documentation claims, and coverage gaps. Avoid duplicate skills or breaking existing functionality.</w:t>
      </w:r>
    </w:p>
    <w:p>
      <w:pPr>
        <w:pStyle w:val="Heading2"/>
      </w:pPr>
      <w:r>
        <w:t>7. Excel workbook</w:t>
      </w:r>
    </w:p>
    <w:p>
      <w:r>
        <w:t>Generate a structured Excel workbook for one or two representative, source-verified business scenarios. Include scenario descriptions, business rules, related programs, screens, files, dependencies, source evidence, validation status, unresolved gaps, and SME questions. Include genuine screenshots only when actual screenshots are available or can be captured from the real application. Never fabricate screenshots.</w:t>
      </w:r>
    </w:p>
    <w:p>
      <w:pPr>
        <w:pStyle w:val="Heading2"/>
      </w:pPr>
      <w:r>
        <w:t>8. Automated validation</w:t>
      </w:r>
    </w:p>
    <w:p>
      <w:r>
        <w:t>Implement or improve reusable validation scripts, using existing repository tooling where practical, to compare source inventory, build configuration, dependency references, generated documentation, and workbook contents. Execute safe checks that are feasible and record actual results, skipped checks, failures, and blockers.</w:t>
      </w:r>
    </w:p>
    <w:p>
      <w:pPr>
        <w:pStyle w:val="Heading2"/>
      </w:pPr>
      <w:r>
        <w:t>9. Documentation package and reports</w:t>
      </w:r>
    </w:p>
    <w:p>
      <w:r>
        <w:t>Generate or update an organized documentation package containing:</w:t>
        <w:br/>
        <w:t>- Source inventory and dependency matrices.</w:t>
        <w:br/>
        <w:t>- Program and business-scenario documentation.</w:t>
        <w:br/>
        <w:t>- Build and runtime dependency analysis.</w:t>
        <w:br/>
        <w:t>- Unresolved dependency register.</w:t>
        <w:br/>
        <w:t>- Documentation coverage report.</w:t>
        <w:br/>
        <w:t>- Build and test readiness report.</w:t>
        <w:br/>
        <w:t>- SME clarification and sign-off report.</w:t>
        <w:br/>
        <w:t>- Validation evidence and execution summary.</w:t>
        <w:br/>
        <w:t>- Excel workbook and updated Cursor Skills.</w:t>
        <w:br/>
        <w:t>- A final findings and limitations summary.</w:t>
      </w:r>
    </w:p>
    <w:p>
      <w:pPr>
        <w:pStyle w:val="Heading2"/>
      </w:pPr>
      <w:r>
        <w:t>Execution rules</w:t>
      </w:r>
    </w:p>
    <w:p>
      <w:r>
        <w:t>First inspect the repository and existing artifacts, then provide a concise implementation plan and execute the work systematically. Reuse existing documentation where appropriate and preserve application behavior. Avoid unrelated modifications and do not make significant application-source or production build-configuration changes without evidence and approval.</w:t>
      </w:r>
    </w:p>
    <w:p>
      <w:r>
        <w:t>Never invent programs, dependencies, business rules, screenshots, build/test results, or SME approvals. Clearly distinguish verified findings, partially verified findings, unverified items, blockers, and items requiring external confirmation.</w:t>
      </w:r>
    </w:p>
    <w:p>
      <w:r>
        <w:t>Organize outputs in an appropriate existing or newly created documentation folder. Validate generated files for completeness and consistency. At completion, summarize files created or updated, validation results, coverage metrics and denominators, unresolved dependencies, business impacts, blockers, SME questions, and remaining actions.</w:t>
      </w:r>
    </w:p>
    <w:p>
      <w:r>
        <w:t>Target: complete the available work by EOD and provide an evidence-based, review-ready documentation package. Clearly report anything that cannot be completed or verified.</w:t>
      </w:r>
    </w:p>
    <w:p>
      <w:pPr>
        <w:pStyle w:val="Heading1"/>
      </w:pPr>
      <w:r>
        <w:t>Expected Deliverables</w:t>
      </w:r>
    </w:p>
    <w:p>
      <w:pPr>
        <w:pStyle w:val="ListBullet"/>
      </w:pPr>
      <w:r>
        <w:t>Complete source inventory and dependency matrices.</w:t>
      </w:r>
    </w:p>
    <w:p>
      <w:pPr>
        <w:pStyle w:val="ListBullet"/>
      </w:pPr>
      <w:r>
        <w:t>Business-scenario documentation with source traceability.</w:t>
      </w:r>
    </w:p>
    <w:p>
      <w:pPr>
        <w:pStyle w:val="ListBullet"/>
      </w:pPr>
      <w:r>
        <w:t>Build/runtime configuration findings and unresolved dependency register.</w:t>
      </w:r>
    </w:p>
    <w:p>
      <w:pPr>
        <w:pStyle w:val="ListBullet"/>
      </w:pPr>
      <w:r>
        <w:t>Updated six Cursor Skills and usage instructions.</w:t>
      </w:r>
    </w:p>
    <w:p>
      <w:pPr>
        <w:pStyle w:val="ListBullet"/>
      </w:pPr>
      <w:r>
        <w:t>Excel workbook covering one or two verified business scenarios.</w:t>
      </w:r>
    </w:p>
    <w:p>
      <w:pPr>
        <w:pStyle w:val="ListBullet"/>
      </w:pPr>
      <w:r>
        <w:t>Coverage, unresolved-dependency, build/test-readiness, and SME clarification reports.</w:t>
      </w:r>
    </w:p>
    <w:p>
      <w:pPr>
        <w:pStyle w:val="ListBullet"/>
      </w:pPr>
      <w:r>
        <w:t>Validation evidence, limitations, and final execution summary.</w:t>
      </w:r>
    </w:p>
    <w:p>
      <w:pPr>
        <w:pStyle w:val="Heading1"/>
      </w:pPr>
      <w:r>
        <w:t>Important Validation Principle</w:t>
      </w:r>
    </w:p>
    <w:p>
      <w:r>
        <w:t>Generated documentation is not proof that a dependency or business rule is correct. Findings must be traced to actual source/configuration evidence. External dependencies, unavailable runtime objects, and pending SME confirmations must remain explicitly unresolved until verified.</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