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261" w:lineRule="auto" w:before="71"/>
        <w:ind w:left="6865" w:right="142" w:firstLine="2078"/>
        <w:jc w:val="right"/>
      </w:pPr>
      <w:r>
        <w:rPr/>
        <w:drawing>
          <wp:anchor distT="0" distB="0" distL="0" distR="0" allowOverlap="1" layoutInCell="1" locked="0" behindDoc="0" simplePos="0" relativeHeight="15728640">
            <wp:simplePos x="0" y="0"/>
            <wp:positionH relativeFrom="page">
              <wp:posOffset>702530</wp:posOffset>
            </wp:positionH>
            <wp:positionV relativeFrom="paragraph">
              <wp:posOffset>207732</wp:posOffset>
            </wp:positionV>
            <wp:extent cx="755116" cy="208731"/>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755116" cy="208731"/>
                    </a:xfrm>
                    <a:prstGeom prst="rect">
                      <a:avLst/>
                    </a:prstGeom>
                  </pic:spPr>
                </pic:pic>
              </a:graphicData>
            </a:graphic>
          </wp:anchor>
        </w:drawing>
      </w:r>
      <w:r>
        <w:rPr/>
        <w:t>Cognizant,                                  No. 5/535 Old Mahabalipuram </w:t>
      </w:r>
      <w:r>
        <w:rPr>
          <w:spacing w:val="20"/>
        </w:rPr>
        <w:t> </w:t>
      </w:r>
      <w:r>
        <w:rPr/>
        <w:t>Road,</w:t>
      </w:r>
    </w:p>
    <w:p>
      <w:pPr>
        <w:spacing w:line="261" w:lineRule="auto" w:before="0"/>
        <w:ind w:left="8045" w:right="142" w:hanging="242"/>
        <w:jc w:val="right"/>
        <w:rPr>
          <w:b/>
          <w:sz w:val="17"/>
        </w:rPr>
      </w:pPr>
      <w:r>
        <w:rPr>
          <w:b/>
          <w:sz w:val="17"/>
        </w:rPr>
        <w:t>Okkiyam</w:t>
      </w:r>
      <w:r>
        <w:rPr>
          <w:b/>
          <w:spacing w:val="19"/>
          <w:sz w:val="17"/>
        </w:rPr>
        <w:t> </w:t>
      </w:r>
      <w:r>
        <w:rPr>
          <w:b/>
          <w:sz w:val="17"/>
        </w:rPr>
        <w:t>Thoraipakkam,</w:t>
      </w:r>
      <w:r>
        <w:rPr>
          <w:b/>
          <w:spacing w:val="1"/>
          <w:w w:val="102"/>
          <w:sz w:val="17"/>
        </w:rPr>
        <w:t> </w:t>
      </w:r>
      <w:r>
        <w:rPr>
          <w:b/>
          <w:sz w:val="17"/>
        </w:rPr>
        <w:t>Chennai-600097,India</w:t>
      </w:r>
    </w:p>
    <w:p>
      <w:pPr>
        <w:pStyle w:val="BodyText"/>
        <w:spacing w:before="3"/>
        <w:rPr>
          <w:b/>
          <w:sz w:val="23"/>
        </w:rPr>
      </w:pPr>
    </w:p>
    <w:p>
      <w:pPr>
        <w:spacing w:before="98"/>
        <w:ind w:left="146" w:right="0" w:firstLine="0"/>
        <w:jc w:val="left"/>
        <w:rPr>
          <w:b/>
          <w:sz w:val="17"/>
        </w:rPr>
      </w:pPr>
      <w:r>
        <w:rPr>
          <w:b/>
          <w:sz w:val="17"/>
        </w:rPr>
        <w:t>December 14, 2020</w:t>
      </w:r>
    </w:p>
    <w:p>
      <w:pPr>
        <w:pStyle w:val="BodyText"/>
        <w:rPr>
          <w:b/>
          <w:sz w:val="20"/>
        </w:rPr>
      </w:pPr>
    </w:p>
    <w:p>
      <w:pPr>
        <w:spacing w:line="261" w:lineRule="auto" w:before="0"/>
        <w:ind w:left="146" w:right="7831" w:firstLine="0"/>
        <w:jc w:val="left"/>
        <w:rPr>
          <w:b/>
          <w:sz w:val="17"/>
        </w:rPr>
      </w:pPr>
      <w:r>
        <w:rPr>
          <w:b/>
          <w:sz w:val="17"/>
        </w:rPr>
        <w:t>Koka Ravalika Sai 668117</w:t>
      </w:r>
    </w:p>
    <w:p>
      <w:pPr>
        <w:spacing w:line="195" w:lineRule="exact" w:before="0"/>
        <w:ind w:left="146" w:right="0" w:firstLine="0"/>
        <w:jc w:val="left"/>
        <w:rPr>
          <w:b/>
          <w:sz w:val="17"/>
        </w:rPr>
      </w:pPr>
      <w:r>
        <w:rPr>
          <w:b/>
          <w:sz w:val="17"/>
        </w:rPr>
        <w:t>Programmer Analyst</w:t>
      </w:r>
    </w:p>
    <w:p>
      <w:pPr>
        <w:pStyle w:val="BodyText"/>
        <w:spacing w:before="1"/>
        <w:rPr>
          <w:b/>
          <w:sz w:val="25"/>
        </w:rPr>
      </w:pPr>
    </w:p>
    <w:p>
      <w:pPr>
        <w:spacing w:before="0"/>
        <w:ind w:left="146" w:right="0" w:firstLine="0"/>
        <w:jc w:val="left"/>
        <w:rPr>
          <w:b/>
          <w:sz w:val="17"/>
        </w:rPr>
      </w:pPr>
      <w:r>
        <w:rPr>
          <w:b/>
          <w:sz w:val="17"/>
        </w:rPr>
        <w:t>Dear Koka Ravalika,</w:t>
      </w:r>
    </w:p>
    <w:p>
      <w:pPr>
        <w:pStyle w:val="BodyText"/>
        <w:spacing w:before="10"/>
        <w:rPr>
          <w:b/>
          <w:sz w:val="14"/>
        </w:rPr>
      </w:pPr>
    </w:p>
    <w:p>
      <w:pPr>
        <w:spacing w:line="254" w:lineRule="auto" w:before="0"/>
        <w:ind w:left="146" w:right="0" w:firstLine="0"/>
        <w:jc w:val="left"/>
        <w:rPr>
          <w:sz w:val="15"/>
        </w:rPr>
      </w:pPr>
      <w:r>
        <w:rPr>
          <w:w w:val="105"/>
          <w:sz w:val="15"/>
        </w:rPr>
        <w:t>Congratulations</w:t>
      </w:r>
      <w:r>
        <w:rPr>
          <w:spacing w:val="-14"/>
          <w:w w:val="105"/>
          <w:sz w:val="15"/>
        </w:rPr>
        <w:t> </w:t>
      </w:r>
      <w:r>
        <w:rPr>
          <w:w w:val="105"/>
          <w:sz w:val="15"/>
        </w:rPr>
        <w:t>on</w:t>
      </w:r>
      <w:r>
        <w:rPr>
          <w:spacing w:val="-14"/>
          <w:w w:val="105"/>
          <w:sz w:val="15"/>
        </w:rPr>
        <w:t> </w:t>
      </w:r>
      <w:r>
        <w:rPr>
          <w:w w:val="105"/>
          <w:sz w:val="15"/>
        </w:rPr>
        <w:t>your</w:t>
      </w:r>
      <w:r>
        <w:rPr>
          <w:spacing w:val="-14"/>
          <w:w w:val="105"/>
          <w:sz w:val="15"/>
        </w:rPr>
        <w:t> </w:t>
      </w:r>
      <w:r>
        <w:rPr>
          <w:w w:val="105"/>
          <w:sz w:val="15"/>
        </w:rPr>
        <w:t>merit</w:t>
      </w:r>
      <w:r>
        <w:rPr>
          <w:spacing w:val="-14"/>
          <w:w w:val="105"/>
          <w:sz w:val="15"/>
        </w:rPr>
        <w:t> </w:t>
      </w:r>
      <w:r>
        <w:rPr>
          <w:w w:val="105"/>
          <w:sz w:val="15"/>
        </w:rPr>
        <w:t>increase.</w:t>
      </w:r>
      <w:r>
        <w:rPr>
          <w:spacing w:val="-14"/>
          <w:w w:val="105"/>
          <w:sz w:val="15"/>
        </w:rPr>
        <w:t> </w:t>
      </w:r>
      <w:r>
        <w:rPr>
          <w:w w:val="105"/>
          <w:sz w:val="15"/>
        </w:rPr>
        <w:t>As</w:t>
      </w:r>
      <w:r>
        <w:rPr>
          <w:spacing w:val="-14"/>
          <w:w w:val="105"/>
          <w:sz w:val="15"/>
        </w:rPr>
        <w:t> </w:t>
      </w:r>
      <w:r>
        <w:rPr>
          <w:w w:val="105"/>
          <w:sz w:val="15"/>
        </w:rPr>
        <w:t>we</w:t>
      </w:r>
      <w:r>
        <w:rPr>
          <w:spacing w:val="-14"/>
          <w:w w:val="105"/>
          <w:sz w:val="15"/>
        </w:rPr>
        <w:t> </w:t>
      </w:r>
      <w:r>
        <w:rPr>
          <w:w w:val="105"/>
          <w:sz w:val="15"/>
        </w:rPr>
        <w:t>drive</w:t>
      </w:r>
      <w:r>
        <w:rPr>
          <w:spacing w:val="-14"/>
          <w:w w:val="105"/>
          <w:sz w:val="15"/>
        </w:rPr>
        <w:t> </w:t>
      </w:r>
      <w:r>
        <w:rPr>
          <w:w w:val="105"/>
          <w:sz w:val="15"/>
        </w:rPr>
        <w:t>toward</w:t>
      </w:r>
      <w:r>
        <w:rPr>
          <w:spacing w:val="-14"/>
          <w:w w:val="105"/>
          <w:sz w:val="15"/>
        </w:rPr>
        <w:t> </w:t>
      </w:r>
      <w:r>
        <w:rPr>
          <w:w w:val="105"/>
          <w:sz w:val="15"/>
        </w:rPr>
        <w:t>a</w:t>
      </w:r>
      <w:r>
        <w:rPr>
          <w:spacing w:val="-14"/>
          <w:w w:val="105"/>
          <w:sz w:val="15"/>
        </w:rPr>
        <w:t> </w:t>
      </w:r>
      <w:r>
        <w:rPr>
          <w:w w:val="105"/>
          <w:sz w:val="15"/>
        </w:rPr>
        <w:t>best-in-class,</w:t>
      </w:r>
      <w:r>
        <w:rPr>
          <w:spacing w:val="-14"/>
          <w:w w:val="105"/>
          <w:sz w:val="15"/>
        </w:rPr>
        <w:t> </w:t>
      </w:r>
      <w:r>
        <w:rPr>
          <w:w w:val="105"/>
          <w:sz w:val="15"/>
        </w:rPr>
        <w:t>high-performance</w:t>
      </w:r>
      <w:r>
        <w:rPr>
          <w:spacing w:val="-14"/>
          <w:w w:val="105"/>
          <w:sz w:val="15"/>
        </w:rPr>
        <w:t> </w:t>
      </w:r>
      <w:r>
        <w:rPr>
          <w:w w:val="105"/>
          <w:sz w:val="15"/>
        </w:rPr>
        <w:t>culture,</w:t>
      </w:r>
      <w:r>
        <w:rPr>
          <w:spacing w:val="-14"/>
          <w:w w:val="105"/>
          <w:sz w:val="15"/>
        </w:rPr>
        <w:t> </w:t>
      </w:r>
      <w:r>
        <w:rPr>
          <w:w w:val="105"/>
          <w:sz w:val="15"/>
        </w:rPr>
        <w:t>we</w:t>
      </w:r>
      <w:r>
        <w:rPr>
          <w:spacing w:val="-14"/>
          <w:w w:val="105"/>
          <w:sz w:val="15"/>
        </w:rPr>
        <w:t> </w:t>
      </w:r>
      <w:r>
        <w:rPr>
          <w:w w:val="105"/>
          <w:sz w:val="15"/>
        </w:rPr>
        <w:t>are</w:t>
      </w:r>
      <w:r>
        <w:rPr>
          <w:spacing w:val="-14"/>
          <w:w w:val="105"/>
          <w:sz w:val="15"/>
        </w:rPr>
        <w:t> </w:t>
      </w:r>
      <w:r>
        <w:rPr>
          <w:w w:val="105"/>
          <w:sz w:val="15"/>
        </w:rPr>
        <w:t>pleased</w:t>
      </w:r>
      <w:r>
        <w:rPr>
          <w:spacing w:val="-14"/>
          <w:w w:val="105"/>
          <w:sz w:val="15"/>
        </w:rPr>
        <w:t> </w:t>
      </w:r>
      <w:r>
        <w:rPr>
          <w:w w:val="105"/>
          <w:sz w:val="15"/>
        </w:rPr>
        <w:t>to</w:t>
      </w:r>
      <w:r>
        <w:rPr>
          <w:spacing w:val="-14"/>
          <w:w w:val="105"/>
          <w:sz w:val="15"/>
        </w:rPr>
        <w:t> </w:t>
      </w:r>
      <w:r>
        <w:rPr>
          <w:w w:val="105"/>
          <w:sz w:val="15"/>
        </w:rPr>
        <w:t>reward</w:t>
      </w:r>
      <w:r>
        <w:rPr>
          <w:spacing w:val="-13"/>
          <w:w w:val="105"/>
          <w:sz w:val="15"/>
        </w:rPr>
        <w:t> </w:t>
      </w:r>
      <w:r>
        <w:rPr>
          <w:w w:val="105"/>
          <w:sz w:val="15"/>
        </w:rPr>
        <w:t>the</w:t>
      </w:r>
      <w:r>
        <w:rPr>
          <w:spacing w:val="-14"/>
          <w:w w:val="105"/>
          <w:sz w:val="15"/>
        </w:rPr>
        <w:t> </w:t>
      </w:r>
      <w:r>
        <w:rPr>
          <w:w w:val="105"/>
          <w:sz w:val="15"/>
        </w:rPr>
        <w:t>talent</w:t>
      </w:r>
      <w:r>
        <w:rPr>
          <w:spacing w:val="-14"/>
          <w:w w:val="105"/>
          <w:sz w:val="15"/>
        </w:rPr>
        <w:t> </w:t>
      </w:r>
      <w:r>
        <w:rPr>
          <w:w w:val="105"/>
          <w:sz w:val="15"/>
        </w:rPr>
        <w:t>who </w:t>
      </w:r>
      <w:r>
        <w:rPr>
          <w:spacing w:val="-3"/>
          <w:w w:val="105"/>
          <w:sz w:val="15"/>
        </w:rPr>
        <w:t>help</w:t>
      </w:r>
      <w:r>
        <w:rPr>
          <w:spacing w:val="-7"/>
          <w:w w:val="105"/>
          <w:sz w:val="15"/>
        </w:rPr>
        <w:t> </w:t>
      </w:r>
      <w:r>
        <w:rPr>
          <w:w w:val="105"/>
          <w:sz w:val="15"/>
        </w:rPr>
        <w:t>us</w:t>
      </w:r>
      <w:r>
        <w:rPr>
          <w:spacing w:val="-7"/>
          <w:w w:val="105"/>
          <w:sz w:val="15"/>
        </w:rPr>
        <w:t> </w:t>
      </w:r>
      <w:r>
        <w:rPr>
          <w:spacing w:val="-3"/>
          <w:w w:val="105"/>
          <w:sz w:val="15"/>
        </w:rPr>
        <w:t>deliver</w:t>
      </w:r>
      <w:r>
        <w:rPr>
          <w:spacing w:val="-7"/>
          <w:w w:val="105"/>
          <w:sz w:val="15"/>
        </w:rPr>
        <w:t> </w:t>
      </w:r>
      <w:r>
        <w:rPr>
          <w:w w:val="105"/>
          <w:sz w:val="15"/>
        </w:rPr>
        <w:t>on</w:t>
      </w:r>
      <w:r>
        <w:rPr>
          <w:spacing w:val="-7"/>
          <w:w w:val="105"/>
          <w:sz w:val="15"/>
        </w:rPr>
        <w:t> </w:t>
      </w:r>
      <w:r>
        <w:rPr>
          <w:w w:val="105"/>
          <w:sz w:val="15"/>
        </w:rPr>
        <w:t>our</w:t>
      </w:r>
      <w:r>
        <w:rPr>
          <w:spacing w:val="-7"/>
          <w:w w:val="105"/>
          <w:sz w:val="15"/>
        </w:rPr>
        <w:t> </w:t>
      </w:r>
      <w:r>
        <w:rPr>
          <w:spacing w:val="-3"/>
          <w:w w:val="105"/>
          <w:sz w:val="15"/>
        </w:rPr>
        <w:t>Purpose</w:t>
      </w:r>
      <w:r>
        <w:rPr>
          <w:spacing w:val="-7"/>
          <w:w w:val="105"/>
          <w:sz w:val="15"/>
        </w:rPr>
        <w:t> </w:t>
      </w:r>
      <w:r>
        <w:rPr>
          <w:w w:val="105"/>
          <w:sz w:val="15"/>
        </w:rPr>
        <w:t>to</w:t>
      </w:r>
      <w:r>
        <w:rPr>
          <w:spacing w:val="-7"/>
          <w:w w:val="105"/>
          <w:sz w:val="15"/>
        </w:rPr>
        <w:t> </w:t>
      </w:r>
      <w:r>
        <w:rPr>
          <w:spacing w:val="-3"/>
          <w:w w:val="105"/>
          <w:sz w:val="15"/>
        </w:rPr>
        <w:t>engineer</w:t>
      </w:r>
      <w:r>
        <w:rPr>
          <w:spacing w:val="-7"/>
          <w:w w:val="105"/>
          <w:sz w:val="15"/>
        </w:rPr>
        <w:t> </w:t>
      </w:r>
      <w:r>
        <w:rPr>
          <w:spacing w:val="-3"/>
          <w:w w:val="105"/>
          <w:sz w:val="15"/>
        </w:rPr>
        <w:t>modern</w:t>
      </w:r>
      <w:r>
        <w:rPr>
          <w:spacing w:val="-6"/>
          <w:w w:val="105"/>
          <w:sz w:val="15"/>
        </w:rPr>
        <w:t> </w:t>
      </w:r>
      <w:r>
        <w:rPr>
          <w:spacing w:val="-3"/>
          <w:w w:val="105"/>
          <w:sz w:val="15"/>
        </w:rPr>
        <w:t>businesses</w:t>
      </w:r>
      <w:r>
        <w:rPr>
          <w:spacing w:val="-7"/>
          <w:w w:val="105"/>
          <w:sz w:val="15"/>
        </w:rPr>
        <w:t> </w:t>
      </w:r>
      <w:r>
        <w:rPr>
          <w:w w:val="105"/>
          <w:sz w:val="15"/>
        </w:rPr>
        <w:t>to</w:t>
      </w:r>
      <w:r>
        <w:rPr>
          <w:spacing w:val="-7"/>
          <w:w w:val="105"/>
          <w:sz w:val="15"/>
        </w:rPr>
        <w:t> </w:t>
      </w:r>
      <w:r>
        <w:rPr>
          <w:spacing w:val="-3"/>
          <w:w w:val="105"/>
          <w:sz w:val="15"/>
        </w:rPr>
        <w:t>improve</w:t>
      </w:r>
      <w:r>
        <w:rPr>
          <w:spacing w:val="-7"/>
          <w:w w:val="105"/>
          <w:sz w:val="15"/>
        </w:rPr>
        <w:t> </w:t>
      </w:r>
      <w:r>
        <w:rPr>
          <w:spacing w:val="-3"/>
          <w:w w:val="105"/>
          <w:sz w:val="15"/>
        </w:rPr>
        <w:t>everyday</w:t>
      </w:r>
      <w:r>
        <w:rPr>
          <w:spacing w:val="-7"/>
          <w:w w:val="105"/>
          <w:sz w:val="15"/>
        </w:rPr>
        <w:t> </w:t>
      </w:r>
      <w:r>
        <w:rPr>
          <w:spacing w:val="-3"/>
          <w:w w:val="105"/>
          <w:sz w:val="15"/>
        </w:rPr>
        <w:t>life.</w:t>
      </w:r>
    </w:p>
    <w:p>
      <w:pPr>
        <w:pStyle w:val="BodyText"/>
        <w:spacing w:before="5"/>
        <w:rPr>
          <w:sz w:val="14"/>
        </w:rPr>
      </w:pPr>
    </w:p>
    <w:p>
      <w:pPr>
        <w:spacing w:line="268" w:lineRule="auto" w:before="0"/>
        <w:ind w:left="146" w:right="0" w:firstLine="0"/>
        <w:jc w:val="left"/>
        <w:rPr>
          <w:sz w:val="15"/>
        </w:rPr>
      </w:pPr>
      <w:r>
        <w:rPr>
          <w:spacing w:val="-3"/>
          <w:w w:val="105"/>
          <w:sz w:val="15"/>
        </w:rPr>
        <w:t>Your</w:t>
      </w:r>
      <w:r>
        <w:rPr>
          <w:spacing w:val="-18"/>
          <w:w w:val="105"/>
          <w:sz w:val="15"/>
        </w:rPr>
        <w:t> </w:t>
      </w:r>
      <w:r>
        <w:rPr>
          <w:w w:val="105"/>
          <w:sz w:val="15"/>
        </w:rPr>
        <w:t>new</w:t>
      </w:r>
      <w:r>
        <w:rPr>
          <w:spacing w:val="-18"/>
          <w:w w:val="105"/>
          <w:sz w:val="15"/>
        </w:rPr>
        <w:t> </w:t>
      </w:r>
      <w:r>
        <w:rPr>
          <w:spacing w:val="-3"/>
          <w:w w:val="105"/>
          <w:sz w:val="15"/>
        </w:rPr>
        <w:t>compensation</w:t>
      </w:r>
      <w:r>
        <w:rPr>
          <w:spacing w:val="-18"/>
          <w:w w:val="105"/>
          <w:sz w:val="15"/>
        </w:rPr>
        <w:t> </w:t>
      </w:r>
      <w:r>
        <w:rPr>
          <w:w w:val="105"/>
          <w:sz w:val="15"/>
        </w:rPr>
        <w:t>is</w:t>
      </w:r>
      <w:r>
        <w:rPr>
          <w:spacing w:val="-18"/>
          <w:w w:val="105"/>
          <w:sz w:val="15"/>
        </w:rPr>
        <w:t> </w:t>
      </w:r>
      <w:r>
        <w:rPr>
          <w:spacing w:val="-3"/>
          <w:w w:val="105"/>
          <w:sz w:val="15"/>
        </w:rPr>
        <w:t>effective</w:t>
      </w:r>
      <w:r>
        <w:rPr>
          <w:spacing w:val="-18"/>
          <w:w w:val="105"/>
          <w:sz w:val="15"/>
        </w:rPr>
        <w:t> </w:t>
      </w:r>
      <w:r>
        <w:rPr>
          <w:spacing w:val="-3"/>
          <w:w w:val="105"/>
          <w:sz w:val="15"/>
        </w:rPr>
        <w:t>from</w:t>
      </w:r>
      <w:r>
        <w:rPr>
          <w:spacing w:val="-14"/>
          <w:w w:val="105"/>
          <w:sz w:val="15"/>
        </w:rPr>
        <w:t> </w:t>
      </w:r>
      <w:r>
        <w:rPr>
          <w:b/>
          <w:w w:val="105"/>
          <w:sz w:val="15"/>
        </w:rPr>
        <w:t>October</w:t>
      </w:r>
      <w:r>
        <w:rPr>
          <w:b/>
          <w:spacing w:val="-15"/>
          <w:w w:val="105"/>
          <w:sz w:val="15"/>
        </w:rPr>
        <w:t> </w:t>
      </w:r>
      <w:r>
        <w:rPr>
          <w:b/>
          <w:w w:val="105"/>
          <w:sz w:val="15"/>
        </w:rPr>
        <w:t>01,</w:t>
      </w:r>
      <w:r>
        <w:rPr>
          <w:b/>
          <w:spacing w:val="-15"/>
          <w:w w:val="105"/>
          <w:sz w:val="15"/>
        </w:rPr>
        <w:t> </w:t>
      </w:r>
      <w:r>
        <w:rPr>
          <w:b/>
          <w:w w:val="105"/>
          <w:sz w:val="15"/>
        </w:rPr>
        <w:t>2020</w:t>
      </w:r>
      <w:r>
        <w:rPr>
          <w:w w:val="105"/>
          <w:sz w:val="15"/>
        </w:rPr>
        <w:t>.</w:t>
      </w:r>
      <w:r>
        <w:rPr>
          <w:spacing w:val="-16"/>
          <w:w w:val="105"/>
          <w:sz w:val="15"/>
        </w:rPr>
        <w:t> </w:t>
      </w:r>
      <w:r>
        <w:rPr>
          <w:w w:val="105"/>
          <w:sz w:val="15"/>
        </w:rPr>
        <w:t>Please</w:t>
      </w:r>
      <w:r>
        <w:rPr>
          <w:spacing w:val="-16"/>
          <w:w w:val="105"/>
          <w:sz w:val="15"/>
        </w:rPr>
        <w:t> </w:t>
      </w:r>
      <w:r>
        <w:rPr>
          <w:w w:val="105"/>
          <w:sz w:val="15"/>
        </w:rPr>
        <w:t>refer</w:t>
      </w:r>
      <w:r>
        <w:rPr>
          <w:spacing w:val="-14"/>
          <w:w w:val="105"/>
          <w:sz w:val="15"/>
        </w:rPr>
        <w:t> </w:t>
      </w:r>
      <w:r>
        <w:rPr>
          <w:i/>
          <w:w w:val="105"/>
          <w:sz w:val="15"/>
        </w:rPr>
        <w:t>Annexure</w:t>
      </w:r>
      <w:r>
        <w:rPr>
          <w:i/>
          <w:spacing w:val="-14"/>
          <w:w w:val="105"/>
          <w:sz w:val="15"/>
        </w:rPr>
        <w:t> </w:t>
      </w:r>
      <w:r>
        <w:rPr>
          <w:i/>
          <w:w w:val="105"/>
          <w:sz w:val="15"/>
        </w:rPr>
        <w:t>A</w:t>
      </w:r>
      <w:r>
        <w:rPr>
          <w:i/>
          <w:spacing w:val="-13"/>
          <w:w w:val="105"/>
          <w:sz w:val="15"/>
        </w:rPr>
        <w:t> </w:t>
      </w:r>
      <w:r>
        <w:rPr>
          <w:w w:val="105"/>
          <w:sz w:val="15"/>
        </w:rPr>
        <w:t>for</w:t>
      </w:r>
      <w:r>
        <w:rPr>
          <w:spacing w:val="-16"/>
          <w:w w:val="105"/>
          <w:sz w:val="15"/>
        </w:rPr>
        <w:t> </w:t>
      </w:r>
      <w:r>
        <w:rPr>
          <w:w w:val="105"/>
          <w:sz w:val="15"/>
        </w:rPr>
        <w:t>your</w:t>
      </w:r>
      <w:r>
        <w:rPr>
          <w:spacing w:val="-16"/>
          <w:w w:val="105"/>
          <w:sz w:val="15"/>
        </w:rPr>
        <w:t> </w:t>
      </w:r>
      <w:r>
        <w:rPr>
          <w:w w:val="105"/>
          <w:sz w:val="15"/>
        </w:rPr>
        <w:t>updated</w:t>
      </w:r>
      <w:r>
        <w:rPr>
          <w:spacing w:val="-16"/>
          <w:w w:val="105"/>
          <w:sz w:val="15"/>
        </w:rPr>
        <w:t> </w:t>
      </w:r>
      <w:r>
        <w:rPr>
          <w:w w:val="105"/>
          <w:sz w:val="15"/>
        </w:rPr>
        <w:t>compensation</w:t>
      </w:r>
      <w:r>
        <w:rPr>
          <w:spacing w:val="-16"/>
          <w:w w:val="105"/>
          <w:sz w:val="15"/>
        </w:rPr>
        <w:t> </w:t>
      </w:r>
      <w:r>
        <w:rPr>
          <w:w w:val="105"/>
          <w:sz w:val="15"/>
        </w:rPr>
        <w:t>details.</w:t>
      </w:r>
      <w:r>
        <w:rPr>
          <w:spacing w:val="-16"/>
          <w:w w:val="105"/>
          <w:sz w:val="15"/>
        </w:rPr>
        <w:t> </w:t>
      </w:r>
      <w:r>
        <w:rPr>
          <w:w w:val="105"/>
          <w:sz w:val="15"/>
        </w:rPr>
        <w:t>All</w:t>
      </w:r>
      <w:r>
        <w:rPr>
          <w:spacing w:val="-16"/>
          <w:w w:val="105"/>
          <w:sz w:val="15"/>
        </w:rPr>
        <w:t> </w:t>
      </w:r>
      <w:r>
        <w:rPr>
          <w:w w:val="105"/>
          <w:sz w:val="15"/>
        </w:rPr>
        <w:t>other</w:t>
      </w:r>
      <w:r>
        <w:rPr>
          <w:spacing w:val="-15"/>
          <w:w w:val="105"/>
          <w:sz w:val="15"/>
        </w:rPr>
        <w:t> </w:t>
      </w:r>
      <w:r>
        <w:rPr>
          <w:w w:val="105"/>
          <w:sz w:val="15"/>
        </w:rPr>
        <w:t>terms</w:t>
      </w:r>
      <w:r>
        <w:rPr>
          <w:spacing w:val="-16"/>
          <w:w w:val="105"/>
          <w:sz w:val="15"/>
        </w:rPr>
        <w:t> </w:t>
      </w:r>
      <w:r>
        <w:rPr>
          <w:spacing w:val="-2"/>
          <w:w w:val="105"/>
          <w:sz w:val="15"/>
        </w:rPr>
        <w:t>and </w:t>
      </w:r>
      <w:r>
        <w:rPr>
          <w:spacing w:val="-3"/>
          <w:w w:val="105"/>
          <w:sz w:val="15"/>
        </w:rPr>
        <w:t>conditions </w:t>
      </w:r>
      <w:r>
        <w:rPr>
          <w:w w:val="105"/>
          <w:sz w:val="15"/>
        </w:rPr>
        <w:t>of </w:t>
      </w:r>
      <w:r>
        <w:rPr>
          <w:spacing w:val="-3"/>
          <w:w w:val="105"/>
          <w:sz w:val="15"/>
        </w:rPr>
        <w:t>your employment remain</w:t>
      </w:r>
      <w:r>
        <w:rPr>
          <w:spacing w:val="-28"/>
          <w:w w:val="105"/>
          <w:sz w:val="15"/>
        </w:rPr>
        <w:t> </w:t>
      </w:r>
      <w:r>
        <w:rPr>
          <w:spacing w:val="-3"/>
          <w:w w:val="105"/>
          <w:sz w:val="15"/>
        </w:rPr>
        <w:t>unchanged.</w:t>
      </w:r>
    </w:p>
    <w:p>
      <w:pPr>
        <w:pStyle w:val="BodyText"/>
        <w:spacing w:before="7"/>
        <w:rPr>
          <w:sz w:val="12"/>
        </w:rPr>
      </w:pPr>
    </w:p>
    <w:p>
      <w:pPr>
        <w:spacing w:before="1"/>
        <w:ind w:left="146" w:right="0" w:firstLine="0"/>
        <w:jc w:val="left"/>
        <w:rPr>
          <w:sz w:val="15"/>
        </w:rPr>
      </w:pPr>
      <w:r>
        <w:rPr>
          <w:w w:val="105"/>
          <w:sz w:val="15"/>
        </w:rPr>
        <w:t>Thank you for all you do!</w:t>
      </w:r>
    </w:p>
    <w:p>
      <w:pPr>
        <w:pStyle w:val="BodyText"/>
        <w:rPr>
          <w:sz w:val="16"/>
        </w:rPr>
      </w:pPr>
    </w:p>
    <w:p>
      <w:pPr>
        <w:pStyle w:val="BodyText"/>
        <w:rPr>
          <w:sz w:val="16"/>
        </w:rPr>
      </w:pPr>
    </w:p>
    <w:p>
      <w:pPr>
        <w:pStyle w:val="BodyText"/>
        <w:spacing w:before="7"/>
        <w:rPr>
          <w:sz w:val="12"/>
        </w:rPr>
      </w:pPr>
    </w:p>
    <w:p>
      <w:pPr>
        <w:spacing w:before="0"/>
        <w:ind w:left="146" w:right="0" w:firstLine="0"/>
        <w:jc w:val="left"/>
        <w:rPr>
          <w:sz w:val="15"/>
        </w:rPr>
      </w:pPr>
      <w:r>
        <w:rPr>
          <w:w w:val="105"/>
          <w:sz w:val="15"/>
        </w:rPr>
        <w:t>Best wishes,</w:t>
      </w:r>
    </w:p>
    <w:p>
      <w:pPr>
        <w:pStyle w:val="BodyText"/>
        <w:spacing w:before="5"/>
        <w:rPr>
          <w:sz w:val="14"/>
        </w:rPr>
      </w:pPr>
    </w:p>
    <w:p>
      <w:pPr>
        <w:spacing w:before="0"/>
        <w:ind w:left="146" w:right="0" w:firstLine="0"/>
        <w:jc w:val="left"/>
        <w:rPr>
          <w:sz w:val="15"/>
        </w:rPr>
      </w:pPr>
      <w:r>
        <w:rPr>
          <w:w w:val="105"/>
          <w:sz w:val="15"/>
        </w:rPr>
        <w:t>Cognizant Executive Management</w:t>
      </w:r>
    </w:p>
    <w:p>
      <w:pPr>
        <w:pStyle w:val="BodyText"/>
        <w:spacing w:before="5"/>
        <w:rPr>
          <w:sz w:val="14"/>
        </w:rPr>
      </w:pPr>
    </w:p>
    <w:p>
      <w:pPr>
        <w:spacing w:before="0"/>
        <w:ind w:left="146" w:right="0" w:firstLine="0"/>
        <w:jc w:val="left"/>
        <w:rPr>
          <w:b/>
          <w:sz w:val="15"/>
        </w:rPr>
      </w:pPr>
      <w:r>
        <w:rPr>
          <w:w w:val="105"/>
          <w:sz w:val="15"/>
        </w:rPr>
        <w:t>For </w:t>
      </w:r>
      <w:r>
        <w:rPr>
          <w:b/>
          <w:w w:val="105"/>
          <w:sz w:val="15"/>
        </w:rPr>
        <w:t>Cognizant Technology Solutions India Private Limited</w:t>
      </w:r>
    </w:p>
    <w:p>
      <w:pPr>
        <w:spacing w:after="0"/>
        <w:jc w:val="left"/>
        <w:rPr>
          <w:sz w:val="15"/>
        </w:rPr>
        <w:sectPr>
          <w:type w:val="continuous"/>
          <w:pgSz w:w="11900" w:h="16840"/>
          <w:pgMar w:top="640" w:bottom="280" w:left="960" w:right="960"/>
        </w:sectPr>
      </w:pPr>
    </w:p>
    <w:p>
      <w:pPr>
        <w:pStyle w:val="Heading1"/>
        <w:spacing w:before="85"/>
        <w:ind w:left="4467"/>
      </w:pPr>
      <w:r>
        <w:rPr/>
        <w:t>Annexure A</w:t>
      </w:r>
    </w:p>
    <w:p>
      <w:pPr>
        <w:spacing w:line="261" w:lineRule="auto" w:before="17"/>
        <w:ind w:left="117" w:right="6907" w:firstLine="0"/>
        <w:jc w:val="left"/>
        <w:rPr>
          <w:sz w:val="17"/>
        </w:rPr>
      </w:pPr>
      <w:r>
        <w:rPr>
          <w:b/>
          <w:sz w:val="17"/>
        </w:rPr>
        <w:t>Effective Date: </w:t>
      </w:r>
      <w:r>
        <w:rPr>
          <w:sz w:val="17"/>
        </w:rPr>
        <w:t>October 01, 2020 </w:t>
      </w:r>
      <w:r>
        <w:rPr>
          <w:b/>
          <w:sz w:val="17"/>
        </w:rPr>
        <w:t>Name: </w:t>
      </w:r>
      <w:r>
        <w:rPr>
          <w:sz w:val="17"/>
        </w:rPr>
        <w:t>Koka Ravalika Sai </w:t>
      </w:r>
      <w:r>
        <w:rPr>
          <w:b/>
          <w:sz w:val="17"/>
        </w:rPr>
        <w:t>Designation: </w:t>
      </w:r>
      <w:r>
        <w:rPr>
          <w:sz w:val="17"/>
        </w:rPr>
        <w:t>Programmer Analyst</w:t>
      </w:r>
    </w:p>
    <w:p>
      <w:pPr>
        <w:pStyle w:val="BodyText"/>
        <w:spacing w:before="3"/>
        <w:rPr>
          <w:sz w:val="16"/>
        </w:rPr>
      </w:pPr>
    </w:p>
    <w:tbl>
      <w:tblPr>
        <w:tblW w:w="0" w:type="auto"/>
        <w:jc w:val="left"/>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7"/>
        <w:gridCol w:w="4496"/>
        <w:gridCol w:w="2137"/>
        <w:gridCol w:w="2137"/>
      </w:tblGrid>
      <w:tr>
        <w:trPr>
          <w:trHeight w:val="328" w:hRule="atLeast"/>
        </w:trPr>
        <w:tc>
          <w:tcPr>
            <w:tcW w:w="967" w:type="dxa"/>
          </w:tcPr>
          <w:p>
            <w:pPr>
              <w:pStyle w:val="TableParagraph"/>
              <w:ind w:left="260" w:right="241"/>
              <w:jc w:val="center"/>
              <w:rPr>
                <w:b/>
                <w:sz w:val="17"/>
              </w:rPr>
            </w:pPr>
            <w:r>
              <w:rPr>
                <w:b/>
                <w:sz w:val="17"/>
              </w:rPr>
              <w:t>S.NO</w:t>
            </w:r>
          </w:p>
        </w:tc>
        <w:tc>
          <w:tcPr>
            <w:tcW w:w="4496" w:type="dxa"/>
          </w:tcPr>
          <w:p>
            <w:pPr>
              <w:pStyle w:val="TableParagraph"/>
              <w:ind w:left="1651" w:right="1632"/>
              <w:jc w:val="center"/>
              <w:rPr>
                <w:b/>
                <w:sz w:val="17"/>
              </w:rPr>
            </w:pPr>
            <w:r>
              <w:rPr>
                <w:b/>
                <w:sz w:val="17"/>
              </w:rPr>
              <w:t>DESCRIPTION</w:t>
            </w:r>
          </w:p>
        </w:tc>
        <w:tc>
          <w:tcPr>
            <w:tcW w:w="2137" w:type="dxa"/>
          </w:tcPr>
          <w:p>
            <w:pPr>
              <w:pStyle w:val="TableParagraph"/>
              <w:ind w:left="642"/>
              <w:jc w:val="left"/>
              <w:rPr>
                <w:b/>
                <w:sz w:val="17"/>
              </w:rPr>
            </w:pPr>
            <w:r>
              <w:rPr>
                <w:b/>
                <w:sz w:val="17"/>
              </w:rPr>
              <w:t>MONTHLY</w:t>
            </w:r>
          </w:p>
        </w:tc>
        <w:tc>
          <w:tcPr>
            <w:tcW w:w="2137" w:type="dxa"/>
          </w:tcPr>
          <w:p>
            <w:pPr>
              <w:pStyle w:val="TableParagraph"/>
              <w:ind w:left="506"/>
              <w:jc w:val="left"/>
              <w:rPr>
                <w:b/>
                <w:sz w:val="17"/>
              </w:rPr>
            </w:pPr>
            <w:r>
              <w:rPr>
                <w:b/>
                <w:sz w:val="17"/>
              </w:rPr>
              <w:t>ANNUALIZED</w:t>
            </w:r>
          </w:p>
        </w:tc>
      </w:tr>
      <w:tr>
        <w:trPr>
          <w:trHeight w:val="328" w:hRule="atLeast"/>
        </w:trPr>
        <w:tc>
          <w:tcPr>
            <w:tcW w:w="967" w:type="dxa"/>
          </w:tcPr>
          <w:p>
            <w:pPr>
              <w:pStyle w:val="TableParagraph"/>
              <w:ind w:left="19"/>
              <w:jc w:val="center"/>
              <w:rPr>
                <w:sz w:val="17"/>
              </w:rPr>
            </w:pPr>
            <w:r>
              <w:rPr>
                <w:w w:val="102"/>
                <w:sz w:val="17"/>
              </w:rPr>
              <w:t>1</w:t>
            </w:r>
          </w:p>
        </w:tc>
        <w:tc>
          <w:tcPr>
            <w:tcW w:w="4496" w:type="dxa"/>
          </w:tcPr>
          <w:p>
            <w:pPr>
              <w:pStyle w:val="TableParagraph"/>
              <w:ind w:left="62"/>
              <w:jc w:val="left"/>
              <w:rPr>
                <w:sz w:val="17"/>
              </w:rPr>
            </w:pPr>
            <w:r>
              <w:rPr>
                <w:sz w:val="17"/>
              </w:rPr>
              <w:t>Basic</w:t>
            </w:r>
          </w:p>
        </w:tc>
        <w:tc>
          <w:tcPr>
            <w:tcW w:w="2137" w:type="dxa"/>
          </w:tcPr>
          <w:p>
            <w:pPr>
              <w:pStyle w:val="TableParagraph"/>
              <w:ind w:right="51"/>
              <w:rPr>
                <w:sz w:val="17"/>
              </w:rPr>
            </w:pPr>
            <w:r>
              <w:rPr>
                <w:sz w:val="17"/>
              </w:rPr>
              <w:t>13,550</w:t>
            </w:r>
          </w:p>
        </w:tc>
        <w:tc>
          <w:tcPr>
            <w:tcW w:w="2137" w:type="dxa"/>
          </w:tcPr>
          <w:p>
            <w:pPr>
              <w:pStyle w:val="TableParagraph"/>
              <w:ind w:right="52"/>
              <w:rPr>
                <w:sz w:val="17"/>
              </w:rPr>
            </w:pPr>
            <w:r>
              <w:rPr>
                <w:sz w:val="17"/>
              </w:rPr>
              <w:t>162,600</w:t>
            </w:r>
          </w:p>
        </w:tc>
      </w:tr>
      <w:tr>
        <w:trPr>
          <w:trHeight w:val="328" w:hRule="atLeast"/>
        </w:trPr>
        <w:tc>
          <w:tcPr>
            <w:tcW w:w="967" w:type="dxa"/>
          </w:tcPr>
          <w:p>
            <w:pPr>
              <w:pStyle w:val="TableParagraph"/>
              <w:ind w:left="19"/>
              <w:jc w:val="center"/>
              <w:rPr>
                <w:sz w:val="17"/>
              </w:rPr>
            </w:pPr>
            <w:r>
              <w:rPr>
                <w:w w:val="102"/>
                <w:sz w:val="17"/>
              </w:rPr>
              <w:t>2</w:t>
            </w:r>
          </w:p>
        </w:tc>
        <w:tc>
          <w:tcPr>
            <w:tcW w:w="4496" w:type="dxa"/>
          </w:tcPr>
          <w:p>
            <w:pPr>
              <w:pStyle w:val="TableParagraph"/>
              <w:ind w:left="62"/>
              <w:jc w:val="left"/>
              <w:rPr>
                <w:sz w:val="17"/>
              </w:rPr>
            </w:pPr>
            <w:r>
              <w:rPr>
                <w:sz w:val="17"/>
              </w:rPr>
              <w:t>House Rental Allowance</w:t>
            </w:r>
          </w:p>
        </w:tc>
        <w:tc>
          <w:tcPr>
            <w:tcW w:w="2137" w:type="dxa"/>
          </w:tcPr>
          <w:p>
            <w:pPr>
              <w:pStyle w:val="TableParagraph"/>
              <w:ind w:right="51"/>
              <w:rPr>
                <w:sz w:val="17"/>
              </w:rPr>
            </w:pPr>
            <w:r>
              <w:rPr>
                <w:sz w:val="17"/>
              </w:rPr>
              <w:t>8,130</w:t>
            </w:r>
          </w:p>
        </w:tc>
        <w:tc>
          <w:tcPr>
            <w:tcW w:w="2137" w:type="dxa"/>
          </w:tcPr>
          <w:p>
            <w:pPr>
              <w:pStyle w:val="TableParagraph"/>
              <w:ind w:right="52"/>
              <w:rPr>
                <w:sz w:val="17"/>
              </w:rPr>
            </w:pPr>
            <w:r>
              <w:rPr>
                <w:sz w:val="17"/>
              </w:rPr>
              <w:t>97,560</w:t>
            </w:r>
          </w:p>
        </w:tc>
      </w:tr>
      <w:tr>
        <w:trPr>
          <w:trHeight w:val="328" w:hRule="atLeast"/>
        </w:trPr>
        <w:tc>
          <w:tcPr>
            <w:tcW w:w="967" w:type="dxa"/>
          </w:tcPr>
          <w:p>
            <w:pPr>
              <w:pStyle w:val="TableParagraph"/>
              <w:ind w:left="19"/>
              <w:jc w:val="center"/>
              <w:rPr>
                <w:sz w:val="17"/>
              </w:rPr>
            </w:pPr>
            <w:r>
              <w:rPr>
                <w:w w:val="102"/>
                <w:sz w:val="17"/>
              </w:rPr>
              <w:t>3</w:t>
            </w:r>
          </w:p>
        </w:tc>
        <w:tc>
          <w:tcPr>
            <w:tcW w:w="4496" w:type="dxa"/>
          </w:tcPr>
          <w:p>
            <w:pPr>
              <w:pStyle w:val="TableParagraph"/>
              <w:ind w:left="62"/>
              <w:jc w:val="left"/>
              <w:rPr>
                <w:sz w:val="17"/>
              </w:rPr>
            </w:pPr>
            <w:r>
              <w:rPr>
                <w:sz w:val="17"/>
              </w:rPr>
              <w:t>Special Allowance</w:t>
            </w:r>
          </w:p>
        </w:tc>
        <w:tc>
          <w:tcPr>
            <w:tcW w:w="2137" w:type="dxa"/>
          </w:tcPr>
          <w:p>
            <w:pPr>
              <w:pStyle w:val="TableParagraph"/>
              <w:ind w:right="55"/>
              <w:rPr>
                <w:sz w:val="17"/>
              </w:rPr>
            </w:pPr>
            <w:r>
              <w:rPr>
                <w:sz w:val="17"/>
              </w:rPr>
              <w:t>11,145</w:t>
            </w:r>
          </w:p>
        </w:tc>
        <w:tc>
          <w:tcPr>
            <w:tcW w:w="2137" w:type="dxa"/>
          </w:tcPr>
          <w:p>
            <w:pPr>
              <w:pStyle w:val="TableParagraph"/>
              <w:ind w:right="52"/>
              <w:rPr>
                <w:sz w:val="17"/>
              </w:rPr>
            </w:pPr>
            <w:r>
              <w:rPr>
                <w:sz w:val="17"/>
              </w:rPr>
              <w:t>133,740</w:t>
            </w:r>
          </w:p>
        </w:tc>
      </w:tr>
      <w:tr>
        <w:trPr>
          <w:trHeight w:val="328" w:hRule="atLeast"/>
        </w:trPr>
        <w:tc>
          <w:tcPr>
            <w:tcW w:w="967" w:type="dxa"/>
          </w:tcPr>
          <w:p>
            <w:pPr>
              <w:pStyle w:val="TableParagraph"/>
              <w:ind w:left="19"/>
              <w:jc w:val="center"/>
              <w:rPr>
                <w:sz w:val="17"/>
              </w:rPr>
            </w:pPr>
            <w:r>
              <w:rPr>
                <w:w w:val="102"/>
                <w:sz w:val="17"/>
              </w:rPr>
              <w:t>4</w:t>
            </w:r>
          </w:p>
        </w:tc>
        <w:tc>
          <w:tcPr>
            <w:tcW w:w="4496" w:type="dxa"/>
          </w:tcPr>
          <w:p>
            <w:pPr>
              <w:pStyle w:val="TableParagraph"/>
              <w:ind w:left="62"/>
              <w:jc w:val="left"/>
              <w:rPr>
                <w:sz w:val="17"/>
              </w:rPr>
            </w:pPr>
            <w:r>
              <w:rPr>
                <w:sz w:val="17"/>
              </w:rPr>
              <w:t>Medical Reimbursement</w:t>
            </w:r>
          </w:p>
        </w:tc>
        <w:tc>
          <w:tcPr>
            <w:tcW w:w="2137" w:type="dxa"/>
          </w:tcPr>
          <w:p>
            <w:pPr>
              <w:pStyle w:val="TableParagraph"/>
              <w:ind w:right="51"/>
              <w:rPr>
                <w:sz w:val="17"/>
              </w:rPr>
            </w:pPr>
            <w:r>
              <w:rPr>
                <w:sz w:val="17"/>
              </w:rPr>
              <w:t>1,250</w:t>
            </w:r>
          </w:p>
        </w:tc>
        <w:tc>
          <w:tcPr>
            <w:tcW w:w="2137" w:type="dxa"/>
          </w:tcPr>
          <w:p>
            <w:pPr>
              <w:pStyle w:val="TableParagraph"/>
              <w:ind w:right="52"/>
              <w:rPr>
                <w:sz w:val="17"/>
              </w:rPr>
            </w:pPr>
            <w:r>
              <w:rPr>
                <w:sz w:val="17"/>
              </w:rPr>
              <w:t>15,000</w:t>
            </w:r>
          </w:p>
        </w:tc>
      </w:tr>
      <w:tr>
        <w:trPr>
          <w:trHeight w:val="328" w:hRule="atLeast"/>
        </w:trPr>
        <w:tc>
          <w:tcPr>
            <w:tcW w:w="967" w:type="dxa"/>
          </w:tcPr>
          <w:p>
            <w:pPr>
              <w:pStyle w:val="TableParagraph"/>
              <w:ind w:left="19"/>
              <w:jc w:val="center"/>
              <w:rPr>
                <w:sz w:val="17"/>
              </w:rPr>
            </w:pPr>
            <w:r>
              <w:rPr>
                <w:w w:val="102"/>
                <w:sz w:val="17"/>
              </w:rPr>
              <w:t>5</w:t>
            </w:r>
          </w:p>
        </w:tc>
        <w:tc>
          <w:tcPr>
            <w:tcW w:w="4496" w:type="dxa"/>
          </w:tcPr>
          <w:p>
            <w:pPr>
              <w:pStyle w:val="TableParagraph"/>
              <w:ind w:left="62"/>
              <w:jc w:val="left"/>
              <w:rPr>
                <w:sz w:val="17"/>
              </w:rPr>
            </w:pPr>
            <w:r>
              <w:rPr>
                <w:sz w:val="17"/>
              </w:rPr>
              <w:t>Advance Statutory Bonus#*</w:t>
            </w:r>
          </w:p>
        </w:tc>
        <w:tc>
          <w:tcPr>
            <w:tcW w:w="2137" w:type="dxa"/>
          </w:tcPr>
          <w:p>
            <w:pPr>
              <w:pStyle w:val="TableParagraph"/>
              <w:ind w:right="51"/>
              <w:rPr>
                <w:sz w:val="17"/>
              </w:rPr>
            </w:pPr>
            <w:r>
              <w:rPr>
                <w:sz w:val="17"/>
              </w:rPr>
              <w:t>2,000</w:t>
            </w:r>
          </w:p>
        </w:tc>
        <w:tc>
          <w:tcPr>
            <w:tcW w:w="2137" w:type="dxa"/>
          </w:tcPr>
          <w:p>
            <w:pPr>
              <w:pStyle w:val="TableParagraph"/>
              <w:ind w:right="52"/>
              <w:rPr>
                <w:sz w:val="17"/>
              </w:rPr>
            </w:pPr>
            <w:r>
              <w:rPr>
                <w:sz w:val="17"/>
              </w:rPr>
              <w:t>24,000</w:t>
            </w:r>
          </w:p>
        </w:tc>
      </w:tr>
      <w:tr>
        <w:trPr>
          <w:trHeight w:val="328" w:hRule="atLeast"/>
        </w:trPr>
        <w:tc>
          <w:tcPr>
            <w:tcW w:w="967" w:type="dxa"/>
          </w:tcPr>
          <w:p>
            <w:pPr>
              <w:pStyle w:val="TableParagraph"/>
              <w:ind w:left="19"/>
              <w:jc w:val="center"/>
              <w:rPr>
                <w:sz w:val="17"/>
              </w:rPr>
            </w:pPr>
            <w:r>
              <w:rPr>
                <w:w w:val="102"/>
                <w:sz w:val="17"/>
              </w:rPr>
              <w:t>6</w:t>
            </w:r>
          </w:p>
        </w:tc>
        <w:tc>
          <w:tcPr>
            <w:tcW w:w="4496" w:type="dxa"/>
          </w:tcPr>
          <w:p>
            <w:pPr>
              <w:pStyle w:val="TableParagraph"/>
              <w:ind w:left="62"/>
              <w:jc w:val="left"/>
              <w:rPr>
                <w:sz w:val="17"/>
              </w:rPr>
            </w:pPr>
            <w:r>
              <w:rPr>
                <w:sz w:val="17"/>
              </w:rPr>
              <w:t>Conveyance Allowance</w:t>
            </w:r>
          </w:p>
        </w:tc>
        <w:tc>
          <w:tcPr>
            <w:tcW w:w="2137" w:type="dxa"/>
          </w:tcPr>
          <w:p>
            <w:pPr>
              <w:pStyle w:val="TableParagraph"/>
              <w:ind w:right="52"/>
              <w:rPr>
                <w:sz w:val="17"/>
              </w:rPr>
            </w:pPr>
            <w:r>
              <w:rPr>
                <w:sz w:val="17"/>
              </w:rPr>
              <w:t>800</w:t>
            </w:r>
          </w:p>
        </w:tc>
        <w:tc>
          <w:tcPr>
            <w:tcW w:w="2137" w:type="dxa"/>
          </w:tcPr>
          <w:p>
            <w:pPr>
              <w:pStyle w:val="TableParagraph"/>
              <w:ind w:right="52"/>
              <w:rPr>
                <w:sz w:val="17"/>
              </w:rPr>
            </w:pPr>
            <w:r>
              <w:rPr>
                <w:sz w:val="17"/>
              </w:rPr>
              <w:t>9,600</w:t>
            </w:r>
          </w:p>
        </w:tc>
      </w:tr>
      <w:tr>
        <w:trPr>
          <w:trHeight w:val="328" w:hRule="atLeast"/>
        </w:trPr>
        <w:tc>
          <w:tcPr>
            <w:tcW w:w="967" w:type="dxa"/>
          </w:tcPr>
          <w:p>
            <w:pPr>
              <w:pStyle w:val="TableParagraph"/>
              <w:ind w:left="19"/>
              <w:jc w:val="center"/>
              <w:rPr>
                <w:sz w:val="17"/>
              </w:rPr>
            </w:pPr>
            <w:r>
              <w:rPr>
                <w:w w:val="102"/>
                <w:sz w:val="17"/>
              </w:rPr>
              <w:t>7</w:t>
            </w:r>
          </w:p>
        </w:tc>
        <w:tc>
          <w:tcPr>
            <w:tcW w:w="4496" w:type="dxa"/>
          </w:tcPr>
          <w:p>
            <w:pPr>
              <w:pStyle w:val="TableParagraph"/>
              <w:ind w:left="62"/>
              <w:jc w:val="left"/>
              <w:rPr>
                <w:sz w:val="17"/>
              </w:rPr>
            </w:pPr>
            <w:r>
              <w:rPr>
                <w:sz w:val="17"/>
              </w:rPr>
              <w:t>Company's Contribution to PF*</w:t>
            </w:r>
          </w:p>
        </w:tc>
        <w:tc>
          <w:tcPr>
            <w:tcW w:w="2137" w:type="dxa"/>
          </w:tcPr>
          <w:p>
            <w:pPr>
              <w:pStyle w:val="TableParagraph"/>
              <w:ind w:right="51"/>
              <w:rPr>
                <w:sz w:val="17"/>
              </w:rPr>
            </w:pPr>
            <w:r>
              <w:rPr>
                <w:sz w:val="17"/>
              </w:rPr>
              <w:t>1,800</w:t>
            </w:r>
          </w:p>
        </w:tc>
        <w:tc>
          <w:tcPr>
            <w:tcW w:w="2137" w:type="dxa"/>
          </w:tcPr>
          <w:p>
            <w:pPr>
              <w:pStyle w:val="TableParagraph"/>
              <w:ind w:right="52"/>
              <w:rPr>
                <w:sz w:val="17"/>
              </w:rPr>
            </w:pPr>
            <w:r>
              <w:rPr>
                <w:sz w:val="17"/>
              </w:rPr>
              <w:t>21,600</w:t>
            </w:r>
          </w:p>
        </w:tc>
      </w:tr>
      <w:tr>
        <w:trPr>
          <w:trHeight w:val="328" w:hRule="atLeast"/>
        </w:trPr>
        <w:tc>
          <w:tcPr>
            <w:tcW w:w="967" w:type="dxa"/>
          </w:tcPr>
          <w:p>
            <w:pPr>
              <w:pStyle w:val="TableParagraph"/>
              <w:ind w:left="19"/>
              <w:jc w:val="center"/>
              <w:rPr>
                <w:sz w:val="17"/>
              </w:rPr>
            </w:pPr>
            <w:r>
              <w:rPr>
                <w:w w:val="102"/>
                <w:sz w:val="17"/>
              </w:rPr>
              <w:t>8</w:t>
            </w:r>
          </w:p>
        </w:tc>
        <w:tc>
          <w:tcPr>
            <w:tcW w:w="4496" w:type="dxa"/>
          </w:tcPr>
          <w:p>
            <w:pPr>
              <w:pStyle w:val="TableParagraph"/>
              <w:ind w:left="62"/>
              <w:jc w:val="left"/>
              <w:rPr>
                <w:sz w:val="17"/>
              </w:rPr>
            </w:pPr>
            <w:r>
              <w:rPr>
                <w:sz w:val="17"/>
              </w:rPr>
              <w:t>Annual Gross Compensation</w:t>
            </w:r>
          </w:p>
        </w:tc>
        <w:tc>
          <w:tcPr>
            <w:tcW w:w="4274" w:type="dxa"/>
            <w:gridSpan w:val="2"/>
          </w:tcPr>
          <w:p>
            <w:pPr>
              <w:pStyle w:val="TableParagraph"/>
              <w:ind w:right="52"/>
              <w:rPr>
                <w:sz w:val="17"/>
              </w:rPr>
            </w:pPr>
            <w:r>
              <w:rPr>
                <w:sz w:val="17"/>
              </w:rPr>
              <w:t>464,100</w:t>
            </w:r>
          </w:p>
        </w:tc>
      </w:tr>
      <w:tr>
        <w:trPr>
          <w:trHeight w:val="328" w:hRule="atLeast"/>
        </w:trPr>
        <w:tc>
          <w:tcPr>
            <w:tcW w:w="967" w:type="dxa"/>
          </w:tcPr>
          <w:p>
            <w:pPr>
              <w:pStyle w:val="TableParagraph"/>
              <w:ind w:left="19"/>
              <w:jc w:val="center"/>
              <w:rPr>
                <w:sz w:val="17"/>
              </w:rPr>
            </w:pPr>
            <w:r>
              <w:rPr>
                <w:w w:val="102"/>
                <w:sz w:val="17"/>
              </w:rPr>
              <w:t>9</w:t>
            </w:r>
          </w:p>
        </w:tc>
        <w:tc>
          <w:tcPr>
            <w:tcW w:w="4496" w:type="dxa"/>
          </w:tcPr>
          <w:p>
            <w:pPr>
              <w:pStyle w:val="TableParagraph"/>
              <w:ind w:left="62"/>
              <w:jc w:val="left"/>
              <w:rPr>
                <w:sz w:val="17"/>
              </w:rPr>
            </w:pPr>
            <w:r>
              <w:rPr>
                <w:sz w:val="17"/>
              </w:rPr>
              <w:t>Incentive**</w:t>
            </w:r>
          </w:p>
        </w:tc>
        <w:tc>
          <w:tcPr>
            <w:tcW w:w="4274" w:type="dxa"/>
            <w:gridSpan w:val="2"/>
          </w:tcPr>
          <w:p>
            <w:pPr>
              <w:pStyle w:val="TableParagraph"/>
              <w:ind w:right="52"/>
              <w:rPr>
                <w:sz w:val="17"/>
              </w:rPr>
            </w:pPr>
            <w:r>
              <w:rPr>
                <w:sz w:val="17"/>
              </w:rPr>
              <w:t>20,000</w:t>
            </w:r>
          </w:p>
        </w:tc>
      </w:tr>
      <w:tr>
        <w:trPr>
          <w:trHeight w:val="328" w:hRule="atLeast"/>
        </w:trPr>
        <w:tc>
          <w:tcPr>
            <w:tcW w:w="967" w:type="dxa"/>
          </w:tcPr>
          <w:p>
            <w:pPr>
              <w:pStyle w:val="TableParagraph"/>
              <w:ind w:left="259" w:right="241"/>
              <w:jc w:val="center"/>
              <w:rPr>
                <w:sz w:val="17"/>
              </w:rPr>
            </w:pPr>
            <w:r>
              <w:rPr>
                <w:sz w:val="17"/>
              </w:rPr>
              <w:t>10</w:t>
            </w:r>
          </w:p>
        </w:tc>
        <w:tc>
          <w:tcPr>
            <w:tcW w:w="4496" w:type="dxa"/>
          </w:tcPr>
          <w:p>
            <w:pPr>
              <w:pStyle w:val="TableParagraph"/>
              <w:ind w:left="62"/>
              <w:jc w:val="left"/>
              <w:rPr>
                <w:sz w:val="17"/>
              </w:rPr>
            </w:pPr>
            <w:r>
              <w:rPr>
                <w:sz w:val="17"/>
              </w:rPr>
              <w:t>Annual Total Compensation</w:t>
            </w:r>
          </w:p>
        </w:tc>
        <w:tc>
          <w:tcPr>
            <w:tcW w:w="4274" w:type="dxa"/>
            <w:gridSpan w:val="2"/>
          </w:tcPr>
          <w:p>
            <w:pPr>
              <w:pStyle w:val="TableParagraph"/>
              <w:ind w:right="52"/>
              <w:rPr>
                <w:sz w:val="17"/>
              </w:rPr>
            </w:pPr>
            <w:r>
              <w:rPr>
                <w:sz w:val="17"/>
              </w:rPr>
              <w:t>484,100</w:t>
            </w:r>
          </w:p>
        </w:tc>
      </w:tr>
      <w:tr>
        <w:trPr>
          <w:trHeight w:val="328" w:hRule="atLeast"/>
        </w:trPr>
        <w:tc>
          <w:tcPr>
            <w:tcW w:w="967" w:type="dxa"/>
          </w:tcPr>
          <w:p>
            <w:pPr>
              <w:pStyle w:val="TableParagraph"/>
              <w:ind w:left="241" w:right="241"/>
              <w:jc w:val="center"/>
              <w:rPr>
                <w:sz w:val="17"/>
              </w:rPr>
            </w:pPr>
            <w:r>
              <w:rPr>
                <w:sz w:val="17"/>
              </w:rPr>
              <w:t>11</w:t>
            </w:r>
          </w:p>
        </w:tc>
        <w:tc>
          <w:tcPr>
            <w:tcW w:w="4496" w:type="dxa"/>
          </w:tcPr>
          <w:p>
            <w:pPr>
              <w:pStyle w:val="TableParagraph"/>
              <w:ind w:left="62"/>
              <w:jc w:val="left"/>
              <w:rPr>
                <w:sz w:val="17"/>
              </w:rPr>
            </w:pPr>
            <w:r>
              <w:rPr>
                <w:sz w:val="17"/>
              </w:rPr>
              <w:t>Cognizant Business Allowance****</w:t>
            </w:r>
          </w:p>
        </w:tc>
        <w:tc>
          <w:tcPr>
            <w:tcW w:w="4274" w:type="dxa"/>
            <w:gridSpan w:val="2"/>
          </w:tcPr>
          <w:p>
            <w:pPr>
              <w:pStyle w:val="TableParagraph"/>
              <w:ind w:right="52"/>
              <w:rPr>
                <w:sz w:val="17"/>
              </w:rPr>
            </w:pPr>
            <w:r>
              <w:rPr>
                <w:sz w:val="17"/>
              </w:rPr>
              <w:t>50,000</w:t>
            </w:r>
          </w:p>
        </w:tc>
      </w:tr>
      <w:tr>
        <w:trPr>
          <w:trHeight w:val="541" w:hRule="atLeast"/>
        </w:trPr>
        <w:tc>
          <w:tcPr>
            <w:tcW w:w="967" w:type="dxa"/>
          </w:tcPr>
          <w:p>
            <w:pPr>
              <w:pStyle w:val="TableParagraph"/>
              <w:spacing w:before="8"/>
              <w:jc w:val="left"/>
              <w:rPr>
                <w:sz w:val="14"/>
              </w:rPr>
            </w:pPr>
          </w:p>
          <w:p>
            <w:pPr>
              <w:pStyle w:val="TableParagraph"/>
              <w:spacing w:before="0"/>
              <w:ind w:left="259" w:right="241"/>
              <w:jc w:val="center"/>
              <w:rPr>
                <w:sz w:val="17"/>
              </w:rPr>
            </w:pPr>
            <w:r>
              <w:rPr>
                <w:sz w:val="17"/>
              </w:rPr>
              <w:t>12</w:t>
            </w:r>
          </w:p>
        </w:tc>
        <w:tc>
          <w:tcPr>
            <w:tcW w:w="4496" w:type="dxa"/>
          </w:tcPr>
          <w:p>
            <w:pPr>
              <w:pStyle w:val="TableParagraph"/>
              <w:spacing w:line="261" w:lineRule="auto"/>
              <w:ind w:left="62"/>
              <w:jc w:val="left"/>
              <w:rPr>
                <w:sz w:val="17"/>
              </w:rPr>
            </w:pPr>
            <w:r>
              <w:rPr>
                <w:sz w:val="17"/>
              </w:rPr>
              <w:t>Company’s contribution towards benefits (Medical, Accident and Life Insurance)</w:t>
            </w:r>
          </w:p>
        </w:tc>
        <w:tc>
          <w:tcPr>
            <w:tcW w:w="4274" w:type="dxa"/>
            <w:gridSpan w:val="2"/>
          </w:tcPr>
          <w:p>
            <w:pPr>
              <w:pStyle w:val="TableParagraph"/>
              <w:spacing w:before="8"/>
              <w:jc w:val="left"/>
              <w:rPr>
                <w:sz w:val="14"/>
              </w:rPr>
            </w:pPr>
          </w:p>
          <w:p>
            <w:pPr>
              <w:pStyle w:val="TableParagraph"/>
              <w:spacing w:before="0"/>
              <w:ind w:right="52"/>
              <w:rPr>
                <w:sz w:val="17"/>
              </w:rPr>
            </w:pPr>
            <w:r>
              <w:rPr>
                <w:sz w:val="17"/>
              </w:rPr>
              <w:t>19,500</w:t>
            </w:r>
          </w:p>
        </w:tc>
      </w:tr>
      <w:tr>
        <w:trPr>
          <w:trHeight w:val="328" w:hRule="atLeast"/>
        </w:trPr>
        <w:tc>
          <w:tcPr>
            <w:tcW w:w="967" w:type="dxa"/>
          </w:tcPr>
          <w:p>
            <w:pPr>
              <w:pStyle w:val="TableParagraph"/>
              <w:ind w:left="259" w:right="241"/>
              <w:jc w:val="center"/>
              <w:rPr>
                <w:sz w:val="17"/>
              </w:rPr>
            </w:pPr>
            <w:r>
              <w:rPr>
                <w:sz w:val="17"/>
              </w:rPr>
              <w:t>13</w:t>
            </w:r>
          </w:p>
        </w:tc>
        <w:tc>
          <w:tcPr>
            <w:tcW w:w="4496" w:type="dxa"/>
          </w:tcPr>
          <w:p>
            <w:pPr>
              <w:pStyle w:val="TableParagraph"/>
              <w:ind w:left="62"/>
              <w:jc w:val="left"/>
              <w:rPr>
                <w:sz w:val="17"/>
              </w:rPr>
            </w:pPr>
            <w:r>
              <w:rPr>
                <w:sz w:val="17"/>
              </w:rPr>
              <w:t>Total Remuneration</w:t>
            </w:r>
          </w:p>
        </w:tc>
        <w:tc>
          <w:tcPr>
            <w:tcW w:w="4274" w:type="dxa"/>
            <w:gridSpan w:val="2"/>
          </w:tcPr>
          <w:p>
            <w:pPr>
              <w:pStyle w:val="TableParagraph"/>
              <w:ind w:right="52"/>
              <w:rPr>
                <w:sz w:val="17"/>
              </w:rPr>
            </w:pPr>
            <w:r>
              <w:rPr>
                <w:sz w:val="17"/>
              </w:rPr>
              <w:t>553,600</w:t>
            </w:r>
          </w:p>
        </w:tc>
      </w:tr>
    </w:tbl>
    <w:p>
      <w:pPr>
        <w:pStyle w:val="BodyText"/>
        <w:spacing w:before="4"/>
        <w:rPr>
          <w:sz w:val="10"/>
        </w:rPr>
      </w:pPr>
    </w:p>
    <w:p>
      <w:pPr>
        <w:pStyle w:val="Heading1"/>
        <w:spacing w:before="98"/>
        <w:ind w:left="117"/>
      </w:pPr>
      <w:r>
        <w:rPr/>
        <w:t>You may read about your India Total Rewards (C&amp;B) at </w:t>
      </w:r>
      <w:hyperlink r:id="rId6">
        <w:r>
          <w:rPr>
            <w:color w:val="0000ED"/>
            <w:u w:val="single" w:color="0000ED"/>
          </w:rPr>
          <w:t>1C &gt; Total Rewards App</w:t>
        </w:r>
      </w:hyperlink>
    </w:p>
    <w:p>
      <w:pPr>
        <w:pStyle w:val="BodyText"/>
        <w:rPr>
          <w:b/>
          <w:sz w:val="14"/>
        </w:rPr>
      </w:pPr>
    </w:p>
    <w:p>
      <w:pPr>
        <w:spacing w:before="98"/>
        <w:ind w:left="146" w:right="0" w:firstLine="0"/>
        <w:jc w:val="left"/>
        <w:rPr>
          <w:b/>
          <w:sz w:val="17"/>
        </w:rPr>
      </w:pPr>
      <w:r>
        <w:rPr>
          <w:b/>
          <w:sz w:val="17"/>
        </w:rPr>
        <w:t>*PF Contribution : Please refer to the PF policy at </w:t>
      </w:r>
      <w:hyperlink r:id="rId7">
        <w:r>
          <w:rPr>
            <w:b/>
            <w:color w:val="0000ED"/>
            <w:sz w:val="17"/>
            <w:u w:val="single" w:color="0000ED"/>
          </w:rPr>
          <w:t>1C &gt; Policy Repository App</w:t>
        </w:r>
      </w:hyperlink>
    </w:p>
    <w:p>
      <w:pPr>
        <w:pStyle w:val="BodyText"/>
        <w:spacing w:before="9"/>
        <w:rPr>
          <w:b/>
          <w:sz w:val="9"/>
        </w:rPr>
      </w:pPr>
    </w:p>
    <w:p>
      <w:pPr>
        <w:pStyle w:val="BodyText"/>
        <w:spacing w:line="261" w:lineRule="auto" w:before="98"/>
        <w:ind w:left="146" w:right="146"/>
        <w:jc w:val="both"/>
      </w:pPr>
      <w:r>
        <w:rPr/>
        <w:t>**</w:t>
      </w:r>
      <w:r>
        <w:rPr>
          <w:b/>
        </w:rPr>
        <w:t>Incentive </w:t>
      </w:r>
      <w:r>
        <w:rPr/>
        <w:t>amount may be higher, lower, or nil as per the terms described herein. The incentive program is discretionary, subject to change, and based on individual and company performance. It is pro-rated to the duration spent with Cognizant for  the</w:t>
      </w:r>
      <w:r>
        <w:rPr>
          <w:spacing w:val="7"/>
        </w:rPr>
        <w:t> </w:t>
      </w:r>
      <w:r>
        <w:rPr/>
        <w:t>calendar</w:t>
      </w:r>
      <w:r>
        <w:rPr>
          <w:spacing w:val="8"/>
        </w:rPr>
        <w:t> </w:t>
      </w:r>
      <w:r>
        <w:rPr/>
        <w:t>year</w:t>
      </w:r>
      <w:r>
        <w:rPr>
          <w:spacing w:val="9"/>
        </w:rPr>
        <w:t> </w:t>
      </w:r>
      <w:r>
        <w:rPr/>
        <w:t>and</w:t>
      </w:r>
      <w:r>
        <w:rPr>
          <w:spacing w:val="8"/>
        </w:rPr>
        <w:t> </w:t>
      </w:r>
      <w:r>
        <w:rPr/>
        <w:t>will</w:t>
      </w:r>
      <w:r>
        <w:rPr>
          <w:spacing w:val="8"/>
        </w:rPr>
        <w:t> </w:t>
      </w:r>
      <w:r>
        <w:rPr/>
        <w:t>be</w:t>
      </w:r>
      <w:r>
        <w:rPr>
          <w:spacing w:val="9"/>
        </w:rPr>
        <w:t> </w:t>
      </w:r>
      <w:r>
        <w:rPr/>
        <w:t>paid</w:t>
      </w:r>
      <w:r>
        <w:rPr>
          <w:spacing w:val="8"/>
        </w:rPr>
        <w:t> </w:t>
      </w:r>
      <w:r>
        <w:rPr/>
        <w:t>to</w:t>
      </w:r>
      <w:r>
        <w:rPr>
          <w:spacing w:val="7"/>
        </w:rPr>
        <w:t> </w:t>
      </w:r>
      <w:r>
        <w:rPr/>
        <w:t>you</w:t>
      </w:r>
      <w:r>
        <w:rPr>
          <w:spacing w:val="9"/>
        </w:rPr>
        <w:t> </w:t>
      </w:r>
      <w:r>
        <w:rPr/>
        <w:t>only</w:t>
      </w:r>
      <w:r>
        <w:rPr>
          <w:spacing w:val="8"/>
        </w:rPr>
        <w:t> </w:t>
      </w:r>
      <w:r>
        <w:rPr/>
        <w:t>if</w:t>
      </w:r>
      <w:r>
        <w:rPr>
          <w:spacing w:val="9"/>
        </w:rPr>
        <w:t> </w:t>
      </w:r>
      <w:r>
        <w:rPr/>
        <w:t>you</w:t>
      </w:r>
      <w:r>
        <w:rPr>
          <w:spacing w:val="8"/>
        </w:rPr>
        <w:t> </w:t>
      </w:r>
      <w:r>
        <w:rPr/>
        <w:t>are</w:t>
      </w:r>
      <w:r>
        <w:rPr>
          <w:spacing w:val="9"/>
        </w:rPr>
        <w:t> </w:t>
      </w:r>
      <w:r>
        <w:rPr/>
        <w:t>active</w:t>
      </w:r>
      <w:r>
        <w:rPr>
          <w:spacing w:val="8"/>
        </w:rPr>
        <w:t> </w:t>
      </w:r>
      <w:r>
        <w:rPr/>
        <w:t>on</w:t>
      </w:r>
      <w:r>
        <w:rPr>
          <w:spacing w:val="8"/>
        </w:rPr>
        <w:t> </w:t>
      </w:r>
      <w:r>
        <w:rPr/>
        <w:t>Cognizant's</w:t>
      </w:r>
      <w:r>
        <w:rPr>
          <w:spacing w:val="9"/>
        </w:rPr>
        <w:t> </w:t>
      </w:r>
      <w:r>
        <w:rPr/>
        <w:t>payroll</w:t>
      </w:r>
      <w:r>
        <w:rPr>
          <w:spacing w:val="8"/>
        </w:rPr>
        <w:t> </w:t>
      </w:r>
      <w:r>
        <w:rPr/>
        <w:t>on</w:t>
      </w:r>
      <w:r>
        <w:rPr>
          <w:spacing w:val="9"/>
        </w:rPr>
        <w:t> </w:t>
      </w:r>
      <w:r>
        <w:rPr/>
        <w:t>the</w:t>
      </w:r>
      <w:r>
        <w:rPr>
          <w:spacing w:val="7"/>
        </w:rPr>
        <w:t> </w:t>
      </w:r>
      <w:r>
        <w:rPr/>
        <w:t>day</w:t>
      </w:r>
      <w:r>
        <w:rPr>
          <w:spacing w:val="8"/>
        </w:rPr>
        <w:t> </w:t>
      </w:r>
      <w:r>
        <w:rPr/>
        <w:t>of</w:t>
      </w:r>
      <w:r>
        <w:rPr>
          <w:spacing w:val="9"/>
        </w:rPr>
        <w:t> </w:t>
      </w:r>
      <w:r>
        <w:rPr/>
        <w:t>the</w:t>
      </w:r>
      <w:r>
        <w:rPr>
          <w:spacing w:val="7"/>
        </w:rPr>
        <w:t> </w:t>
      </w:r>
      <w:r>
        <w:rPr/>
        <w:t>payout</w:t>
      </w:r>
      <w:r>
        <w:rPr>
          <w:spacing w:val="8"/>
        </w:rPr>
        <w:t> </w:t>
      </w:r>
      <w:r>
        <w:rPr/>
        <w:t>of</w:t>
      </w:r>
      <w:r>
        <w:rPr>
          <w:spacing w:val="9"/>
        </w:rPr>
        <w:t> </w:t>
      </w:r>
      <w:r>
        <w:rPr/>
        <w:t>the</w:t>
      </w:r>
      <w:r>
        <w:rPr>
          <w:spacing w:val="7"/>
        </w:rPr>
        <w:t> </w:t>
      </w:r>
      <w:r>
        <w:rPr/>
        <w:t>incentive.</w:t>
      </w:r>
    </w:p>
    <w:p>
      <w:pPr>
        <w:pStyle w:val="BodyText"/>
        <w:spacing w:line="261" w:lineRule="auto" w:before="154"/>
        <w:ind w:left="146" w:right="141"/>
        <w:jc w:val="both"/>
      </w:pPr>
      <w:r>
        <w:rPr/>
        <w:t>The above pay structure shall be modified at the discretion of Company without any changes to the Annual Gross Compensation (AGC).</w:t>
      </w:r>
    </w:p>
    <w:p>
      <w:pPr>
        <w:pStyle w:val="BodyText"/>
        <w:rPr>
          <w:sz w:val="18"/>
        </w:rPr>
      </w:pPr>
    </w:p>
    <w:p>
      <w:pPr>
        <w:pStyle w:val="BodyText"/>
        <w:spacing w:before="2"/>
      </w:pPr>
    </w:p>
    <w:p>
      <w:pPr>
        <w:spacing w:before="1"/>
        <w:ind w:left="146" w:right="0" w:firstLine="0"/>
        <w:jc w:val="both"/>
        <w:rPr>
          <w:sz w:val="17"/>
        </w:rPr>
      </w:pPr>
      <w:r>
        <w:rPr>
          <w:b/>
          <w:sz w:val="17"/>
        </w:rPr>
        <w:t>#*Advance Statutory Bonus </w:t>
      </w:r>
      <w:r>
        <w:rPr>
          <w:sz w:val="17"/>
        </w:rPr>
        <w:t>is in line with the provisions of Payment of Bonus Act, 1965.</w:t>
      </w:r>
    </w:p>
    <w:p>
      <w:pPr>
        <w:pStyle w:val="BodyText"/>
        <w:spacing w:before="11"/>
        <w:rPr>
          <w:sz w:val="19"/>
        </w:rPr>
      </w:pPr>
    </w:p>
    <w:p>
      <w:pPr>
        <w:pStyle w:val="BodyText"/>
        <w:spacing w:line="261" w:lineRule="auto"/>
        <w:ind w:left="146" w:right="130"/>
        <w:jc w:val="both"/>
      </w:pPr>
      <w:r>
        <w:rPr>
          <w:b/>
          <w:spacing w:val="5"/>
        </w:rPr>
        <w:t>****Cognizant Business Allowance </w:t>
      </w:r>
      <w:r>
        <w:rPr>
          <w:spacing w:val="7"/>
        </w:rPr>
        <w:t>is </w:t>
      </w:r>
      <w:r>
        <w:rPr>
          <w:spacing w:val="10"/>
        </w:rPr>
        <w:t>paid </w:t>
      </w:r>
      <w:r>
        <w:rPr>
          <w:spacing w:val="7"/>
        </w:rPr>
        <w:t>to </w:t>
      </w:r>
      <w:r>
        <w:rPr>
          <w:spacing w:val="12"/>
        </w:rPr>
        <w:t>associates </w:t>
      </w:r>
      <w:r>
        <w:rPr>
          <w:spacing w:val="10"/>
        </w:rPr>
        <w:t>with </w:t>
      </w:r>
      <w:r>
        <w:rPr>
          <w:spacing w:val="11"/>
        </w:rPr>
        <w:t>Niche </w:t>
      </w:r>
      <w:r>
        <w:rPr>
          <w:spacing w:val="12"/>
        </w:rPr>
        <w:t>skills </w:t>
      </w:r>
      <w:r>
        <w:rPr>
          <w:spacing w:val="9"/>
        </w:rPr>
        <w:t>and </w:t>
      </w:r>
      <w:r>
        <w:rPr>
          <w:spacing w:val="11"/>
        </w:rPr>
        <w:t>(or) </w:t>
      </w:r>
      <w:r>
        <w:rPr>
          <w:spacing w:val="12"/>
        </w:rPr>
        <w:t>associates </w:t>
      </w:r>
      <w:r>
        <w:rPr>
          <w:spacing w:val="10"/>
        </w:rPr>
        <w:t>part </w:t>
      </w:r>
      <w:r>
        <w:rPr>
          <w:spacing w:val="7"/>
        </w:rPr>
        <w:t>of </w:t>
      </w:r>
      <w:r>
        <w:rPr>
          <w:spacing w:val="15"/>
        </w:rPr>
        <w:t>critical </w:t>
      </w:r>
      <w:r>
        <w:rPr/>
        <w:t>customer/internal engagements. This amount will be paid until June 2021 on a quarterly basis along with the payroll during the months of Dec, Mar &amp; Jun. The amount will be pro-rated to the duration spent with Cognizant India (based on number of days    in the quarter) and will be paid to you only if you are active in Cognizant India payroll on the day of the</w:t>
      </w:r>
      <w:r>
        <w:rPr>
          <w:spacing w:val="1"/>
        </w:rPr>
        <w:t> </w:t>
      </w:r>
      <w:r>
        <w:rPr/>
        <w:t>payment.</w:t>
      </w:r>
    </w:p>
    <w:p>
      <w:pPr>
        <w:pStyle w:val="BodyText"/>
        <w:spacing w:line="261" w:lineRule="auto"/>
        <w:ind w:left="146" w:right="147"/>
        <w:jc w:val="both"/>
      </w:pPr>
      <w:r>
        <w:rPr/>
        <w:t>This will be paid to you only if you have at least 80% billable utilization in the preceding 3 months from the payout months. In case the utilization is below the threshold for 2 quarters, CBA payout will be stopped.</w:t>
      </w:r>
    </w:p>
    <w:p>
      <w:pPr>
        <w:pStyle w:val="BodyText"/>
        <w:spacing w:line="195" w:lineRule="exact"/>
        <w:ind w:left="146"/>
        <w:jc w:val="both"/>
      </w:pPr>
      <w:r>
        <w:rPr/>
        <w:t>Applicable only to associates in billable roles.</w:t>
      </w:r>
    </w:p>
    <w:p>
      <w:pPr>
        <w:pStyle w:val="BodyText"/>
        <w:spacing w:before="10"/>
        <w:rPr>
          <w:sz w:val="19"/>
        </w:rPr>
      </w:pPr>
    </w:p>
    <w:p>
      <w:pPr>
        <w:pStyle w:val="BodyText"/>
        <w:spacing w:line="261" w:lineRule="auto"/>
        <w:ind w:left="146" w:right="142"/>
        <w:jc w:val="both"/>
      </w:pPr>
      <w:r>
        <w:rPr/>
        <w:t>The above allowances are (is) an Adhoc ex-gratia payment at the absolute discretion of Cognizant subject to the applicable taxes/statutory deductions. This and such other policies of Cognizant does not cast any independent rights to you or any associate to claim it as a matter of right at any point of time either during the course of your/their employment or after the cessation of your/their employment with Cognizant. Cognizant reserves the absolute rights to abandon, withdraw or modify (either in full or in part) this Adhoc ex-gratia payment without any prior intimation, consent or notice to or from any person including you.</w:t>
      </w:r>
    </w:p>
    <w:p>
      <w:pPr>
        <w:pStyle w:val="BodyText"/>
        <w:spacing w:line="193" w:lineRule="exact"/>
        <w:ind w:left="146"/>
        <w:jc w:val="both"/>
      </w:pPr>
      <w:r>
        <w:rPr/>
        <w:t>This award does not prevent against any disciplinary action as applicable to you as per the Company Policy.</w:t>
      </w:r>
    </w:p>
    <w:p>
      <w:pPr>
        <w:spacing w:before="159"/>
        <w:ind w:left="3628" w:right="3623" w:firstLine="0"/>
        <w:jc w:val="center"/>
        <w:rPr>
          <w:sz w:val="7"/>
        </w:rPr>
      </w:pPr>
      <w:r>
        <w:rPr>
          <w:w w:val="110"/>
          <w:sz w:val="7"/>
        </w:rPr>
        <w:t>For Internal Circulation only; not valid for other purpose unless duly authorized.</w:t>
      </w:r>
    </w:p>
    <w:p>
      <w:pPr>
        <w:spacing w:before="17"/>
        <w:ind w:left="3626" w:right="3623" w:firstLine="0"/>
        <w:jc w:val="center"/>
        <w:rPr>
          <w:sz w:val="7"/>
        </w:rPr>
      </w:pPr>
      <w:r>
        <w:rPr>
          <w:w w:val="110"/>
          <w:sz w:val="7"/>
        </w:rPr>
        <w:t>Cognizant Technology Solutions India Private Limited.</w:t>
      </w:r>
    </w:p>
    <w:sectPr>
      <w:pgSz w:w="11900" w:h="16840"/>
      <w:pgMar w:top="520" w:bottom="280" w:left="96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7"/>
      <w:szCs w:val="17"/>
      <w:lang w:val="en-US" w:eastAsia="en-US" w:bidi="ar-SA"/>
    </w:rPr>
  </w:style>
  <w:style w:styleId="Heading1" w:type="paragraph">
    <w:name w:val="Heading 1"/>
    <w:basedOn w:val="Normal"/>
    <w:uiPriority w:val="1"/>
    <w:qFormat/>
    <w:pPr>
      <w:ind w:left="146"/>
      <w:outlineLvl w:val="1"/>
    </w:pPr>
    <w:rPr>
      <w:rFonts w:ascii="Arial" w:hAnsi="Arial" w:eastAsia="Arial" w:cs="Arial"/>
      <w:b/>
      <w:bCs/>
      <w:sz w:val="17"/>
      <w:szCs w:val="17"/>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62"/>
      <w:jc w:val="righ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s://onecognizant.cognizant.com/Apps/default.aspx?GlobalAppId=416" TargetMode="External"/><Relationship Id="rId7" Type="http://schemas.openxmlformats.org/officeDocument/2006/relationships/hyperlink" Target="https://onecognizant.cognizant.com/?globalAppID=2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2021-05-28T08:40:05Z</dcterms:created>
  <dcterms:modified xsi:type="dcterms:W3CDTF">2021-05-28T08:40:05Z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2021-05-28T00:00:00Z</vt:filetime>
  </property>
</Properties>
</file>