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ff6d83735c4610" 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>Underwriting loss analysis — quote Q-SAMPLE-10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rPr>
          <w:tblHeader/>
        </w:trPr>
        <w:tc>
          <w:p>
            <w:r>
              <w:rPr>
                <w:sz w:val="18"/>
                <w:b/>
              </w:rPr>
              <w:t xml:space="preserve">Quote</w:t>
            </w:r>
          </w:p>
        </w:tc>
        <w:tc>
          <w:p>
            <w:r>
              <w:rPr>
                <w:sz w:val="18"/>
                <w:b/>
              </w:rPr>
              <w:t xml:space="preserve">Insured</w:t>
            </w:r>
          </w:p>
        </w:tc>
        <w:tc>
          <w:p>
            <w:r>
              <w:rPr>
                <w:sz w:val="18"/>
                <w:b/>
              </w:rPr>
              <w:t xml:space="preserve">Carrier(s)</w:t>
            </w:r>
          </w:p>
        </w:tc>
        <w:tc>
          <w:p>
            <w:r>
              <w:rPr>
                <w:sz w:val="18"/>
                <w:b/>
              </w:rPr>
              <w:t xml:space="preserve">Valuation date</w:t>
            </w:r>
          </w:p>
        </w:tc>
        <w:tc>
          <w:p>
            <w:r>
              <w:rPr>
                <w:sz w:val="18"/>
                <w:b/>
              </w:rPr>
              <w:t xml:space="preserve">Documents</w:t>
            </w:r>
          </w:p>
        </w:tc>
        <w:tc>
          <w:p>
            <w:r>
              <w:rPr>
                <w:sz w:val="18"/>
                <w:b/>
              </w:rPr>
              <w:t xml:space="preserve">Claims</w:t>
            </w:r>
          </w:p>
        </w:tc>
      </w:tr>
      <w:tr>
        <w:tc>
          <w:p>
            <w:r>
              <w:rPr>
                <w:sz w:val="18"/>
              </w:rPr>
              <w:t xml:space="preserve">Q-SAMPLE-10</w:t>
            </w:r>
          </w:p>
        </w:tc>
        <w:tc>
          <w:p>
            <w:r>
              <w:rPr>
                <w:sz w:val="18"/>
              </w:rPr>
              <w:t xml:space="preserve">Beta Tooling (synthetic); Zeta Landscaping (synthetic)</w:t>
            </w:r>
          </w:p>
        </w:tc>
        <w:tc>
          <w:p>
            <w:r>
              <w:rPr>
                <w:sz w:val="18"/>
              </w:rPr>
              <w:t xml:space="preserve">Synthetic Mutual Insurance Co.</w:t>
            </w:r>
          </w:p>
        </w:tc>
        <w:tc>
          <w:p>
            <w:r>
              <w:rPr>
                <w:sz w:val="18"/>
              </w:rPr>
              <w:t xml:space="preserve">2025-10-03</w:t>
            </w:r>
          </w:p>
        </w:tc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27</w:t>
            </w:r>
          </w:p>
        </w:tc>
      </w:tr>
    </w:tbl>
    <w:p>
      <w:pPr>
        <w:spacing w:before="240" w:after="120"/>
      </w:pPr>
      <w:r>
        <w:rPr>
          <w:b/>
          <w:sz w:val="26"/>
        </w:rPr>
        <w:t>Key indicators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rPr>
          <w:tblHeader/>
        </w:trPr>
        <w:tc>
          <w:p>
            <w:r>
              <w:rPr>
                <w:sz w:val="18"/>
                <w:b/>
              </w:rPr>
              <w:t xml:space="preserve">Indicator</w:t>
            </w:r>
          </w:p>
        </w:tc>
        <w:tc>
          <w:p>
            <w:r>
              <w:rPr>
                <w:sz w:val="18"/>
                <w:b/>
              </w:rPr>
              <w:t xml:space="preserve">As reported</w:t>
            </w:r>
          </w:p>
        </w:tc>
        <w:tc>
          <w:p>
            <w:r>
              <w:rPr>
                <w:sz w:val="18"/>
                <w:b/>
              </w:rPr>
              <w:t xml:space="preserve">As adjusted</w:t>
            </w:r>
          </w:p>
        </w:tc>
      </w:tr>
      <w:tr>
        <w:tc>
          <w:p>
            <w:r>
              <w:rPr>
                <w:sz w:val="18"/>
              </w:rPr>
              <w:t xml:space="preserve">Claims</w:t>
            </w:r>
          </w:p>
        </w:tc>
        <w:tc>
          <w:p>
            <w:r>
              <w:rPr>
                <w:sz w:val="18"/>
              </w:rPr>
              <w:t xml:space="preserve">27</w:t>
            </w:r>
          </w:p>
        </w:tc>
        <w:tc>
          <w:p>
            <w:r>
              <w:rPr>
                <w:sz w:val="18"/>
              </w:rPr>
              <w:t xml:space="preserve">27</w:t>
            </w:r>
          </w:p>
        </w:tc>
      </w:tr>
      <w:tr>
        <w:tc>
          <w:p>
            <w:r>
              <w:rPr>
                <w:sz w:val="18"/>
              </w:rPr>
              <w:t xml:space="preserve">Open claims</w:t>
            </w:r>
          </w:p>
        </w:tc>
        <w:tc>
          <w:p>
            <w:r>
              <w:rPr>
                <w:sz w:val="18"/>
              </w:rPr>
              <w:t xml:space="preserve">10</w:t>
            </w:r>
          </w:p>
        </w:tc>
        <w:tc>
          <w:p>
            <w:r>
              <w:rPr>
                <w:sz w:val="18"/>
              </w:rPr>
              <w:t xml:space="preserve">10</w:t>
            </w:r>
          </w:p>
        </w:tc>
      </w:tr>
      <w:tr>
        <w:tc>
          <w:p>
            <w:r>
              <w:rPr>
                <w:sz w:val="18"/>
              </w:rPr>
              <w:t xml:space="preserve">Lost-time share</w:t>
            </w:r>
          </w:p>
        </w:tc>
        <w:tc>
          <w:p>
            <w:r>
              <w:rPr>
                <w:sz w:val="18"/>
              </w:rPr>
              <w:t xml:space="preserve">37.0 %</w:t>
            </w:r>
          </w:p>
        </w:tc>
        <w:tc>
          <w:p>
            <w:r>
              <w:rPr>
                <w:sz w:val="18"/>
              </w:rPr>
              <w:t xml:space="preserve">37.0 %</w:t>
            </w:r>
          </w:p>
        </w:tc>
      </w:tr>
      <w:tr>
        <w:tc>
          <w:p>
            <w:r>
              <w:rPr>
                <w:sz w:val="18"/>
              </w:rPr>
              <w:t xml:space="preserve">Total incurred</w:t>
            </w:r>
          </w:p>
        </w:tc>
        <w:tc>
          <w:p>
            <w:r>
              <w:rPr>
                <w:sz w:val="18"/>
              </w:rPr>
              <w:t xml:space="preserve">$1,454,058</w:t>
            </w:r>
          </w:p>
        </w:tc>
        <w:tc>
          <w:p>
            <w:r>
              <w:rPr>
                <w:sz w:val="18"/>
              </w:rPr>
              <w:t xml:space="preserve">$1,479,058</w:t>
            </w:r>
          </w:p>
        </w:tc>
      </w:tr>
      <w:tr>
        <w:tc>
          <w:p>
            <w:r>
              <w:rPr>
                <w:sz w:val="18"/>
              </w:rPr>
              <w:t xml:space="preserve">Total paid</w:t>
            </w:r>
          </w:p>
        </w:tc>
        <w:tc>
          <w:p>
            <w:r>
              <w:rPr>
                <w:sz w:val="18"/>
              </w:rPr>
              <w:t xml:space="preserve">$1,240,822</w:t>
            </w:r>
          </w:p>
        </w:tc>
        <w:tc>
          <w:p>
            <w:r>
              <w:rPr>
                <w:sz w:val="18"/>
              </w:rPr>
              <w:t xml:space="preserve">$1,240,822</w:t>
            </w:r>
          </w:p>
        </w:tc>
      </w:tr>
      <w:tr>
        <w:tc>
          <w:p>
            <w:r>
              <w:rPr>
                <w:sz w:val="18"/>
              </w:rPr>
              <w:t xml:space="preserve">Case reserves</w:t>
            </w:r>
          </w:p>
        </w:tc>
        <w:tc>
          <w:p>
            <w:r>
              <w:rPr>
                <w:sz w:val="18"/>
              </w:rPr>
              <w:t xml:space="preserve">$213,236</w:t>
            </w:r>
          </w:p>
        </w:tc>
        <w:tc>
          <w:p>
            <w:r>
              <w:rPr>
                <w:sz w:val="18"/>
              </w:rPr>
              <w:t xml:space="preserve">$238,236</w:t>
            </w:r>
          </w:p>
        </w:tc>
      </w:tr>
      <w:tr>
        <w:tc>
          <w:p>
            <w:r>
              <w:rPr>
                <w:sz w:val="18"/>
              </w:rPr>
              <w:t xml:space="preserve">Paid-to-incurred</w:t>
            </w:r>
          </w:p>
        </w:tc>
        <w:tc>
          <w:p>
            <w:r>
              <w:rPr>
                <w:sz w:val="18"/>
              </w:rPr>
              <w:t xml:space="preserve">85.3 %</w:t>
            </w:r>
          </w:p>
        </w:tc>
        <w:tc>
          <w:p>
            <w:r>
              <w:rPr>
                <w:sz w:val="18"/>
              </w:rPr>
              <w:t xml:space="preserve">83.9 %</w:t>
            </w:r>
          </w:p>
        </w:tc>
      </w:tr>
      <w:tr>
        <w:tc>
          <w:p>
            <w:r>
              <w:rPr>
                <w:sz w:val="18"/>
              </w:rPr>
              <w:t xml:space="preserve">Severity (all)</w:t>
            </w:r>
          </w:p>
        </w:tc>
        <w:tc>
          <w:p>
            <w:r>
              <w:rPr>
                <w:sz w:val="18"/>
              </w:rPr>
              <w:t xml:space="preserve">$53,854</w:t>
            </w:r>
          </w:p>
        </w:tc>
        <w:tc>
          <w:p>
            <w:r>
              <w:rPr>
                <w:sz w:val="18"/>
              </w:rPr>
              <w:t xml:space="preserve">$54,780</w:t>
            </w:r>
          </w:p>
        </w:tc>
      </w:tr>
      <w:tr>
        <w:tc>
          <w:p>
            <w:r>
              <w:rPr>
                <w:sz w:val="18"/>
              </w:rPr>
              <w:t xml:space="preserve">Severity (lost time)</w:t>
            </w:r>
          </w:p>
        </w:tc>
        <w:tc>
          <w:p>
            <w:r>
              <w:rPr>
                <w:sz w:val="18"/>
              </w:rPr>
              <w:t xml:space="preserve">$91,527</w:t>
            </w:r>
          </w:p>
        </w:tc>
        <w:tc>
          <w:p>
            <w:r>
              <w:rPr>
                <w:sz w:val="18"/>
              </w:rPr>
              <w:t xml:space="preserve">$91,527</w:t>
            </w:r>
          </w:p>
        </w:tc>
      </w:tr>
      <w:tr>
        <w:tc>
          <w:p>
            <w:r>
              <w:rPr>
                <w:sz w:val="18"/>
              </w:rPr>
              <w:t xml:space="preserve">Large losses ≥ $100K</w:t>
            </w:r>
          </w:p>
        </w:tc>
        <w:tc>
          <w:p>
            <w:r>
              <w:rPr>
                <w:sz w:val="18"/>
              </w:rPr>
              <w:t xml:space="preserve">4</w:t>
            </w:r>
          </w:p>
        </w:tc>
        <w:tc>
          <w:p>
            <w:r>
              <w:rPr>
                <w:sz w:val="18"/>
              </w:rPr>
              <w:t xml:space="preserve">4</w:t>
            </w:r>
          </w:p>
        </w:tc>
      </w:tr>
      <w:tr>
        <w:tc>
          <w:p>
            <w:r>
              <w:rPr>
                <w:sz w:val="18"/>
              </w:rPr>
              <w:t xml:space="preserve">Incurred capped at $250K</w:t>
            </w:r>
          </w:p>
        </w:tc>
        <w:tc>
          <w:p>
            <w:r>
              <w:rPr>
                <w:sz w:val="18"/>
              </w:rPr>
              <w:t xml:space="preserve">$1,454,058</w:t>
            </w:r>
          </w:p>
        </w:tc>
        <w:tc>
          <w:p>
            <w:r>
              <w:rPr>
                <w:sz w:val="18"/>
              </w:rPr>
              <w:t xml:space="preserve">$1,479,058</w:t>
            </w:r>
          </w:p>
        </w:tc>
      </w:tr>
      <w:tr>
        <w:tc>
          <w:p>
            <w:r>
              <w:rPr>
                <w:sz w:val="18"/>
              </w:rPr>
              <w:t xml:space="preserve">Median reporting lag (days)</w:t>
            </w:r>
          </w:p>
        </w:tc>
        <w:tc>
          <w:p>
            <w:r>
              <w:rPr>
                <w:sz w:val="18"/>
              </w:rPr>
              <w:t xml:space="preserve">8</w:t>
            </w:r>
          </w:p>
        </w:tc>
        <w:tc>
          <w:p>
            <w:r>
              <w:rPr>
                <w:sz w:val="18"/>
              </w:rPr>
              <w:t xml:space="preserve">8</w:t>
            </w:r>
          </w:p>
        </w:tc>
      </w:tr>
      <w:tr>
        <w:tc>
          <w:p>
            <w:r>
              <w:rPr>
                <w:sz w:val="18"/>
              </w:rPr>
              <w:t xml:space="preserve">Median days to close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240" w:after="120"/>
      </w:pPr>
      <w:r>
        <w:rPr>
          <w:b/>
          <w:sz w:val="26"/>
        </w:rPr>
        <w:t>Trend by policy year (as adjusted)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rPr>
          <w:tblHeader/>
        </w:trPr>
        <w:tc>
          <w:p>
            <w:r>
              <w:rPr>
                <w:sz w:val="18"/>
                <w:b/>
              </w:rPr>
              <w:t xml:space="preserve">Policy year</w:t>
            </w:r>
          </w:p>
        </w:tc>
        <w:tc>
          <w:p>
            <w:r>
              <w:rPr>
                <w:sz w:val="18"/>
                <w:b/>
              </w:rPr>
              <w:t xml:space="preserve">Claims</w:t>
            </w:r>
          </w:p>
        </w:tc>
        <w:tc>
          <w:p>
            <w:r>
              <w:rPr>
                <w:sz w:val="18"/>
                <w:b/>
              </w:rPr>
              <w:t xml:space="preserve">Incurred</w:t>
            </w:r>
          </w:p>
        </w:tc>
        <w:tc>
          <w:p>
            <w:r>
              <w:rPr>
                <w:sz w:val="18"/>
                <w:b/>
              </w:rPr>
              <w:t xml:space="preserve">Paid</w:t>
            </w:r>
          </w:p>
        </w:tc>
        <w:tc>
          <w:p>
            <w:r>
              <w:rPr>
                <w:sz w:val="18"/>
                <w:b/>
              </w:rPr>
              <w:t xml:space="preserve">Severity</w:t>
            </w:r>
          </w:p>
        </w:tc>
        <w:tc>
          <w:p>
            <w:r>
              <w:rPr>
                <w:sz w:val="18"/>
                <w:b/>
              </w:rPr>
              <w:t xml:space="preserve">Paid-to-incurred</w:t>
            </w:r>
          </w:p>
        </w:tc>
      </w:tr>
      <w:tr>
        <w:tc>
          <w:p>
            <w:r>
              <w:rPr>
                <w:sz w:val="18"/>
              </w:rPr>
              <w:t xml:space="preserve">2022</w:t>
            </w:r>
          </w:p>
        </w:tc>
        <w:tc>
          <w:p>
            <w:r>
              <w:rPr>
                <w:sz w:val="18"/>
              </w:rPr>
              <w:t xml:space="preserve">8</w:t>
            </w:r>
          </w:p>
        </w:tc>
        <w:tc>
          <w:p>
            <w:r>
              <w:rPr>
                <w:sz w:val="18"/>
              </w:rPr>
              <w:t xml:space="preserve">$402,618</w:t>
            </w:r>
          </w:p>
        </w:tc>
        <w:tc>
          <w:p>
            <w:r>
              <w:rPr>
                <w:sz w:val="18"/>
              </w:rPr>
              <w:t xml:space="preserve">$350,318</w:t>
            </w:r>
          </w:p>
        </w:tc>
        <w:tc>
          <w:p>
            <w:r>
              <w:rPr>
                <w:sz w:val="18"/>
              </w:rPr>
              <w:t xml:space="preserve">$50,327</w:t>
            </w:r>
          </w:p>
        </w:tc>
        <w:tc>
          <w:p>
            <w:r>
              <w:rPr>
                <w:sz w:val="18"/>
              </w:rPr>
              <w:t xml:space="preserve">87.0 %</w:t>
            </w:r>
          </w:p>
        </w:tc>
      </w:tr>
      <w:tr>
        <w:tc>
          <w:p>
            <w:r>
              <w:rPr>
                <w:sz w:val="18"/>
              </w:rPr>
              <w:t xml:space="preserve">2023</w:t>
            </w:r>
          </w:p>
        </w:tc>
        <w:tc>
          <w:p>
            <w:r>
              <w:rPr>
                <w:sz w:val="18"/>
              </w:rPr>
              <w:t xml:space="preserve">13</w:t>
            </w:r>
          </w:p>
        </w:tc>
        <w:tc>
          <w:p>
            <w:r>
              <w:rPr>
                <w:sz w:val="18"/>
              </w:rPr>
              <w:t xml:space="preserve">$798,430</w:t>
            </w:r>
          </w:p>
        </w:tc>
        <w:tc>
          <w:p>
            <w:r>
              <w:rPr>
                <w:sz w:val="18"/>
              </w:rPr>
              <w:t xml:space="preserve">$705,545</w:t>
            </w:r>
          </w:p>
        </w:tc>
        <w:tc>
          <w:p>
            <w:r>
              <w:rPr>
                <w:sz w:val="18"/>
              </w:rPr>
              <w:t xml:space="preserve">$61,418</w:t>
            </w:r>
          </w:p>
        </w:tc>
        <w:tc>
          <w:p>
            <w:r>
              <w:rPr>
                <w:sz w:val="18"/>
              </w:rPr>
              <w:t xml:space="preserve">88.4 %</w:t>
            </w:r>
          </w:p>
        </w:tc>
      </w:tr>
      <w:tr>
        <w:tc>
          <w:p>
            <w:r>
              <w:rPr>
                <w:sz w:val="18"/>
              </w:rPr>
              <w:t xml:space="preserve">2024</w:t>
            </w:r>
          </w:p>
        </w:tc>
        <w:tc>
          <w:p>
            <w:r>
              <w:rPr>
                <w:sz w:val="18"/>
              </w:rPr>
              <w:t xml:space="preserve">6</w:t>
            </w:r>
          </w:p>
        </w:tc>
        <w:tc>
          <w:p>
            <w:r>
              <w:rPr>
                <w:sz w:val="18"/>
              </w:rPr>
              <w:t xml:space="preserve">$278,011</w:t>
            </w:r>
          </w:p>
        </w:tc>
        <w:tc>
          <w:p>
            <w:r>
              <w:rPr>
                <w:sz w:val="18"/>
              </w:rPr>
              <w:t xml:space="preserve">$184,959</w:t>
            </w:r>
          </w:p>
        </w:tc>
        <w:tc>
          <w:p>
            <w:r>
              <w:rPr>
                <w:sz w:val="18"/>
              </w:rPr>
              <w:t xml:space="preserve">$46,335</w:t>
            </w:r>
          </w:p>
        </w:tc>
        <w:tc>
          <w:p>
            <w:r>
              <w:rPr>
                <w:sz w:val="18"/>
              </w:rPr>
              <w:t xml:space="preserve">66.5 %</w:t>
            </w:r>
          </w:p>
        </w:tc>
      </w:tr>
    </w:tbl>
    <w:p>
      <w:r>
        <w:rPr>
          <w:sz w:val="20"/>
          <w:i/>
        </w:rPr>
        <w:t xml:space="preserve">Each policy year is at a different maturity; apply development factors before comparing years (catalog: valuation caveats).</w:t>
      </w:r>
    </w:p>
    <w:p>
      <w:pPr>
        <w:spacing w:before="240" w:after="120"/>
      </w:pPr>
      <w:r>
        <w:rPr>
          <w:b/>
          <w:sz w:val="26"/>
        </w:rPr>
        <w:t>Large losses (≥ $100,000)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rPr>
          <w:tblHeader/>
        </w:trPr>
        <w:tc>
          <w:p>
            <w:r>
              <w:rPr>
                <w:sz w:val="18"/>
                <w:b/>
              </w:rPr>
              <w:t xml:space="preserve">Claim</w:t>
            </w:r>
          </w:p>
        </w:tc>
        <w:tc>
          <w:p>
            <w:r>
              <w:rPr>
                <w:sz w:val="18"/>
                <w:b/>
              </w:rPr>
              <w:t xml:space="preserve">Date of injury</w:t>
            </w:r>
          </w:p>
        </w:tc>
        <w:tc>
          <w:p>
            <w:r>
              <w:rPr>
                <w:sz w:val="18"/>
                <w:b/>
              </w:rPr>
              <w:t xml:space="preserve">Status</w:t>
            </w:r>
          </w:p>
        </w:tc>
        <w:tc>
          <w:p>
            <w:r>
              <w:rPr>
                <w:sz w:val="18"/>
                <w:b/>
              </w:rPr>
              <w:t xml:space="preserve">Incurred</w:t>
            </w:r>
          </w:p>
        </w:tc>
        <w:tc>
          <w:p>
            <w:r>
              <w:rPr>
                <w:sz w:val="18"/>
                <w:b/>
              </w:rPr>
              <w:t xml:space="preserve">Flags</w:t>
            </w:r>
          </w:p>
        </w:tc>
      </w:tr>
      <w:tr>
        <w:tc>
          <w:p>
            <w:r>
              <w:rPr>
                <w:sz w:val="18"/>
              </w:rPr>
              <w:t xml:space="preserve">WC-23-0008</w:t>
            </w:r>
          </w:p>
        </w:tc>
        <w:tc>
          <w:p>
            <w:r>
              <w:rPr>
                <w:sz w:val="18"/>
              </w:rPr>
              <w:t xml:space="preserve">2023-10-01</w:t>
            </w:r>
          </w:p>
        </w:tc>
        <w:tc>
          <w:p>
            <w:r>
              <w:rPr>
                <w:sz w:val="18"/>
              </w:rPr>
              <w:t xml:space="preserve">open</w:t>
            </w:r>
          </w:p>
        </w:tc>
        <w:tc>
          <w:p>
            <w:r>
              <w:rPr>
                <w:sz w:val="18"/>
              </w:rPr>
              <w:t xml:space="preserve">$117,831</w:t>
            </w:r>
          </w:p>
        </w:tc>
        <w:tc>
          <w:p>
            <w:r>
              <w:rPr>
                <w:sz w:val="18"/>
              </w:rPr>
              <w:t xml:space="preserve">large, open</w:t>
            </w:r>
          </w:p>
        </w:tc>
      </w:tr>
      <w:tr>
        <w:tc>
          <w:p>
            <w:r>
              <w:rPr>
                <w:sz w:val="18"/>
              </w:rPr>
              <w:t xml:space="preserve">WC-23-0010</w:t>
            </w:r>
          </w:p>
        </w:tc>
        <w:tc>
          <w:p>
            <w:r>
              <w:rPr>
                <w:sz w:val="18"/>
              </w:rPr>
              <w:t xml:space="preserve">2023-08-20</w:t>
            </w:r>
          </w:p>
        </w:tc>
        <w:tc>
          <w:p>
            <w:r>
              <w:rPr>
                <w:sz w:val="18"/>
              </w:rPr>
              <w:t xml:space="preserve">closed</w:t>
            </w:r>
          </w:p>
        </w:tc>
        <w:tc>
          <w:p>
            <w:r>
              <w:rPr>
                <w:sz w:val="18"/>
              </w:rPr>
              <w:t xml:space="preserve">$114,148</w:t>
            </w:r>
          </w:p>
        </w:tc>
        <w:tc>
          <w:p>
            <w:r>
              <w:rPr>
                <w:sz w:val="18"/>
              </w:rPr>
              <w:t xml:space="preserve">large</w:t>
            </w:r>
          </w:p>
        </w:tc>
      </w:tr>
      <w:tr>
        <w:tc>
          <w:p>
            <w:r>
              <w:rPr>
                <w:sz w:val="18"/>
              </w:rPr>
              <w:t xml:space="preserve">WC-24-0007</w:t>
            </w:r>
          </w:p>
        </w:tc>
        <w:tc>
          <w:p>
            <w:r>
              <w:rPr>
                <w:sz w:val="18"/>
              </w:rPr>
              <w:t xml:space="preserve">2024-04-12</w:t>
            </w:r>
          </w:p>
        </w:tc>
        <w:tc>
          <w:p>
            <w:r>
              <w:rPr>
                <w:sz w:val="18"/>
              </w:rPr>
              <w:t xml:space="preserve">closed</w:t>
            </w:r>
          </w:p>
        </w:tc>
        <w:tc>
          <w:p>
            <w:r>
              <w:rPr>
                <w:sz w:val="18"/>
              </w:rPr>
              <w:t xml:space="preserve">$112,808</w:t>
            </w:r>
          </w:p>
        </w:tc>
        <w:tc>
          <w:p>
            <w:r>
              <w:rPr>
                <w:sz w:val="18"/>
              </w:rPr>
              <w:t xml:space="preserve">large</w:t>
            </w:r>
          </w:p>
        </w:tc>
      </w:tr>
      <w:tr>
        <w:tc>
          <w:p>
            <w:r>
              <w:rPr>
                <w:sz w:val="18"/>
              </w:rPr>
              <w:t xml:space="preserve">WC-23-0003</w:t>
            </w:r>
          </w:p>
        </w:tc>
        <w:tc>
          <w:p>
            <w:r>
              <w:rPr>
                <w:sz w:val="18"/>
              </w:rPr>
              <w:t xml:space="preserve">2023-03-15</w:t>
            </w:r>
          </w:p>
        </w:tc>
        <w:tc>
          <w:p>
            <w:r>
              <w:rPr>
                <w:sz w:val="18"/>
              </w:rPr>
              <w:t xml:space="preserve">open</w:t>
            </w:r>
          </w:p>
        </w:tc>
        <w:tc>
          <w:p>
            <w:r>
              <w:rPr>
                <w:sz w:val="18"/>
              </w:rPr>
              <w:t xml:space="preserve">$105,773</w:t>
            </w:r>
          </w:p>
        </w:tc>
        <w:tc>
          <w:p>
            <w:r>
              <w:rPr>
                <w:sz w:val="18"/>
              </w:rPr>
              <w:t xml:space="preserve">large, open</w:t>
            </w:r>
          </w:p>
        </w:tc>
      </w:tr>
    </w:tbl>
    <w:p>
      <w:pPr>
        <w:spacing w:before="240" w:after="120"/>
      </w:pPr>
      <w:r>
        <w:rPr>
          <w:b/>
          <w:sz w:val="26"/>
        </w:rPr>
        <w:t>Loss drivers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rPr>
          <w:tblHeader/>
        </w:trPr>
        <w:tc>
          <w:p>
            <w:r>
              <w:rPr>
                <w:sz w:val="18"/>
                <w:b/>
              </w:rPr>
              <w:t xml:space="preserve">Dimension</w:t>
            </w:r>
          </w:p>
        </w:tc>
        <w:tc>
          <w:p>
            <w:r>
              <w:rPr>
                <w:sz w:val="18"/>
                <w:b/>
              </w:rPr>
              <w:t xml:space="preserve">Top five by incurred</w:t>
            </w:r>
          </w:p>
        </w:tc>
      </w:tr>
      <w:tr>
        <w:tc>
          <w:p>
            <w:r>
              <w:rPr>
                <w:sz w:val="18"/>
              </w:rPr>
              <w:t xml:space="preserve">Cause of injury</w:t>
            </w:r>
          </w:p>
        </w:tc>
        <w:tc>
          <w:p>
            <w:r>
              <w:rPr>
                <w:sz w:val="18"/>
              </w:rPr>
              <w:t xml:space="preserve">not printed on these loss runs</w:t>
            </w:r>
          </w:p>
        </w:tc>
      </w:tr>
      <w:tr>
        <w:tc>
          <w:p>
            <w:r>
              <w:rPr>
                <w:sz w:val="18"/>
              </w:rPr>
              <w:t xml:space="preserve">Part of body</w:t>
            </w:r>
          </w:p>
        </w:tc>
        <w:tc>
          <w:p>
            <w:r>
              <w:rPr>
                <w:sz w:val="18"/>
              </w:rPr>
              <w:t xml:space="preserve">not printed on these loss runs</w:t>
            </w:r>
          </w:p>
        </w:tc>
      </w:tr>
      <w:tr>
        <w:tc>
          <w:p>
            <w:r>
              <w:rPr>
                <w:sz w:val="18"/>
              </w:rPr>
              <w:t xml:space="preserve">Nature of injury</w:t>
            </w:r>
          </w:p>
        </w:tc>
        <w:tc>
          <w:p>
            <w:r>
              <w:rPr>
                <w:sz w:val="18"/>
              </w:rPr>
              <w:t xml:space="preserve">not printed on these loss runs</w:t>
            </w:r>
          </w:p>
        </w:tc>
      </w:tr>
    </w:tbl>
    <w:p>
      <w:pPr>
        <w:spacing w:before="240" w:after="120"/>
      </w:pPr>
      <w:r>
        <w:rPr>
          <w:b/>
          <w:sz w:val="26"/>
        </w:rPr>
        <w:t>California: cumulative trauma, litigation, jurisdiction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rPr>
          <w:tblHeader/>
        </w:trPr>
        <w:tc>
          <w:p>
            <w:r>
              <w:rPr>
                <w:sz w:val="18"/>
                <w:b/>
              </w:rPr>
              <w:t xml:space="preserve">Indicator</w:t>
            </w:r>
          </w:p>
        </w:tc>
        <w:tc>
          <w:p>
            <w:r>
              <w:rPr>
                <w:sz w:val="18"/>
                <w:b/>
              </w:rPr>
              <w:t xml:space="preserve">Value</w:t>
            </w:r>
          </w:p>
        </w:tc>
        <w:tc>
          <w:p>
            <w:r>
              <w:rPr>
                <w:sz w:val="18"/>
                <w:b/>
              </w:rPr>
              <w:t xml:space="preserve">Context</w:t>
            </w:r>
          </w:p>
        </w:tc>
      </w:tr>
      <w:tr>
        <w:tc>
          <w:p>
            <w:r>
              <w:rPr>
                <w:sz w:val="18"/>
              </w:rPr>
              <w:t xml:space="preserve">Cumulative-trauma share (all claims)</w:t>
            </w:r>
          </w:p>
        </w:tc>
        <w:tc>
          <w:p>
            <w:r>
              <w:rPr>
                <w:sz w:val="18"/>
              </w:rPr>
              <w:t xml:space="preserve">0.0 %</w:t>
            </w:r>
          </w:p>
        </w:tc>
        <w:tc>
          <w:p>
            <w:r>
              <w:rPr>
                <w:sz w:val="18"/>
              </w:rPr>
              <w:t xml:space="preserve">CA: CT 16.5 % of all claims (2025) and 26.6–31.6 % of indemnity claims (2024–2025); ~60 % post-termination (§B3).</w:t>
            </w:r>
          </w:p>
        </w:tc>
      </w:tr>
      <w:tr>
        <w:tc>
          <w:p>
            <w:r>
              <w:rPr>
                <w:sz w:val="18"/>
              </w:rPr>
              <w:t xml:space="preserve">CT share of lost-time claims</w:t>
            </w:r>
          </w:p>
        </w:tc>
        <w:tc>
          <w:p>
            <w:r>
              <w:rPr>
                <w:sz w:val="18"/>
              </w:rPr>
              <w:t xml:space="preserve">0.0 %</w:t>
            </w:r>
          </w:p>
        </w:tc>
        <w:tc>
          <w:p>
            <w:r>
              <w:rPr>
                <w:sz w:val="18"/>
              </w:rPr>
              <w:t xml:space="preserve">Compare with WCIRB's 26–32 % statewide.</w:t>
            </w:r>
          </w:p>
        </w:tc>
      </w:tr>
      <w:tr>
        <w:tc>
          <w:p>
            <w:r>
              <w:rPr>
                <w:sz w:val="18"/>
              </w:rPr>
              <w:t xml:space="preserve">Post-termination CT claims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~60 % of CA CT claims are filed post-termination (§B3).</w:t>
            </w:r>
          </w:p>
        </w:tc>
      </w:tr>
      <w:tr>
        <w:tc>
          <w:p>
            <w:r>
              <w:rPr>
                <w:sz w:val="18"/>
              </w:rPr>
              <w:t xml:space="preserve">Litigation rate (lost time)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&gt;90 % of recent CA CT claims are litigated; 99 % of post-termination CT claims (WCIRB 2026, §B3).</w:t>
            </w:r>
          </w:p>
        </w:tc>
      </w:tr>
      <w:tr>
        <w:tc>
          <w:p>
            <w:r>
              <w:rPr>
                <w:sz w:val="18"/>
              </w:rPr>
              <w:t xml:space="preserve">Non-CA share</w:t>
            </w:r>
          </w:p>
        </w:tc>
        <w:tc>
          <w:p>
            <w:r>
              <w:rPr>
                <w:sz w:val="18"/>
              </w:rPr>
              <w:t xml:space="preserve">0.0 %</w:t>
            </w:r>
          </w:p>
        </w:tc>
        <w:tc>
          <w:p>
            <w:r>
              <w:rPr>
                <w:sz w:val="18"/>
              </w:rPr>
              <w:t xml:space="preserve">CA experience rating uses CA USR losses only; separate non-CA rows (§B3).</w:t>
            </w:r>
          </w:p>
        </w:tc>
      </w:tr>
      <w:tr>
        <w:tc>
          <w:p>
            <w:r>
              <w:rPr>
                <w:sz w:val="18"/>
              </w:rPr>
              <w:t xml:space="preserve">Non-WC rows excluded</w:t>
            </w:r>
          </w:p>
        </w:tc>
        <w:tc>
          <w:p>
            <w:r>
              <w:rPr>
                <w:sz w:val="18"/>
              </w:rPr>
              <w:t xml:space="preserve">0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240" w:after="120"/>
      </w:pPr>
      <w:r>
        <w:rPr>
          <w:b/>
          <w:sz w:val="26"/>
        </w:rPr>
        <w:t>Data quality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rPr>
          <w:tblHeader/>
        </w:trPr>
        <w:tc>
          <w:p>
            <w:r>
              <w:rPr>
                <w:sz w:val="18"/>
                <w:b/>
              </w:rPr>
              <w:t xml:space="preserve">Document</w:t>
            </w:r>
          </w:p>
        </w:tc>
        <w:tc>
          <w:p>
            <w:r>
              <w:rPr>
                <w:sz w:val="18"/>
                <w:b/>
              </w:rPr>
              <w:t xml:space="preserve">Routing</w:t>
            </w:r>
          </w:p>
        </w:tc>
        <w:tc>
          <w:p>
            <w:r>
              <w:rPr>
                <w:sz w:val="18"/>
                <w:b/>
              </w:rPr>
              <w:t xml:space="preserve">Review state</w:t>
            </w:r>
          </w:p>
        </w:tc>
        <w:tc>
          <w:p>
            <w:r>
              <w:rPr>
                <w:sz w:val="18"/>
                <w:b/>
              </w:rPr>
              <w:t xml:space="preserve">Revision</w:t>
            </w:r>
          </w:p>
        </w:tc>
        <w:tc>
          <w:p>
            <w:r>
              <w:rPr>
                <w:sz w:val="18"/>
                <w:b/>
              </w:rPr>
              <w:t xml:space="preserve">Claims</w:t>
            </w:r>
          </w:p>
        </w:tc>
      </w:tr>
      <w:tr>
        <w:tc>
          <w:p>
            <w:r>
              <w:rPr>
                <w:sz w:val="18"/>
              </w:rPr>
              <w:t xml:space="preserve">doc-73b35138fba6b230</w:t>
            </w:r>
          </w:p>
        </w:tc>
        <w:tc>
          <w:p>
            <w:r>
              <w:rPr>
                <w:sz w:val="18"/>
              </w:rPr>
              <w:t xml:space="preserve">ReplayAccepted</w:t>
            </w:r>
          </w:p>
        </w:tc>
        <w:tc>
          <w:p>
            <w:r>
              <w:rPr>
                <w:sz w:val="18"/>
              </w:rPr>
              <w:t xml:space="preserve">—</w:t>
            </w:r>
          </w:p>
        </w:tc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12</w:t>
            </w:r>
          </w:p>
        </w:tc>
      </w:tr>
      <w:tr>
        <w:tc>
          <w:p>
            <w:r>
              <w:rPr>
                <w:sz w:val="18"/>
              </w:rPr>
              <w:t xml:space="preserve">doc-ebb00898278dd541</w:t>
            </w:r>
          </w:p>
        </w:tc>
        <w:tc>
          <w:p>
            <w:r>
              <w:rPr>
                <w:sz w:val="18"/>
              </w:rPr>
              <w:t xml:space="preserve">Review</w:t>
            </w:r>
          </w:p>
        </w:tc>
        <w:tc>
          <w:p>
            <w:r>
              <w:rPr>
                <w:sz w:val="18"/>
              </w:rPr>
              <w:t xml:space="preserve">override</w:t>
            </w:r>
          </w:p>
        </w:tc>
        <w:tc>
          <w:p>
            <w:r>
              <w:rPr>
                <w:sz w:val="18"/>
              </w:rPr>
              <w:t xml:space="preserve">2</w:t>
            </w:r>
          </w:p>
        </w:tc>
        <w:tc>
          <w:p>
            <w:r>
              <w:rPr>
                <w:sz w:val="18"/>
              </w:rPr>
              <w:t xml:space="preserve">15</w:t>
            </w:r>
          </w:p>
        </w:tc>
      </w:tr>
    </w:tbl>
    <w:p>
      <w:r>
        <w:rPr>
          <w:sz w:val="20"/>
        </w:rPr>
        <w:t xml:space="preserve">Review rate: 50 % of documents routed to review. 1 override(s); every one is in the append-only ledger with its rationale. As reported is the value before each field's first override.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rPr>
          <w:tblHeader/>
        </w:trPr>
        <w:tc>
          <w:p>
            <w:r>
              <w:rPr>
                <w:sz w:val="18"/>
                <w:b/>
              </w:rPr>
              <w:t xml:space="preserve">Field</w:t>
            </w:r>
          </w:p>
        </w:tc>
        <w:tc>
          <w:p>
            <w:r>
              <w:rPr>
                <w:sz w:val="18"/>
                <w:b/>
              </w:rPr>
              <w:t xml:space="preserve">From</w:t>
            </w:r>
          </w:p>
        </w:tc>
        <w:tc>
          <w:p>
            <w:r>
              <w:rPr>
                <w:sz w:val="18"/>
                <w:b/>
              </w:rPr>
              <w:t xml:space="preserve">To</w:t>
            </w:r>
          </w:p>
        </w:tc>
        <w:tc>
          <w:p>
            <w:r>
              <w:rPr>
                <w:sz w:val="18"/>
                <w:b/>
              </w:rPr>
              <w:t xml:space="preserve">Rationale</w:t>
            </w:r>
          </w:p>
        </w:tc>
        <w:tc>
          <w:p>
            <w:r>
              <w:rPr>
                <w:sz w:val="18"/>
                <w:b/>
              </w:rPr>
              <w:t xml:space="preserve">By</w:t>
            </w:r>
          </w:p>
        </w:tc>
        <w:tc>
          <w:p>
            <w:r>
              <w:rPr>
                <w:sz w:val="18"/>
                <w:b/>
              </w:rPr>
              <w:t xml:space="preserve">When (UTC)</w:t>
            </w:r>
          </w:p>
        </w:tc>
      </w:tr>
      <w:tr>
        <w:tc>
          <w:p>
            <w:r>
              <w:rPr>
                <w:sz w:val="18"/>
              </w:rPr>
              <w:t xml:space="preserve">policyPeriods[0].claims[0].indemnity.reserve</w:t>
            </w:r>
          </w:p>
        </w:tc>
        <w:tc>
          <w:p>
            <w:r>
              <w:rPr>
                <w:sz w:val="18"/>
              </w:rPr>
              <w:t xml:space="preserve">0.00</w:t>
            </w:r>
          </w:p>
        </w:tc>
        <w:tc>
          <w:p>
            <w:r>
              <w:rPr>
                <w:sz w:val="18"/>
              </w:rPr>
              <w:t xml:space="preserve">25000</w:t>
            </w:r>
          </w:p>
        </w:tc>
        <w:tc>
          <w:p>
            <w:r>
              <w:rPr>
                <w:sz w:val="18"/>
              </w:rPr>
              <w:t xml:space="preserve">Adjuster letter 2025-08-12: indemnity reserve raised after IME (synthetic sample)</w:t>
            </w:r>
          </w:p>
        </w:tc>
        <w:tc>
          <w:p>
            <w:r>
              <w:rPr>
                <w:sz w:val="18"/>
              </w:rPr>
              <w:t xml:space="preserve">underwriter</w:t>
            </w:r>
          </w:p>
        </w:tc>
        <w:tc>
          <w:p>
            <w:r>
              <w:rPr>
                <w:sz w:val="18"/>
              </w:rPr>
              <w:t xml:space="preserve">2026-10-22T22:21:25.5270000+00:00</w:t>
            </w:r>
          </w:p>
        </w:tc>
      </w:tr>
    </w:tbl>
    <w:p>
      <w:pPr>
        <w:spacing w:before="240" w:after="120"/>
      </w:pPr>
      <w:r>
        <w:rPr>
          <w:b/>
          <w:sz w:val="22"/>
        </w:rPr>
        <w:t>Lineage</w:t>
      </w:r>
    </w:p>
    <w:p>
      <w:r>
        <w:rPr>
          <w:sz w:val="16"/>
          <w:i/>
        </w:rPr>
        <w:t xml:space="preserve">Documents doc-73b35138fba6b230 r1, doc-ebb00898278dd541 r2; valuation dates 2024-10-23, 2025-10-03; analytics catalog 1.0.0; carrier formats synthetic-mutual-pdf@5; value sources derived 68, manual 1, replay 438, spec 9; inputs hash 23483aa5d5612c89a1ed6df0f56bcb670fc4098e297abb006e183a88fa7671f9. Every figure traces to cited cells of the source documents (GET /documents/{id}) and every override to the ledger.</w:t>
      </w:r>
    </w:p>
    <w:p>
      <w:r>
        <w:rPr>
          <w:sz w:val="16"/>
          <w:i/>
        </w:rPr>
        <w:t xml:space="preserve">Generated 2026-10-22T22:22:05.2287150+00:00 from synthetic data.</w:t>
      </w:r>
    </w:p>
  </w:body>
</w:document>
</file>