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E4BF1" w14:textId="77777777" w:rsidR="006C11EF" w:rsidRDefault="006C11EF" w:rsidP="006C11EF">
      <w:pPr>
        <w:ind w:left="-142" w:right="-120"/>
        <w:jc w:val="both"/>
        <w:rPr>
          <w:rFonts w:ascii="Arial" w:hAnsi="Arial" w:cs="Arial"/>
          <w:bCs/>
          <w:color w:val="000000" w:themeColor="text1"/>
        </w:rPr>
      </w:pPr>
    </w:p>
    <w:p w14:paraId="1550F9F8" w14:textId="67AE715C" w:rsidR="006C11EF" w:rsidRPr="006C11EF" w:rsidRDefault="006C11EF" w:rsidP="006C11EF">
      <w:pPr>
        <w:ind w:left="-142" w:right="-120"/>
        <w:jc w:val="both"/>
        <w:rPr>
          <w:rFonts w:ascii="Arial" w:hAnsi="Arial" w:cs="Arial"/>
          <w:b/>
          <w:color w:val="000000" w:themeColor="text1"/>
        </w:rPr>
      </w:pPr>
      <w:r w:rsidRPr="006C11EF">
        <w:rPr>
          <w:rFonts w:ascii="Arial" w:hAnsi="Arial" w:cs="Arial"/>
          <w:b/>
          <w:color w:val="000000" w:themeColor="text1"/>
        </w:rPr>
        <w:t>INTRODUCCION</w:t>
      </w:r>
    </w:p>
    <w:p w14:paraId="6DFFAAF5" w14:textId="77777777" w:rsidR="006C11EF" w:rsidRDefault="006C11EF" w:rsidP="006C11EF">
      <w:pPr>
        <w:ind w:left="-142" w:right="-120"/>
        <w:jc w:val="both"/>
        <w:rPr>
          <w:rFonts w:ascii="Arial" w:hAnsi="Arial" w:cs="Arial"/>
          <w:bCs/>
          <w:color w:val="000000" w:themeColor="text1"/>
        </w:rPr>
      </w:pPr>
    </w:p>
    <w:p w14:paraId="70719748" w14:textId="7272B3F2"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De acuerdo con lo previsto en la Ley 2191 de 2022, </w:t>
      </w:r>
      <w:r w:rsidRPr="00CA2FBF">
        <w:rPr>
          <w:rFonts w:ascii="Arial" w:hAnsi="Arial" w:cs="Arial"/>
          <w:b/>
          <w:i/>
          <w:iCs/>
          <w:color w:val="000000" w:themeColor="text1"/>
        </w:rPr>
        <w:t>SANITHELP IPS SAS</w:t>
      </w:r>
      <w:r w:rsidRPr="00CA2FBF">
        <w:rPr>
          <w:rFonts w:ascii="Arial" w:hAnsi="Arial" w:cs="Arial"/>
          <w:bCs/>
          <w:color w:val="000000" w:themeColor="text1"/>
        </w:rPr>
        <w:t xml:space="preserve">, garantizará que los Colaboradores gocen del derecho a la desconexión laboral, el cual inicia una vez finalizada la jornada laboral, así mismo que pueda disfrutar efectiva y plenamente del tiempo de descanso, licencias, permisos, vacaciones y de su vida personal y familiar. En todo caso se tendrá en cuenta que, el ejercicio de este derecho también responderá a la naturaleza del cargo según corresponda. </w:t>
      </w:r>
    </w:p>
    <w:p w14:paraId="50C5A85B" w14:textId="77777777" w:rsidR="006C11EF" w:rsidRPr="00CA2FBF" w:rsidRDefault="006C11EF" w:rsidP="006C11EF">
      <w:pPr>
        <w:ind w:left="-142" w:right="-120"/>
        <w:jc w:val="both"/>
        <w:rPr>
          <w:rFonts w:ascii="Arial" w:hAnsi="Arial" w:cs="Arial"/>
          <w:bCs/>
          <w:color w:val="000000" w:themeColor="text1"/>
        </w:rPr>
      </w:pPr>
    </w:p>
    <w:p w14:paraId="49D886FF"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A continuación, se establecerán los lineamientos, que garantizarán el disfrute de la desconexión laboral, así: </w:t>
      </w:r>
    </w:p>
    <w:p w14:paraId="12BFB99C" w14:textId="77777777" w:rsidR="006C11EF" w:rsidRPr="00CA2FBF" w:rsidRDefault="006C11EF" w:rsidP="006C11EF">
      <w:pPr>
        <w:ind w:left="-142" w:right="-120"/>
        <w:jc w:val="both"/>
        <w:rPr>
          <w:rFonts w:ascii="Arial" w:hAnsi="Arial" w:cs="Arial"/>
          <w:bCs/>
          <w:color w:val="000000" w:themeColor="text1"/>
        </w:rPr>
      </w:pPr>
    </w:p>
    <w:p w14:paraId="60404866"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a.- La desconexión laboral inicia, una vez el trabajador ha finalizado la jornada laboral pactada o ha iniciado el disfrute del periodo de licencia, vacaciones, etc. </w:t>
      </w:r>
    </w:p>
    <w:p w14:paraId="1D2649C6"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b.- Los colaboradores tendrán derecho a disfrutar de los periodos de descanso, licencias, permisos, vacaciones, esto, con el fin de que pueda gozar de dichos espacios en comunión con su familia, amigos y esparcimiento personal. </w:t>
      </w:r>
    </w:p>
    <w:p w14:paraId="60E8E6CD"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c.- Una vez finalizada la jornada laboral o iniciado el periodo de permiso, licencia y/o vacaciones, el colaborador no se encuentra en la obligación de atender llamadas, mensajes, correos, etc., siempre y cuando, no se trate de un hecho urgente, grave, de fuerza mayor o caso fortuito, en el cual se requiera de la atención por parte del trabajador, con el fin de que el buen funcionamiento de </w:t>
      </w:r>
      <w:r w:rsidRPr="00CA2FBF">
        <w:rPr>
          <w:rFonts w:ascii="Arial" w:hAnsi="Arial" w:cs="Arial"/>
          <w:b/>
          <w:color w:val="000000" w:themeColor="text1"/>
        </w:rPr>
        <w:t>SANITHELP IPS SAS</w:t>
      </w:r>
      <w:r w:rsidRPr="00CA2FBF">
        <w:rPr>
          <w:rFonts w:ascii="Arial" w:hAnsi="Arial" w:cs="Arial"/>
          <w:bCs/>
          <w:color w:val="000000" w:themeColor="text1"/>
        </w:rPr>
        <w:t xml:space="preserve"> no se vea afectado. </w:t>
      </w:r>
    </w:p>
    <w:p w14:paraId="61EB3750"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d.- Aquellos colaboradores que desempeñan cargos y/o funciones, que tienen la calidad de dirección, confianza y manejo, se encuentran exentos de la regulación de la jornada máxima legal, de conformidad con lo dispuesto en el artículo 162 del C.S.T., por tanto, también se encuentra incluido, dentro de las excepciones de aplicación de la Ley 2191 de 2022, que trata sobre desconexión laboral.</w:t>
      </w:r>
    </w:p>
    <w:p w14:paraId="17B5E709" w14:textId="77777777" w:rsidR="006C11EF" w:rsidRPr="00CA2FBF" w:rsidRDefault="006C11EF" w:rsidP="006C11EF">
      <w:pPr>
        <w:ind w:left="-142" w:right="-120"/>
        <w:jc w:val="both"/>
        <w:rPr>
          <w:rFonts w:ascii="Arial" w:hAnsi="Arial" w:cs="Arial"/>
          <w:bCs/>
          <w:color w:val="000000" w:themeColor="text1"/>
        </w:rPr>
      </w:pPr>
    </w:p>
    <w:p w14:paraId="386CF81F"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Con el propósito de garantizar el derecho a la desconexión laboral, </w:t>
      </w:r>
      <w:r w:rsidRPr="00CA2FBF">
        <w:rPr>
          <w:rFonts w:ascii="Arial" w:hAnsi="Arial" w:cs="Arial"/>
          <w:b/>
          <w:color w:val="000000" w:themeColor="text1"/>
        </w:rPr>
        <w:t>SANITHELP IPS SAS</w:t>
      </w:r>
      <w:r w:rsidRPr="00CA2FBF">
        <w:rPr>
          <w:rFonts w:ascii="Arial" w:hAnsi="Arial" w:cs="Arial"/>
          <w:bCs/>
          <w:color w:val="000000" w:themeColor="text1"/>
        </w:rPr>
        <w:t xml:space="preserve">, implementará las siguientes medidas: </w:t>
      </w:r>
    </w:p>
    <w:p w14:paraId="47778B69" w14:textId="77777777" w:rsidR="006C11EF" w:rsidRPr="00CA2FBF" w:rsidRDefault="006C11EF" w:rsidP="006C11EF">
      <w:pPr>
        <w:ind w:left="-142" w:right="-120"/>
        <w:jc w:val="both"/>
        <w:rPr>
          <w:rFonts w:ascii="Arial" w:hAnsi="Arial" w:cs="Arial"/>
          <w:bCs/>
          <w:color w:val="000000" w:themeColor="text1"/>
        </w:rPr>
      </w:pPr>
    </w:p>
    <w:p w14:paraId="502C264B" w14:textId="57D63C7B" w:rsidR="006C11EF" w:rsidRPr="006C11EF" w:rsidRDefault="006C11EF" w:rsidP="006C11EF">
      <w:pPr>
        <w:pStyle w:val="Prrafodelista"/>
        <w:numPr>
          <w:ilvl w:val="0"/>
          <w:numId w:val="4"/>
        </w:numPr>
        <w:ind w:right="-120"/>
        <w:jc w:val="both"/>
        <w:rPr>
          <w:rFonts w:ascii="Arial" w:hAnsi="Arial" w:cs="Arial"/>
          <w:bCs/>
          <w:color w:val="000000" w:themeColor="text1"/>
        </w:rPr>
      </w:pPr>
      <w:r w:rsidRPr="006C11EF">
        <w:rPr>
          <w:rFonts w:ascii="Arial" w:hAnsi="Arial" w:cs="Arial"/>
          <w:bCs/>
          <w:color w:val="000000" w:themeColor="text1"/>
        </w:rPr>
        <w:t xml:space="preserve">Se prohíbe a los directores, gerentes, y en general al personal que ostente la calidad de jefe o líder de área, solicitar requerimientos, servicios o actividades al personal por fuera de la jornada de trabajo establecida. </w:t>
      </w:r>
    </w:p>
    <w:p w14:paraId="48C5DB58" w14:textId="77777777" w:rsidR="006C11EF" w:rsidRPr="00CA2FBF" w:rsidRDefault="006C11EF" w:rsidP="006C11EF">
      <w:pPr>
        <w:ind w:left="-142" w:right="-120"/>
        <w:jc w:val="both"/>
        <w:rPr>
          <w:rFonts w:ascii="Arial" w:hAnsi="Arial" w:cs="Arial"/>
          <w:bCs/>
          <w:color w:val="000000" w:themeColor="text1"/>
        </w:rPr>
      </w:pPr>
    </w:p>
    <w:p w14:paraId="6F1292A9" w14:textId="369151FC" w:rsidR="006C11EF" w:rsidRPr="006C11EF" w:rsidRDefault="006C11EF" w:rsidP="006C11EF">
      <w:pPr>
        <w:pStyle w:val="Prrafodelista"/>
        <w:numPr>
          <w:ilvl w:val="0"/>
          <w:numId w:val="4"/>
        </w:numPr>
        <w:ind w:right="-120"/>
        <w:jc w:val="both"/>
        <w:rPr>
          <w:rFonts w:ascii="Arial" w:hAnsi="Arial" w:cs="Arial"/>
          <w:bCs/>
          <w:color w:val="000000" w:themeColor="text1"/>
        </w:rPr>
      </w:pPr>
      <w:r w:rsidRPr="006C11EF">
        <w:rPr>
          <w:rFonts w:ascii="Arial" w:hAnsi="Arial" w:cs="Arial"/>
          <w:bCs/>
          <w:color w:val="000000" w:themeColor="text1"/>
        </w:rPr>
        <w:t xml:space="preserve">Se prohíbe a los colaboradores realizar actividades o atender requerimientos de </w:t>
      </w:r>
      <w:r w:rsidRPr="006C11EF">
        <w:rPr>
          <w:rFonts w:ascii="Arial" w:hAnsi="Arial" w:cs="Arial"/>
          <w:b/>
          <w:color w:val="000000" w:themeColor="text1"/>
        </w:rPr>
        <w:t>SANITHELP IPS SAS</w:t>
      </w:r>
      <w:r w:rsidRPr="006C11EF">
        <w:rPr>
          <w:rFonts w:ascii="Arial" w:hAnsi="Arial" w:cs="Arial"/>
          <w:bCs/>
          <w:color w:val="000000" w:themeColor="text1"/>
        </w:rPr>
        <w:t xml:space="preserve">, por fuera de las jornadas de trabajo establecidas, salvo que se trate de situaciones de fuerza mayor o caso fortuito, en los que se requiera cumplir deberes extra de colaboración con la institución, cuando sean necesarios para la continuidad del servicio o para solucionar situaciones difíciles o de urgencia en la operación de la institución, siempre que se justifique la inexistencia de otra alternativa viable. </w:t>
      </w:r>
    </w:p>
    <w:p w14:paraId="62F4FD11" w14:textId="77777777" w:rsidR="006C11EF" w:rsidRPr="006C11EF" w:rsidRDefault="006C11EF" w:rsidP="006C11EF">
      <w:pPr>
        <w:pStyle w:val="Prrafodelista"/>
        <w:rPr>
          <w:rFonts w:ascii="Arial" w:hAnsi="Arial" w:cs="Arial"/>
          <w:bCs/>
          <w:color w:val="000000" w:themeColor="text1"/>
        </w:rPr>
      </w:pPr>
    </w:p>
    <w:p w14:paraId="04D05DD7" w14:textId="77777777" w:rsidR="006C11EF" w:rsidRDefault="006C11EF" w:rsidP="006C11EF">
      <w:pPr>
        <w:pStyle w:val="Prrafodelista"/>
        <w:numPr>
          <w:ilvl w:val="0"/>
          <w:numId w:val="4"/>
        </w:numPr>
        <w:ind w:right="-120"/>
        <w:jc w:val="both"/>
        <w:rPr>
          <w:rFonts w:ascii="Arial" w:hAnsi="Arial" w:cs="Arial"/>
          <w:bCs/>
          <w:color w:val="000000" w:themeColor="text1"/>
        </w:rPr>
      </w:pPr>
      <w:r w:rsidRPr="006C11EF">
        <w:rPr>
          <w:rFonts w:ascii="Arial" w:hAnsi="Arial" w:cs="Arial"/>
          <w:bCs/>
          <w:color w:val="000000" w:themeColor="text1"/>
        </w:rPr>
        <w:t>Con la finalidad de garantizar el derecho a la desconexión laboral, se establece que los diferentes mensajes, correos, solicitudes y requerimientos que le sean enviados a los trabajadores se remitirán en la medida de lo posible durante la jornada de trabajo. Aquellas solicitudes enviadas una vez finalizada la jornada de trabajo, contarán a partir del inicio del día siguiente hábil laboralmente.</w:t>
      </w:r>
    </w:p>
    <w:p w14:paraId="48ACBA93" w14:textId="77777777" w:rsidR="006C11EF" w:rsidRPr="006C11EF" w:rsidRDefault="006C11EF" w:rsidP="006C11EF">
      <w:pPr>
        <w:pStyle w:val="Prrafodelista"/>
        <w:rPr>
          <w:rFonts w:ascii="Arial" w:hAnsi="Arial" w:cs="Arial"/>
          <w:bCs/>
          <w:color w:val="000000" w:themeColor="text1"/>
        </w:rPr>
      </w:pPr>
    </w:p>
    <w:p w14:paraId="7501CE83" w14:textId="77777777" w:rsidR="006C11EF" w:rsidRDefault="006C11EF" w:rsidP="006C11EF">
      <w:pPr>
        <w:pStyle w:val="Prrafodelista"/>
        <w:numPr>
          <w:ilvl w:val="0"/>
          <w:numId w:val="4"/>
        </w:numPr>
        <w:ind w:right="-120"/>
        <w:jc w:val="both"/>
        <w:rPr>
          <w:rFonts w:ascii="Arial" w:hAnsi="Arial" w:cs="Arial"/>
          <w:bCs/>
          <w:color w:val="000000" w:themeColor="text1"/>
        </w:rPr>
      </w:pPr>
      <w:r w:rsidRPr="006C11EF">
        <w:rPr>
          <w:rFonts w:ascii="Arial" w:hAnsi="Arial" w:cs="Arial"/>
          <w:bCs/>
          <w:color w:val="000000" w:themeColor="text1"/>
        </w:rPr>
        <w:t xml:space="preserve">Se evitará programar reuniones, sin importar cual sea su modalidad (presencial o video llamada) fuera de la jornada y horario de trabajo para aquellos trabajadores que no clasifiquen como empleados de manejo y confianza. </w:t>
      </w:r>
    </w:p>
    <w:p w14:paraId="615C7BB0" w14:textId="77777777" w:rsidR="006C11EF" w:rsidRPr="006C11EF" w:rsidRDefault="006C11EF" w:rsidP="006C11EF">
      <w:pPr>
        <w:pStyle w:val="Prrafodelista"/>
        <w:rPr>
          <w:rFonts w:ascii="Arial" w:hAnsi="Arial" w:cs="Arial"/>
          <w:bCs/>
          <w:color w:val="000000" w:themeColor="text1"/>
        </w:rPr>
      </w:pPr>
    </w:p>
    <w:p w14:paraId="5D80929C" w14:textId="4F1508DC" w:rsidR="006C11EF" w:rsidRDefault="006C11EF" w:rsidP="006C11EF">
      <w:pPr>
        <w:pStyle w:val="Prrafodelista"/>
        <w:numPr>
          <w:ilvl w:val="0"/>
          <w:numId w:val="4"/>
        </w:numPr>
        <w:ind w:right="-120"/>
        <w:jc w:val="both"/>
        <w:rPr>
          <w:rFonts w:ascii="Arial" w:hAnsi="Arial" w:cs="Arial"/>
          <w:bCs/>
          <w:color w:val="000000" w:themeColor="text1"/>
        </w:rPr>
      </w:pPr>
      <w:r w:rsidRPr="006C11EF">
        <w:rPr>
          <w:rFonts w:ascii="Arial" w:hAnsi="Arial" w:cs="Arial"/>
          <w:bCs/>
          <w:color w:val="000000" w:themeColor="text1"/>
        </w:rPr>
        <w:t>Todo trabajo suplementario o de horas extras, dominicales o festivos, debe ser debidamente autorizado por la institución.</w:t>
      </w:r>
    </w:p>
    <w:p w14:paraId="37E5B1D6" w14:textId="77777777" w:rsidR="006C11EF" w:rsidRPr="006C11EF" w:rsidRDefault="006C11EF" w:rsidP="006C11EF">
      <w:pPr>
        <w:pStyle w:val="Prrafodelista"/>
        <w:rPr>
          <w:rFonts w:ascii="Arial" w:hAnsi="Arial" w:cs="Arial"/>
          <w:bCs/>
          <w:color w:val="000000" w:themeColor="text1"/>
        </w:rPr>
      </w:pPr>
    </w:p>
    <w:p w14:paraId="633308CE" w14:textId="77777777" w:rsidR="006C11EF" w:rsidRDefault="006C11EF" w:rsidP="006C11EF">
      <w:pPr>
        <w:ind w:right="-120"/>
        <w:jc w:val="both"/>
        <w:rPr>
          <w:rFonts w:ascii="Arial" w:hAnsi="Arial" w:cs="Arial"/>
          <w:bCs/>
          <w:color w:val="000000" w:themeColor="text1"/>
        </w:rPr>
      </w:pPr>
    </w:p>
    <w:p w14:paraId="48D618AC" w14:textId="77777777" w:rsidR="006C11EF" w:rsidRPr="006C11EF" w:rsidRDefault="006C11EF" w:rsidP="006C11EF">
      <w:pPr>
        <w:ind w:right="-120"/>
        <w:jc w:val="both"/>
        <w:rPr>
          <w:rFonts w:ascii="Arial" w:hAnsi="Arial" w:cs="Arial"/>
          <w:bCs/>
          <w:color w:val="000000" w:themeColor="text1"/>
        </w:rPr>
      </w:pPr>
    </w:p>
    <w:p w14:paraId="4F67D272" w14:textId="5F92248E" w:rsidR="006C11EF" w:rsidRPr="00CA2FBF" w:rsidRDefault="006C11EF" w:rsidP="006C11EF">
      <w:pPr>
        <w:ind w:right="-120"/>
        <w:jc w:val="both"/>
        <w:rPr>
          <w:rFonts w:ascii="Arial" w:hAnsi="Arial" w:cs="Arial"/>
          <w:b/>
          <w:color w:val="000000" w:themeColor="text1"/>
        </w:rPr>
      </w:pPr>
      <w:r w:rsidRPr="00CA2FBF">
        <w:rPr>
          <w:rFonts w:ascii="Arial" w:hAnsi="Arial" w:cs="Arial"/>
          <w:bCs/>
          <w:color w:val="000000" w:themeColor="text1"/>
        </w:rPr>
        <w:t>.</w:t>
      </w:r>
      <w:r w:rsidRPr="006C11EF">
        <w:rPr>
          <w:rFonts w:ascii="Arial" w:hAnsi="Arial" w:cs="Arial"/>
          <w:b/>
          <w:color w:val="000000" w:themeColor="text1"/>
        </w:rPr>
        <w:t xml:space="preserve"> </w:t>
      </w:r>
      <w:r w:rsidRPr="00CA2FBF">
        <w:rPr>
          <w:rFonts w:ascii="Arial" w:hAnsi="Arial" w:cs="Arial"/>
          <w:b/>
          <w:color w:val="000000" w:themeColor="text1"/>
        </w:rPr>
        <w:t>POLITICAS Y CONDICIONES DE OPERACIÓN</w:t>
      </w:r>
    </w:p>
    <w:p w14:paraId="5D013043" w14:textId="77777777" w:rsidR="006C11EF" w:rsidRPr="00CA2FBF" w:rsidRDefault="006C11EF" w:rsidP="006C11EF">
      <w:pPr>
        <w:ind w:left="-142" w:right="-120"/>
        <w:jc w:val="both"/>
        <w:rPr>
          <w:rFonts w:ascii="Arial" w:hAnsi="Arial" w:cs="Arial"/>
          <w:bCs/>
          <w:color w:val="000000" w:themeColor="text1"/>
        </w:rPr>
      </w:pPr>
    </w:p>
    <w:p w14:paraId="11A553CF" w14:textId="77777777" w:rsidR="006C11EF" w:rsidRPr="00CA2FBF" w:rsidRDefault="006C11EF" w:rsidP="006C11EF">
      <w:pPr>
        <w:ind w:left="-142" w:right="-120"/>
        <w:jc w:val="both"/>
        <w:rPr>
          <w:rFonts w:ascii="Arial" w:hAnsi="Arial" w:cs="Arial"/>
          <w:bCs/>
          <w:color w:val="000000" w:themeColor="text1"/>
        </w:rPr>
      </w:pPr>
    </w:p>
    <w:p w14:paraId="0E8CDB08"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De acuerdo con lo establecido en la Ley 2191 de 2022, la presente política y el derecho a la desconexión laboral estará orientado por principios constitucionales en los términos correspondientes al derecho al trabajo, los convenios ratificados por la Organización Internacional del Trabajo OIT y toda la normatividad relacionada para las finalidades de esta ley.</w:t>
      </w:r>
    </w:p>
    <w:p w14:paraId="4CBB898A"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De acuerdo con lo previsto en la Ley 2191 de 2022, </w:t>
      </w:r>
      <w:r w:rsidRPr="00CA2FBF">
        <w:rPr>
          <w:rFonts w:ascii="Arial" w:hAnsi="Arial" w:cs="Arial"/>
          <w:b/>
          <w:color w:val="000000" w:themeColor="text1"/>
        </w:rPr>
        <w:t>SANITHELP IPS SAS</w:t>
      </w:r>
      <w:r w:rsidRPr="00CA2FBF">
        <w:rPr>
          <w:rFonts w:ascii="Arial" w:hAnsi="Arial" w:cs="Arial"/>
          <w:bCs/>
          <w:color w:val="000000" w:themeColor="text1"/>
        </w:rPr>
        <w:t xml:space="preserve">, garantizará que los trabajadores gocen del derecho a la desconexión laboral, el cual inicia una vez finalizada la jornada laboral, así mismo que pueda disfrutar efectiva y plenamente del tiempo de descanso, licencias, permisos, vacaciones y de su vida personal y familiar. En todo caso se tendrá en cuenta que, el ejercicio de este derecho también responderá a la naturaleza del cargo según corresponda. </w:t>
      </w:r>
    </w:p>
    <w:p w14:paraId="51983F7C" w14:textId="77777777" w:rsidR="006C11EF" w:rsidRPr="00CA2FBF" w:rsidRDefault="006C11EF" w:rsidP="006C11EF">
      <w:pPr>
        <w:ind w:left="-142" w:right="-120"/>
        <w:jc w:val="both"/>
        <w:rPr>
          <w:rFonts w:ascii="Arial" w:hAnsi="Arial" w:cs="Arial"/>
          <w:bCs/>
          <w:color w:val="000000" w:themeColor="text1"/>
        </w:rPr>
      </w:pPr>
    </w:p>
    <w:p w14:paraId="58C85568"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A continuación, se establecerán los lineamientos, que garantizarán el disfrute de la desconexión laboral, así: </w:t>
      </w:r>
    </w:p>
    <w:p w14:paraId="18815D10"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a.- La desconexión laboral inicia, una vez el colaborador ha finalizado la jornada laboral pactada o ha iniciado el disfrute del periodo de licencia, vacaciones, etc. </w:t>
      </w:r>
    </w:p>
    <w:p w14:paraId="35DBDFF7"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b.- Los colaboradores tendrán derecho a disfrutar de los periodos de descanso, licencias, permisos, vacaciones, esto, con el fin de que pueda gozar de dichos espacios en comunión con su familia, amigos y esparcimiento personal. </w:t>
      </w:r>
    </w:p>
    <w:p w14:paraId="4F2BE690"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c.- Una vez finalizada la jornada laboral o iniciado el periodo de permiso, licencia y/o vacaciones, el trabajador no se encuentra en la obligación de atender llamadas, mensajes, correos, etc., siempre y cuando, no se trate de un hecho urgente, grave, de fuerza mayor o caso fortuito, en el cual se requiera de la atención por parte del trabajador, con el fin de que el buen funcionamiento de </w:t>
      </w:r>
      <w:r w:rsidRPr="00CA2FBF">
        <w:rPr>
          <w:rFonts w:ascii="Arial" w:hAnsi="Arial" w:cs="Arial"/>
          <w:b/>
          <w:color w:val="000000" w:themeColor="text1"/>
        </w:rPr>
        <w:t>SANITHELP IPS SAS</w:t>
      </w:r>
      <w:r w:rsidRPr="00CA2FBF">
        <w:rPr>
          <w:rFonts w:ascii="Arial" w:hAnsi="Arial" w:cs="Arial"/>
          <w:bCs/>
          <w:color w:val="000000" w:themeColor="text1"/>
        </w:rPr>
        <w:t xml:space="preserve"> no se vea afectado. </w:t>
      </w:r>
    </w:p>
    <w:p w14:paraId="6239085D"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d.- Aquellos colaboradores que desempeñan cargos y/o funciones, que tienen la calidad de dirección, confianza y manejo, se encuentran exentos de la regulación de la jornada máxima legal, de conformidad con lo dispuesto en el artículo 162 del C.S.T., por tanto, también se encuentra incluido, dentro de las excepciones de aplicación de la Ley 2191 de 2022, que trata sobre desconexión laboral.</w:t>
      </w:r>
    </w:p>
    <w:p w14:paraId="4102C0C3"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Con el propósito de garantizar el derecho a la desconexión laboral, implementará las siguientes medidas: </w:t>
      </w:r>
    </w:p>
    <w:p w14:paraId="21A9BEAD"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Se prohíbe a los directores, gerentes, y en general al personal que ostente la calidad de jefe o líder de área, solicitar requerimientos, servicios o actividades al personal por fuera de la jornada de trabajo establecida. </w:t>
      </w:r>
    </w:p>
    <w:p w14:paraId="0804B16B"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Se prohíbe a los colaboradores realizar actividades o atender requerimientos de </w:t>
      </w:r>
      <w:r w:rsidRPr="00CA2FBF">
        <w:rPr>
          <w:rFonts w:ascii="Arial" w:hAnsi="Arial" w:cs="Arial"/>
          <w:b/>
          <w:color w:val="000000" w:themeColor="text1"/>
        </w:rPr>
        <w:t>SANITHELP IPS SAS</w:t>
      </w:r>
      <w:r w:rsidRPr="00CA2FBF">
        <w:rPr>
          <w:rFonts w:ascii="Arial" w:hAnsi="Arial" w:cs="Arial"/>
          <w:bCs/>
          <w:color w:val="000000" w:themeColor="text1"/>
        </w:rPr>
        <w:t xml:space="preserve">, por fuera de las jornadas de trabajo establecidas, salvo que se trate de situaciones de fuerza mayor o caso fortuito, en los que se requiera cumplir deberes extra de colaboración con la institución, cuando sean necesarios para la continuidad del servicio o para solucionar situaciones difíciles o de urgencia en la operación de la institución, siempre que se justifique la inexistencia de otra alternativa viable. </w:t>
      </w:r>
    </w:p>
    <w:p w14:paraId="3716FCAF"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Con la finalidad de garantizar el derecho a la desconexión laboral, se establece que los diferentes mensajes, correos, solicitudes y requerimientos que le sean enviados a los colaboradores se remitirán en la medida de lo posible durante la jornada de trabajo. Aquellas solicitudes enviadas una vez finalizada la jornada de trabajo, contarán a partir del inicio del día siguiente hábil laboralmente.</w:t>
      </w:r>
    </w:p>
    <w:p w14:paraId="07E8A2DD" w14:textId="77777777" w:rsidR="006C11EF" w:rsidRPr="00CA2FBF" w:rsidRDefault="006C11EF" w:rsidP="006C11EF">
      <w:pPr>
        <w:ind w:left="-142" w:right="-120"/>
        <w:jc w:val="both"/>
        <w:rPr>
          <w:rFonts w:ascii="Arial" w:hAnsi="Arial" w:cs="Arial"/>
          <w:bCs/>
          <w:color w:val="000000" w:themeColor="text1"/>
        </w:rPr>
      </w:pPr>
    </w:p>
    <w:p w14:paraId="02BCB13C"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 xml:space="preserve">Se evitará programar reuniones, sin importar cual sea su modalidad (presencial o video llamada) fuera de la jornada y horario de trabajo para aquellos colaboradores que no clasifiquen como colaboradores de manejo y confianza. </w:t>
      </w:r>
    </w:p>
    <w:p w14:paraId="1BE80013" w14:textId="77777777" w:rsidR="006C11EF" w:rsidRPr="00CA2FBF" w:rsidRDefault="006C11EF" w:rsidP="006C11EF">
      <w:pPr>
        <w:ind w:left="708" w:right="-120" w:hanging="708"/>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Todo trabajo suplementario o de horas extras, dominicales o festivos, debe ser debidamente autorizado por la institución.</w:t>
      </w:r>
    </w:p>
    <w:p w14:paraId="2E579200"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w:t>
      </w:r>
      <w:r w:rsidRPr="00CA2FBF">
        <w:rPr>
          <w:rFonts w:ascii="Arial" w:hAnsi="Arial" w:cs="Arial"/>
          <w:bCs/>
          <w:color w:val="000000" w:themeColor="text1"/>
        </w:rPr>
        <w:tab/>
        <w:t>Todo trabajo suplementario o de horas extras, dominicales o festivos, debe ser debidamente autorizado por la institución.</w:t>
      </w:r>
    </w:p>
    <w:p w14:paraId="7088E436" w14:textId="77777777" w:rsidR="006C11EF" w:rsidRPr="00CA2FBF" w:rsidRDefault="006C11EF" w:rsidP="006C11EF">
      <w:pPr>
        <w:ind w:left="-142" w:right="-120"/>
        <w:jc w:val="both"/>
        <w:rPr>
          <w:rFonts w:ascii="Arial" w:hAnsi="Arial" w:cs="Arial"/>
          <w:bCs/>
          <w:color w:val="000000" w:themeColor="text1"/>
        </w:rPr>
      </w:pPr>
    </w:p>
    <w:p w14:paraId="4EA7E021" w14:textId="77777777" w:rsidR="006C11EF" w:rsidRPr="00CA2FBF" w:rsidRDefault="006C11EF" w:rsidP="006C11EF">
      <w:pPr>
        <w:ind w:left="-142" w:right="-120"/>
        <w:jc w:val="both"/>
        <w:rPr>
          <w:rFonts w:ascii="Arial" w:hAnsi="Arial" w:cs="Arial"/>
          <w:bCs/>
          <w:color w:val="000000" w:themeColor="text1"/>
        </w:rPr>
      </w:pPr>
    </w:p>
    <w:p w14:paraId="194E3D37" w14:textId="77777777" w:rsidR="006C11EF" w:rsidRPr="00CA2FBF" w:rsidRDefault="006C11EF" w:rsidP="006C11EF">
      <w:pPr>
        <w:ind w:left="-142" w:right="-120"/>
        <w:jc w:val="both"/>
        <w:rPr>
          <w:rFonts w:ascii="Arial" w:hAnsi="Arial" w:cs="Arial"/>
          <w:b/>
          <w:color w:val="000000" w:themeColor="text1"/>
        </w:rPr>
      </w:pPr>
      <w:r w:rsidRPr="00CA2FBF">
        <w:rPr>
          <w:rFonts w:ascii="Arial" w:hAnsi="Arial" w:cs="Arial"/>
          <w:b/>
          <w:color w:val="000000" w:themeColor="text1"/>
        </w:rPr>
        <w:t xml:space="preserve">TRÁMITE Y SOLUCIÓN DE QUEJAS POR COMPORTAMIENTOS QUE DESCONOZCAN EL DERECHO A LA DESCONEXIÓN LABORAL. </w:t>
      </w:r>
    </w:p>
    <w:p w14:paraId="698F17AF"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 </w:t>
      </w:r>
    </w:p>
    <w:p w14:paraId="318C70F6"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
          <w:color w:val="000000" w:themeColor="text1"/>
        </w:rPr>
        <w:t>SANITHELP IPS SAS</w:t>
      </w:r>
      <w:r w:rsidRPr="00CA2FBF">
        <w:rPr>
          <w:rFonts w:ascii="Arial" w:hAnsi="Arial" w:cs="Arial"/>
          <w:bCs/>
          <w:color w:val="000000" w:themeColor="text1"/>
        </w:rPr>
        <w:t xml:space="preserve">, en cumplimiento a lo previsto por la Ley 2191 de 2022 y en aras de garantizar el derecho a la desconexión laboral, establece el siguiente procedimiento interno, con el cual se pretende desarrollar las características de confidencialidad, efectividad y naturaleza conciliatoria señaladas por la ley para prevenir y evitar vulneraciones al disfrute de espacios descanso de los trabajadores, así: </w:t>
      </w:r>
    </w:p>
    <w:p w14:paraId="73D665C8" w14:textId="77777777" w:rsidR="006C11EF" w:rsidRPr="00CA2FBF" w:rsidRDefault="006C11EF" w:rsidP="006C11EF">
      <w:pPr>
        <w:ind w:left="-142" w:right="-120"/>
        <w:jc w:val="both"/>
        <w:rPr>
          <w:rFonts w:ascii="Arial" w:hAnsi="Arial" w:cs="Arial"/>
          <w:b/>
          <w:color w:val="000000" w:themeColor="text1"/>
        </w:rPr>
      </w:pPr>
    </w:p>
    <w:p w14:paraId="030B9063" w14:textId="77777777" w:rsidR="006C11EF" w:rsidRPr="00CA2FBF" w:rsidRDefault="006C11EF" w:rsidP="006C11EF">
      <w:pPr>
        <w:ind w:left="-142" w:right="-120"/>
        <w:jc w:val="both"/>
        <w:rPr>
          <w:rFonts w:ascii="Arial" w:hAnsi="Arial" w:cs="Arial"/>
          <w:b/>
          <w:color w:val="000000" w:themeColor="text1"/>
        </w:rPr>
      </w:pPr>
      <w:r w:rsidRPr="00CA2FBF">
        <w:rPr>
          <w:rFonts w:ascii="Arial" w:hAnsi="Arial" w:cs="Arial"/>
          <w:b/>
          <w:color w:val="000000" w:themeColor="text1"/>
        </w:rPr>
        <w:t xml:space="preserve">a.- QUIÉNES SE ENCUENTRAN FACULTADOS PARA PRESENTAR QUEJAS, POR PRESUNTA VULNERACIÓN AL DERECHO DE DESCONEXIÓN LABORAL: </w:t>
      </w:r>
    </w:p>
    <w:p w14:paraId="6DAEDAA3" w14:textId="77777777" w:rsidR="006C11EF" w:rsidRPr="00CA2FBF" w:rsidRDefault="006C11EF" w:rsidP="006C11EF">
      <w:pPr>
        <w:ind w:left="-142" w:right="-120"/>
        <w:jc w:val="both"/>
        <w:rPr>
          <w:rFonts w:ascii="Arial" w:hAnsi="Arial" w:cs="Arial"/>
          <w:bCs/>
          <w:color w:val="000000" w:themeColor="text1"/>
        </w:rPr>
      </w:pPr>
    </w:p>
    <w:p w14:paraId="680693A7" w14:textId="77777777"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Todos los colaboradores de la Institución, con excepción de aquellos que desempeñan cargos y/o funciones, que tienen la calidad de dirección, confianza y manejo.</w:t>
      </w:r>
    </w:p>
    <w:p w14:paraId="5F5B68EC" w14:textId="77777777" w:rsidR="006C11EF" w:rsidRPr="00CA2FBF" w:rsidRDefault="006C11EF" w:rsidP="006C11EF">
      <w:pPr>
        <w:ind w:left="-142" w:right="-120"/>
        <w:jc w:val="both"/>
        <w:rPr>
          <w:rFonts w:ascii="Arial" w:hAnsi="Arial" w:cs="Arial"/>
          <w:bCs/>
          <w:color w:val="000000" w:themeColor="text1"/>
        </w:rPr>
      </w:pPr>
    </w:p>
    <w:p w14:paraId="50D51E38" w14:textId="77777777" w:rsidR="006C11EF" w:rsidRPr="00CA2FBF" w:rsidRDefault="006C11EF" w:rsidP="006C11EF">
      <w:pPr>
        <w:ind w:left="-142" w:right="-120"/>
        <w:jc w:val="both"/>
        <w:rPr>
          <w:rFonts w:ascii="Arial" w:hAnsi="Arial" w:cs="Arial"/>
          <w:bCs/>
          <w:color w:val="000000" w:themeColor="text1"/>
        </w:rPr>
      </w:pPr>
    </w:p>
    <w:p w14:paraId="1AF5272F" w14:textId="77777777" w:rsidR="006C11EF" w:rsidRPr="00CA2FBF" w:rsidRDefault="006C11EF" w:rsidP="006C11EF">
      <w:pPr>
        <w:ind w:left="-142" w:right="-120"/>
        <w:jc w:val="both"/>
        <w:rPr>
          <w:rFonts w:ascii="Arial" w:hAnsi="Arial" w:cs="Arial"/>
          <w:bCs/>
          <w:color w:val="000000" w:themeColor="text1"/>
        </w:rPr>
      </w:pPr>
    </w:p>
    <w:p w14:paraId="49ECEB93" w14:textId="77777777" w:rsidR="006C11EF" w:rsidRPr="00CA2FBF" w:rsidRDefault="006C11EF" w:rsidP="006C11EF">
      <w:pPr>
        <w:ind w:left="-142" w:right="-120"/>
        <w:jc w:val="both"/>
        <w:rPr>
          <w:rFonts w:ascii="Arial" w:hAnsi="Arial" w:cs="Arial"/>
          <w:bCs/>
          <w:color w:val="000000" w:themeColor="text1"/>
        </w:rPr>
      </w:pPr>
    </w:p>
    <w:p w14:paraId="21163468" w14:textId="77777777" w:rsidR="006C11EF" w:rsidRPr="00CA2FBF" w:rsidRDefault="006C11EF" w:rsidP="006C11EF">
      <w:pPr>
        <w:ind w:left="-142" w:right="-120"/>
        <w:jc w:val="both"/>
        <w:rPr>
          <w:rFonts w:ascii="Arial" w:hAnsi="Arial" w:cs="Arial"/>
          <w:bCs/>
          <w:color w:val="000000" w:themeColor="text1"/>
        </w:rPr>
      </w:pPr>
    </w:p>
    <w:p w14:paraId="6BE530A0" w14:textId="77777777" w:rsidR="006C11EF" w:rsidRPr="00CA2FBF" w:rsidRDefault="006C11EF" w:rsidP="006C11EF">
      <w:pPr>
        <w:ind w:left="-142" w:right="-120"/>
        <w:jc w:val="both"/>
        <w:rPr>
          <w:rFonts w:ascii="Arial" w:hAnsi="Arial" w:cs="Arial"/>
          <w:bCs/>
          <w:color w:val="000000" w:themeColor="text1"/>
        </w:rPr>
      </w:pPr>
    </w:p>
    <w:p w14:paraId="528768D4" w14:textId="77777777" w:rsidR="006C11EF" w:rsidRPr="00CA2FBF" w:rsidRDefault="006C11EF" w:rsidP="006C11EF">
      <w:pPr>
        <w:ind w:left="-142" w:right="-120"/>
        <w:jc w:val="both"/>
        <w:rPr>
          <w:rFonts w:ascii="Arial" w:hAnsi="Arial" w:cs="Arial"/>
          <w:bCs/>
          <w:color w:val="000000" w:themeColor="text1"/>
        </w:rPr>
      </w:pPr>
    </w:p>
    <w:p w14:paraId="2FCD6CDA" w14:textId="77777777" w:rsidR="006C11EF" w:rsidRPr="00CA2FBF" w:rsidRDefault="006C11EF" w:rsidP="006C11EF">
      <w:pPr>
        <w:ind w:left="-142" w:right="-120"/>
        <w:jc w:val="both"/>
        <w:rPr>
          <w:rFonts w:ascii="Arial" w:hAnsi="Arial" w:cs="Arial"/>
          <w:b/>
          <w:color w:val="000000" w:themeColor="text1"/>
        </w:rPr>
      </w:pPr>
      <w:r w:rsidRPr="00CA2FBF">
        <w:rPr>
          <w:rFonts w:ascii="Arial" w:hAnsi="Arial" w:cs="Arial"/>
          <w:b/>
          <w:color w:val="000000" w:themeColor="text1"/>
        </w:rPr>
        <w:t xml:space="preserve">c.- ANTE QUIÉN SE DEBE PRESENTAR LA QUEJA: </w:t>
      </w:r>
    </w:p>
    <w:p w14:paraId="76D5A6E2" w14:textId="77777777" w:rsidR="006C11EF" w:rsidRPr="00CA2FBF" w:rsidRDefault="006C11EF" w:rsidP="006C11EF">
      <w:pPr>
        <w:ind w:left="-142" w:right="-120"/>
        <w:jc w:val="both"/>
        <w:rPr>
          <w:rFonts w:ascii="Arial" w:hAnsi="Arial" w:cs="Arial"/>
          <w:bCs/>
          <w:color w:val="000000" w:themeColor="text1"/>
        </w:rPr>
      </w:pPr>
    </w:p>
    <w:tbl>
      <w:tblPr>
        <w:tblpPr w:leftFromText="141" w:rightFromText="141" w:vertAnchor="text" w:horzAnchor="margin" w:tblpXSpec="center" w:tblpY="108"/>
        <w:tblW w:w="10148" w:type="dxa"/>
        <w:tblCellMar>
          <w:left w:w="70" w:type="dxa"/>
          <w:right w:w="70" w:type="dxa"/>
        </w:tblCellMar>
        <w:tblLook w:val="04A0" w:firstRow="1" w:lastRow="0" w:firstColumn="1" w:lastColumn="0" w:noHBand="0" w:noVBand="1"/>
      </w:tblPr>
      <w:tblGrid>
        <w:gridCol w:w="706"/>
        <w:gridCol w:w="5131"/>
        <w:gridCol w:w="2436"/>
        <w:gridCol w:w="1875"/>
      </w:tblGrid>
      <w:tr w:rsidR="006C11EF" w:rsidRPr="00CA2FBF" w14:paraId="1649CA16" w14:textId="77777777" w:rsidTr="0068253D">
        <w:trPr>
          <w:trHeight w:val="512"/>
        </w:trPr>
        <w:tc>
          <w:tcPr>
            <w:tcW w:w="706" w:type="dxa"/>
            <w:tcBorders>
              <w:top w:val="single" w:sz="8" w:space="0" w:color="auto"/>
              <w:left w:val="single" w:sz="8" w:space="0" w:color="auto"/>
              <w:bottom w:val="single" w:sz="8" w:space="0" w:color="auto"/>
              <w:right w:val="single" w:sz="4" w:space="0" w:color="auto"/>
            </w:tcBorders>
            <w:shd w:val="clear" w:color="auto" w:fill="auto"/>
            <w:noWrap/>
            <w:vAlign w:val="center"/>
          </w:tcPr>
          <w:p w14:paraId="7D701513" w14:textId="77777777" w:rsidR="006C11EF" w:rsidRPr="00CA2FBF" w:rsidRDefault="006C11EF" w:rsidP="0068253D">
            <w:pPr>
              <w:jc w:val="center"/>
              <w:rPr>
                <w:rFonts w:ascii="Arial" w:hAnsi="Arial" w:cs="Arial"/>
                <w:b/>
                <w:bCs/>
              </w:rPr>
            </w:pPr>
            <w:r w:rsidRPr="00CA2FBF">
              <w:rPr>
                <w:rFonts w:ascii="Arial" w:hAnsi="Arial" w:cs="Arial"/>
                <w:b/>
                <w:bCs/>
              </w:rPr>
              <w:t>No.</w:t>
            </w:r>
          </w:p>
        </w:tc>
        <w:tc>
          <w:tcPr>
            <w:tcW w:w="5131" w:type="dxa"/>
            <w:tcBorders>
              <w:top w:val="single" w:sz="8" w:space="0" w:color="auto"/>
              <w:left w:val="nil"/>
              <w:bottom w:val="single" w:sz="8" w:space="0" w:color="auto"/>
              <w:right w:val="single" w:sz="4" w:space="0" w:color="auto"/>
            </w:tcBorders>
            <w:shd w:val="clear" w:color="auto" w:fill="auto"/>
            <w:noWrap/>
            <w:vAlign w:val="center"/>
          </w:tcPr>
          <w:p w14:paraId="4FE5662C" w14:textId="77777777" w:rsidR="006C11EF" w:rsidRPr="00CA2FBF" w:rsidRDefault="006C11EF" w:rsidP="0068253D">
            <w:pPr>
              <w:jc w:val="center"/>
              <w:rPr>
                <w:rFonts w:ascii="Arial" w:hAnsi="Arial" w:cs="Arial"/>
                <w:b/>
                <w:bCs/>
              </w:rPr>
            </w:pPr>
            <w:r w:rsidRPr="00CA2FBF">
              <w:rPr>
                <w:rFonts w:ascii="Arial" w:hAnsi="Arial" w:cs="Arial"/>
                <w:b/>
                <w:bCs/>
              </w:rPr>
              <w:t>Descripción</w:t>
            </w:r>
          </w:p>
        </w:tc>
        <w:tc>
          <w:tcPr>
            <w:tcW w:w="1908" w:type="dxa"/>
            <w:tcBorders>
              <w:top w:val="single" w:sz="8" w:space="0" w:color="auto"/>
              <w:left w:val="nil"/>
              <w:bottom w:val="single" w:sz="8" w:space="0" w:color="auto"/>
              <w:right w:val="single" w:sz="4" w:space="0" w:color="auto"/>
            </w:tcBorders>
            <w:shd w:val="clear" w:color="auto" w:fill="auto"/>
            <w:noWrap/>
            <w:vAlign w:val="center"/>
          </w:tcPr>
          <w:p w14:paraId="2E8D91F5" w14:textId="77777777" w:rsidR="006C11EF" w:rsidRPr="00CA2FBF" w:rsidRDefault="006C11EF" w:rsidP="0068253D">
            <w:pPr>
              <w:jc w:val="center"/>
              <w:rPr>
                <w:rFonts w:ascii="Arial" w:hAnsi="Arial" w:cs="Arial"/>
                <w:b/>
                <w:bCs/>
              </w:rPr>
            </w:pPr>
            <w:r w:rsidRPr="00CA2FBF">
              <w:rPr>
                <w:rFonts w:ascii="Arial" w:hAnsi="Arial" w:cs="Arial"/>
                <w:b/>
                <w:bCs/>
              </w:rPr>
              <w:t>Responsable</w:t>
            </w:r>
          </w:p>
        </w:tc>
        <w:tc>
          <w:tcPr>
            <w:tcW w:w="2403" w:type="dxa"/>
            <w:tcBorders>
              <w:top w:val="single" w:sz="8" w:space="0" w:color="auto"/>
              <w:left w:val="nil"/>
              <w:bottom w:val="single" w:sz="8" w:space="0" w:color="auto"/>
              <w:right w:val="single" w:sz="8" w:space="0" w:color="auto"/>
            </w:tcBorders>
            <w:shd w:val="clear" w:color="auto" w:fill="auto"/>
            <w:vAlign w:val="center"/>
          </w:tcPr>
          <w:p w14:paraId="08253408" w14:textId="77777777" w:rsidR="006C11EF" w:rsidRPr="00CA2FBF" w:rsidRDefault="006C11EF" w:rsidP="0068253D">
            <w:pPr>
              <w:jc w:val="center"/>
              <w:rPr>
                <w:rFonts w:ascii="Arial" w:hAnsi="Arial" w:cs="Arial"/>
                <w:b/>
                <w:bCs/>
              </w:rPr>
            </w:pPr>
            <w:r w:rsidRPr="00CA2FBF">
              <w:rPr>
                <w:rFonts w:ascii="Arial" w:hAnsi="Arial" w:cs="Arial"/>
                <w:b/>
                <w:bCs/>
              </w:rPr>
              <w:t xml:space="preserve">Documento/ </w:t>
            </w:r>
            <w:r w:rsidRPr="00CA2FBF">
              <w:rPr>
                <w:rFonts w:ascii="Arial" w:hAnsi="Arial" w:cs="Arial"/>
                <w:b/>
                <w:bCs/>
              </w:rPr>
              <w:br/>
              <w:t xml:space="preserve"> Registros</w:t>
            </w:r>
          </w:p>
        </w:tc>
      </w:tr>
      <w:tr w:rsidR="006C11EF" w:rsidRPr="00CA2FBF" w14:paraId="7F4F4C7D"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27DA63CB"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00332643" w14:textId="77777777" w:rsidR="006C11EF" w:rsidRPr="00CA2FBF" w:rsidRDefault="006C11EF" w:rsidP="0068253D">
            <w:pPr>
              <w:autoSpaceDE w:val="0"/>
              <w:autoSpaceDN w:val="0"/>
              <w:adjustRightInd w:val="0"/>
              <w:jc w:val="both"/>
              <w:rPr>
                <w:rFonts w:ascii="Arial" w:eastAsiaTheme="minorHAnsi" w:hAnsi="Arial" w:cs="Arial"/>
                <w:lang w:val="es-ES"/>
              </w:rPr>
            </w:pPr>
            <w:r w:rsidRPr="00CA2FBF">
              <w:rPr>
                <w:rFonts w:ascii="Arial" w:eastAsiaTheme="minorHAnsi" w:hAnsi="Arial" w:cs="Arial"/>
                <w:lang w:val="es-ES"/>
              </w:rPr>
              <w:t>La queja deberá ser presentada en forma escrita, mediante un documento físico o a través de cualquiera de los medios de comunicación oficial de la Institución, esto es, correo electrónico. En el documento se deberá narrar en forma clara los hechos, determinando tiempo, modo y lugar de la presunta vulneración al derecho a la desconexión.</w:t>
            </w:r>
          </w:p>
        </w:tc>
        <w:tc>
          <w:tcPr>
            <w:tcW w:w="1908" w:type="dxa"/>
            <w:tcBorders>
              <w:top w:val="nil"/>
              <w:left w:val="nil"/>
              <w:bottom w:val="single" w:sz="4" w:space="0" w:color="auto"/>
              <w:right w:val="single" w:sz="4" w:space="0" w:color="auto"/>
            </w:tcBorders>
            <w:shd w:val="clear" w:color="auto" w:fill="auto"/>
            <w:noWrap/>
            <w:vAlign w:val="center"/>
          </w:tcPr>
          <w:p w14:paraId="454F7EB4" w14:textId="77777777" w:rsidR="006C11EF" w:rsidRPr="00CA2FBF" w:rsidRDefault="006C11EF" w:rsidP="0068253D">
            <w:pPr>
              <w:jc w:val="center"/>
              <w:rPr>
                <w:rFonts w:ascii="Arial" w:hAnsi="Arial" w:cs="Arial"/>
              </w:rPr>
            </w:pPr>
            <w:r w:rsidRPr="00CA2FBF">
              <w:rPr>
                <w:rFonts w:ascii="Arial" w:hAnsi="Arial" w:cs="Arial"/>
              </w:rPr>
              <w:t>Colaboradores</w:t>
            </w:r>
          </w:p>
        </w:tc>
        <w:tc>
          <w:tcPr>
            <w:tcW w:w="2403" w:type="dxa"/>
            <w:tcBorders>
              <w:top w:val="nil"/>
              <w:left w:val="nil"/>
              <w:bottom w:val="single" w:sz="4" w:space="0" w:color="auto"/>
              <w:right w:val="single" w:sz="8" w:space="0" w:color="auto"/>
            </w:tcBorders>
            <w:shd w:val="clear" w:color="auto" w:fill="auto"/>
            <w:vAlign w:val="center"/>
          </w:tcPr>
          <w:p w14:paraId="15BC993C" w14:textId="77777777" w:rsidR="006C11EF" w:rsidRPr="00CA2FBF" w:rsidRDefault="006C11EF" w:rsidP="0068253D">
            <w:pPr>
              <w:jc w:val="center"/>
              <w:rPr>
                <w:rFonts w:ascii="Arial" w:hAnsi="Arial" w:cs="Arial"/>
              </w:rPr>
            </w:pPr>
            <w:r w:rsidRPr="00CA2FBF">
              <w:rPr>
                <w:rFonts w:ascii="Arial" w:hAnsi="Arial" w:cs="Arial"/>
              </w:rPr>
              <w:t>Correo electrónico</w:t>
            </w:r>
          </w:p>
        </w:tc>
      </w:tr>
      <w:tr w:rsidR="006C11EF" w:rsidRPr="00CA2FBF" w14:paraId="77636D3E"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2036525F"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5F02BCD5" w14:textId="77777777" w:rsidR="006C11EF" w:rsidRPr="00CA2FBF" w:rsidRDefault="006C11EF" w:rsidP="0068253D">
            <w:pPr>
              <w:jc w:val="both"/>
              <w:rPr>
                <w:rFonts w:ascii="Arial" w:hAnsi="Arial" w:cs="Arial"/>
              </w:rPr>
            </w:pPr>
            <w:r w:rsidRPr="00CA2FBF">
              <w:rPr>
                <w:rFonts w:ascii="Arial" w:hAnsi="Arial" w:cs="Arial"/>
              </w:rPr>
              <w:t>La queja deberá presentarse ante el área de Gestión Humana, o directamente ante cualquier miembro del Comité de Convivencia Laboral, cuando considere que es un presunto caso de vulneración al derecho a la desconexión laboral a través de los medios de presentación determinados.</w:t>
            </w:r>
          </w:p>
        </w:tc>
        <w:tc>
          <w:tcPr>
            <w:tcW w:w="1908" w:type="dxa"/>
            <w:tcBorders>
              <w:top w:val="nil"/>
              <w:left w:val="nil"/>
              <w:bottom w:val="single" w:sz="4" w:space="0" w:color="auto"/>
              <w:right w:val="single" w:sz="4" w:space="0" w:color="auto"/>
            </w:tcBorders>
            <w:shd w:val="clear" w:color="auto" w:fill="auto"/>
            <w:noWrap/>
            <w:vAlign w:val="center"/>
          </w:tcPr>
          <w:p w14:paraId="07132BAC"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57F155E" w14:textId="77777777" w:rsidR="006C11EF" w:rsidRPr="00CA2FBF" w:rsidRDefault="006C11EF" w:rsidP="0068253D">
            <w:pPr>
              <w:jc w:val="center"/>
              <w:rPr>
                <w:rFonts w:ascii="Arial" w:hAnsi="Arial" w:cs="Arial"/>
              </w:rPr>
            </w:pPr>
            <w:r w:rsidRPr="00CA2FBF">
              <w:rPr>
                <w:rFonts w:ascii="Arial" w:hAnsi="Arial" w:cs="Arial"/>
              </w:rPr>
              <w:t>Correo electrónico</w:t>
            </w:r>
          </w:p>
        </w:tc>
      </w:tr>
      <w:tr w:rsidR="006C11EF" w:rsidRPr="00CA2FBF" w14:paraId="68BAA10E"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3C62E945"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399BDEBF" w14:textId="77777777" w:rsidR="006C11EF" w:rsidRPr="00CA2FBF" w:rsidRDefault="006C11EF" w:rsidP="0068253D">
            <w:pPr>
              <w:spacing w:before="240"/>
              <w:jc w:val="both"/>
              <w:rPr>
                <w:rFonts w:ascii="Arial" w:hAnsi="Arial" w:cs="Arial"/>
              </w:rPr>
            </w:pPr>
            <w:r w:rsidRPr="00CA2FBF">
              <w:rPr>
                <w:rFonts w:ascii="Arial" w:hAnsi="Arial" w:cs="Arial"/>
              </w:rPr>
              <w:t>El encargado del proceso de Gestión Humana dentro de los diez (10) días hábiles siguientes al recibo de la queja, evaluará los hechos narrados como violatorios al derecho de desconexión.</w:t>
            </w:r>
          </w:p>
        </w:tc>
        <w:tc>
          <w:tcPr>
            <w:tcW w:w="1908" w:type="dxa"/>
            <w:tcBorders>
              <w:top w:val="nil"/>
              <w:left w:val="nil"/>
              <w:bottom w:val="single" w:sz="4" w:space="0" w:color="auto"/>
              <w:right w:val="single" w:sz="4" w:space="0" w:color="auto"/>
            </w:tcBorders>
            <w:shd w:val="clear" w:color="auto" w:fill="auto"/>
            <w:noWrap/>
            <w:vAlign w:val="center"/>
          </w:tcPr>
          <w:p w14:paraId="2BBD27B2" w14:textId="77777777" w:rsidR="006C11EF" w:rsidRPr="00CA2FBF" w:rsidRDefault="006C11EF" w:rsidP="0068253D">
            <w:pPr>
              <w:jc w:val="center"/>
              <w:rPr>
                <w:rFonts w:ascii="Arial" w:hAnsi="Arial" w:cs="Arial"/>
              </w:rPr>
            </w:pPr>
            <w:r w:rsidRPr="00CA2FBF">
              <w:rPr>
                <w:rFonts w:ascii="Arial" w:hAnsi="Arial" w:cs="Arial"/>
              </w:rPr>
              <w:t>Coordinador de gestión humana/Abogada</w:t>
            </w:r>
          </w:p>
        </w:tc>
        <w:tc>
          <w:tcPr>
            <w:tcW w:w="2403" w:type="dxa"/>
            <w:tcBorders>
              <w:top w:val="nil"/>
              <w:left w:val="nil"/>
              <w:bottom w:val="single" w:sz="4" w:space="0" w:color="auto"/>
              <w:right w:val="single" w:sz="8" w:space="0" w:color="auto"/>
            </w:tcBorders>
            <w:shd w:val="clear" w:color="auto" w:fill="auto"/>
            <w:vAlign w:val="center"/>
          </w:tcPr>
          <w:p w14:paraId="12A89722" w14:textId="77777777" w:rsidR="006C11EF" w:rsidRPr="00CA2FBF" w:rsidRDefault="006C11EF" w:rsidP="0068253D">
            <w:pPr>
              <w:jc w:val="center"/>
              <w:rPr>
                <w:rFonts w:ascii="Arial" w:hAnsi="Arial" w:cs="Arial"/>
              </w:rPr>
            </w:pPr>
          </w:p>
        </w:tc>
      </w:tr>
      <w:tr w:rsidR="006C11EF" w:rsidRPr="00CA2FBF" w14:paraId="5601F779"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AC18EA5"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4E8A33BF" w14:textId="77777777" w:rsidR="006C11EF" w:rsidRPr="00CA2FBF" w:rsidRDefault="006C11EF" w:rsidP="0068253D">
            <w:pPr>
              <w:spacing w:before="240"/>
              <w:jc w:val="both"/>
              <w:rPr>
                <w:rFonts w:ascii="Arial" w:hAnsi="Arial" w:cs="Arial"/>
              </w:rPr>
            </w:pPr>
            <w:r w:rsidRPr="00CA2FBF">
              <w:rPr>
                <w:rFonts w:ascii="Arial" w:hAnsi="Arial" w:cs="Arial"/>
              </w:rPr>
              <w:t>Revisada la queja, el encargado de Gestión Humana le hará saber al interesado, mediante escrito o correo electrónico que conoce de la queja y si fuere el caso lo requerirá para que aclare o amplíe la queja radicada. Si el querellante no ampliara o aclarara la queja presentada en los términos requeridos por el encargado de Gestión Humana, archivará la misma por no contar con los elementos suficientes para valorar el caso, sin perjuicio que pueda volver a presentarse la queja con el lleno de los requisitos.</w:t>
            </w:r>
          </w:p>
        </w:tc>
        <w:tc>
          <w:tcPr>
            <w:tcW w:w="1908" w:type="dxa"/>
            <w:tcBorders>
              <w:top w:val="nil"/>
              <w:left w:val="nil"/>
              <w:bottom w:val="single" w:sz="4" w:space="0" w:color="auto"/>
              <w:right w:val="single" w:sz="4" w:space="0" w:color="auto"/>
            </w:tcBorders>
            <w:shd w:val="clear" w:color="auto" w:fill="auto"/>
            <w:noWrap/>
            <w:vAlign w:val="center"/>
          </w:tcPr>
          <w:p w14:paraId="26EFFE21"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5FF5065D" w14:textId="77777777" w:rsidR="006C11EF" w:rsidRPr="00CA2FBF" w:rsidRDefault="006C11EF" w:rsidP="0068253D">
            <w:pPr>
              <w:jc w:val="center"/>
              <w:rPr>
                <w:rFonts w:ascii="Arial" w:hAnsi="Arial" w:cs="Arial"/>
              </w:rPr>
            </w:pPr>
            <w:r w:rsidRPr="00CA2FBF">
              <w:rPr>
                <w:rFonts w:ascii="Arial" w:hAnsi="Arial" w:cs="Arial"/>
              </w:rPr>
              <w:t>Correo electrónico</w:t>
            </w:r>
          </w:p>
        </w:tc>
      </w:tr>
      <w:tr w:rsidR="006C11EF" w:rsidRPr="00CA2FBF" w14:paraId="4CFB2E51"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247FC70F"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550445B7" w14:textId="77777777" w:rsidR="006C11EF" w:rsidRPr="00CA2FBF" w:rsidRDefault="006C11EF" w:rsidP="0068253D">
            <w:pPr>
              <w:spacing w:before="240"/>
              <w:jc w:val="both"/>
              <w:rPr>
                <w:rFonts w:ascii="Arial" w:hAnsi="Arial" w:cs="Arial"/>
              </w:rPr>
            </w:pPr>
            <w:r w:rsidRPr="00CA2FBF">
              <w:rPr>
                <w:rFonts w:ascii="Arial" w:hAnsi="Arial" w:cs="Arial"/>
              </w:rPr>
              <w:t xml:space="preserve">  Se deberá correr traslado de la queja al querellado, para que este ejerza su derecho de defensa y aporte el material probatorio que estime conducente.</w:t>
            </w:r>
          </w:p>
        </w:tc>
        <w:tc>
          <w:tcPr>
            <w:tcW w:w="1908" w:type="dxa"/>
            <w:tcBorders>
              <w:top w:val="nil"/>
              <w:left w:val="nil"/>
              <w:bottom w:val="single" w:sz="4" w:space="0" w:color="auto"/>
              <w:right w:val="single" w:sz="4" w:space="0" w:color="auto"/>
            </w:tcBorders>
            <w:shd w:val="clear" w:color="auto" w:fill="auto"/>
            <w:noWrap/>
            <w:vAlign w:val="center"/>
          </w:tcPr>
          <w:p w14:paraId="1FF37152"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594F2995" w14:textId="77777777" w:rsidR="006C11EF" w:rsidRPr="00CA2FBF" w:rsidRDefault="006C11EF" w:rsidP="0068253D">
            <w:pPr>
              <w:jc w:val="center"/>
              <w:rPr>
                <w:rFonts w:ascii="Arial" w:hAnsi="Arial" w:cs="Arial"/>
              </w:rPr>
            </w:pPr>
            <w:r w:rsidRPr="00CA2FBF">
              <w:rPr>
                <w:rFonts w:ascii="Arial" w:hAnsi="Arial" w:cs="Arial"/>
              </w:rPr>
              <w:t>Correo electrónico</w:t>
            </w:r>
          </w:p>
        </w:tc>
      </w:tr>
      <w:tr w:rsidR="006C11EF" w:rsidRPr="00CA2FBF" w14:paraId="1A180974"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5B2CB68F"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5D6483AF" w14:textId="77777777" w:rsidR="006C11EF" w:rsidRPr="00CA2FBF" w:rsidRDefault="006C11EF" w:rsidP="0068253D">
            <w:pPr>
              <w:jc w:val="both"/>
              <w:rPr>
                <w:rFonts w:ascii="Arial" w:hAnsi="Arial" w:cs="Arial"/>
              </w:rPr>
            </w:pPr>
            <w:r w:rsidRPr="00CA2FBF">
              <w:rPr>
                <w:rFonts w:ascii="Arial" w:hAnsi="Arial" w:cs="Arial"/>
              </w:rPr>
              <w:t>Presentado el trámite anterior, el encargado del proceso de Gestión Humana, emitirá su concepto, sobre si los hechos narrados en la queja constituyen una violación al derecho de desconexión laboral o si, por el contrario, considera que corresponden a situaciones difíciles, urgentes, de fuerza mayor o caso fortuito, en los que se requería el cumplimiento de deberes extra de colaboración con la institución, por parte del colaborador.</w:t>
            </w:r>
          </w:p>
        </w:tc>
        <w:tc>
          <w:tcPr>
            <w:tcW w:w="1908" w:type="dxa"/>
            <w:tcBorders>
              <w:top w:val="nil"/>
              <w:left w:val="nil"/>
              <w:bottom w:val="single" w:sz="4" w:space="0" w:color="auto"/>
              <w:right w:val="single" w:sz="4" w:space="0" w:color="auto"/>
            </w:tcBorders>
            <w:shd w:val="clear" w:color="auto" w:fill="auto"/>
            <w:noWrap/>
            <w:vAlign w:val="center"/>
          </w:tcPr>
          <w:p w14:paraId="741CB473"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C43A4DA" w14:textId="77777777" w:rsidR="006C11EF" w:rsidRPr="00CA2FBF" w:rsidRDefault="006C11EF" w:rsidP="0068253D">
            <w:pPr>
              <w:jc w:val="center"/>
              <w:rPr>
                <w:rFonts w:ascii="Arial" w:hAnsi="Arial" w:cs="Arial"/>
              </w:rPr>
            </w:pPr>
          </w:p>
        </w:tc>
      </w:tr>
      <w:tr w:rsidR="006C11EF" w:rsidRPr="00CA2FBF" w14:paraId="321561CC"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272F5AD8"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5EBCD0AE" w14:textId="77777777" w:rsidR="006C11EF" w:rsidRPr="00CA2FBF" w:rsidRDefault="006C11EF" w:rsidP="0068253D">
            <w:pPr>
              <w:spacing w:before="240"/>
              <w:jc w:val="both"/>
              <w:rPr>
                <w:rFonts w:ascii="Arial" w:hAnsi="Arial" w:cs="Arial"/>
              </w:rPr>
            </w:pPr>
            <w:r w:rsidRPr="00CA2FBF">
              <w:rPr>
                <w:rFonts w:ascii="Arial" w:hAnsi="Arial" w:cs="Arial"/>
              </w:rPr>
              <w:t>El encargado de Gestión Humana podrá citar o requerir por escrito individualmente a cada una de las partes involucradas en las quejas, con el fin de escuchar los hechos que dieron lugar a la misma, implementando mecanismos de solución del conflicto, y si es del caso, verificación de acuerdos alcanzados. Las sesiones probatorias deberán adelantarse haciendo saber, tanto al colaborador que presenta la queja, como al presunto acosador, que este es un escenario en el que en primera instancia se pretenden construir soluciones negociadas para lograr un buen ambiente laboral.</w:t>
            </w:r>
          </w:p>
        </w:tc>
        <w:tc>
          <w:tcPr>
            <w:tcW w:w="1908" w:type="dxa"/>
            <w:tcBorders>
              <w:top w:val="nil"/>
              <w:left w:val="nil"/>
              <w:bottom w:val="single" w:sz="4" w:space="0" w:color="auto"/>
              <w:right w:val="single" w:sz="4" w:space="0" w:color="auto"/>
            </w:tcBorders>
            <w:shd w:val="clear" w:color="auto" w:fill="auto"/>
            <w:noWrap/>
            <w:vAlign w:val="center"/>
          </w:tcPr>
          <w:p w14:paraId="0C9E969B"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3B04614C" w14:textId="77777777" w:rsidR="006C11EF" w:rsidRPr="00CA2FBF" w:rsidRDefault="006C11EF" w:rsidP="0068253D">
            <w:pPr>
              <w:jc w:val="center"/>
              <w:rPr>
                <w:rFonts w:ascii="Arial" w:hAnsi="Arial" w:cs="Arial"/>
              </w:rPr>
            </w:pPr>
          </w:p>
        </w:tc>
      </w:tr>
      <w:tr w:rsidR="006C11EF" w:rsidRPr="00CA2FBF" w14:paraId="62E8C940"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7955A9FF"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66678223" w14:textId="77777777" w:rsidR="006C11EF" w:rsidRPr="00CA2FBF" w:rsidRDefault="006C11EF" w:rsidP="0068253D">
            <w:pPr>
              <w:spacing w:before="240"/>
              <w:jc w:val="both"/>
              <w:rPr>
                <w:rFonts w:ascii="Arial" w:hAnsi="Arial" w:cs="Arial"/>
              </w:rPr>
            </w:pPr>
            <w:r w:rsidRPr="00CA2FBF">
              <w:rPr>
                <w:rFonts w:ascii="Arial" w:hAnsi="Arial" w:cs="Arial"/>
              </w:rPr>
              <w:t>Si la conclusión es que el asunto caso se enmarca en una conducta por desconocimiento al derecho de desconexión del trabajador, el encargado de Gestión Humana procederá de forma conciliatoria a emitir la decisión y/o recomendaciones para superar las situaciones que fueron sometidas a su consideración y finalmente emitirá la comunicación por escrito a las partes involucradas, así como, a los diferentes procesos de la institución que corresponda y/o a la Gerencia cuando fuere el caso.</w:t>
            </w:r>
          </w:p>
        </w:tc>
        <w:tc>
          <w:tcPr>
            <w:tcW w:w="1908" w:type="dxa"/>
            <w:tcBorders>
              <w:top w:val="nil"/>
              <w:left w:val="nil"/>
              <w:bottom w:val="single" w:sz="4" w:space="0" w:color="auto"/>
              <w:right w:val="single" w:sz="4" w:space="0" w:color="auto"/>
            </w:tcBorders>
            <w:shd w:val="clear" w:color="auto" w:fill="auto"/>
            <w:noWrap/>
            <w:vAlign w:val="center"/>
          </w:tcPr>
          <w:p w14:paraId="2BF86523"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734CC32F" w14:textId="77777777" w:rsidR="006C11EF" w:rsidRPr="00CA2FBF" w:rsidRDefault="006C11EF" w:rsidP="0068253D">
            <w:pPr>
              <w:jc w:val="center"/>
              <w:rPr>
                <w:rFonts w:ascii="Arial" w:hAnsi="Arial" w:cs="Arial"/>
              </w:rPr>
            </w:pPr>
          </w:p>
        </w:tc>
      </w:tr>
      <w:tr w:rsidR="006C11EF" w:rsidRPr="00CA2FBF" w14:paraId="5999215A"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77D7ABD"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43DA5A02" w14:textId="77777777" w:rsidR="006C11EF" w:rsidRPr="00CA2FBF" w:rsidRDefault="006C11EF" w:rsidP="0068253D">
            <w:pPr>
              <w:spacing w:before="240"/>
              <w:jc w:val="both"/>
              <w:rPr>
                <w:rFonts w:ascii="Arial" w:hAnsi="Arial" w:cs="Arial"/>
              </w:rPr>
            </w:pPr>
            <w:r w:rsidRPr="00CA2FBF">
              <w:rPr>
                <w:rFonts w:ascii="Arial" w:hAnsi="Arial" w:cs="Arial"/>
              </w:rPr>
              <w:t>Si la conclusión es que el asunto caso se enmarca en una conducta por desconocimiento al derecho de desconexión del colaborador, el encargado de Gestión Humana procederá de forma conciliatoria a emitir la decisión y/o recomendaciones para superar las situaciones que fueron sometidas a su consideración y finalmente emitirá la comunicación por escrito a las partes involucradas, así como, a las diferentes dependencias de la institución que corresponda y/o a la Gerencia cuando fuere el caso.</w:t>
            </w:r>
          </w:p>
        </w:tc>
        <w:tc>
          <w:tcPr>
            <w:tcW w:w="1908" w:type="dxa"/>
            <w:tcBorders>
              <w:top w:val="nil"/>
              <w:left w:val="nil"/>
              <w:bottom w:val="single" w:sz="4" w:space="0" w:color="auto"/>
              <w:right w:val="single" w:sz="4" w:space="0" w:color="auto"/>
            </w:tcBorders>
            <w:shd w:val="clear" w:color="auto" w:fill="auto"/>
            <w:noWrap/>
            <w:vAlign w:val="center"/>
          </w:tcPr>
          <w:p w14:paraId="2ABBE528" w14:textId="77777777" w:rsidR="006C11EF" w:rsidRPr="00CA2FBF" w:rsidRDefault="006C11EF" w:rsidP="0068253D">
            <w:pPr>
              <w:jc w:val="center"/>
              <w:rPr>
                <w:rFonts w:ascii="Arial" w:hAnsi="Arial" w:cs="Arial"/>
              </w:rPr>
            </w:pPr>
            <w:r w:rsidRPr="00CA2FBF">
              <w:rPr>
                <w:rFonts w:ascii="Arial" w:hAnsi="Arial" w:cs="Arial"/>
              </w:rPr>
              <w:t>Gerente, abogada y 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0552EEA0" w14:textId="77777777" w:rsidR="006C11EF" w:rsidRPr="00CA2FBF" w:rsidRDefault="006C11EF" w:rsidP="0068253D">
            <w:pPr>
              <w:jc w:val="center"/>
              <w:rPr>
                <w:rFonts w:ascii="Arial" w:hAnsi="Arial" w:cs="Arial"/>
              </w:rPr>
            </w:pPr>
          </w:p>
        </w:tc>
      </w:tr>
      <w:tr w:rsidR="006C11EF" w:rsidRPr="00CA2FBF" w14:paraId="16F72B62"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62A1607F"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63FFCA11" w14:textId="77777777" w:rsidR="006C11EF" w:rsidRPr="00CA2FBF" w:rsidRDefault="006C11EF" w:rsidP="0068253D">
            <w:pPr>
              <w:spacing w:before="240"/>
              <w:jc w:val="both"/>
              <w:rPr>
                <w:rFonts w:ascii="Arial" w:hAnsi="Arial" w:cs="Arial"/>
              </w:rPr>
            </w:pPr>
            <w:r w:rsidRPr="00CA2FBF">
              <w:rPr>
                <w:rFonts w:ascii="Arial" w:hAnsi="Arial" w:cs="Arial"/>
              </w:rPr>
              <w:t>El proceso de Gestión Humana será responsable de hacer seguimiento al cumplimiento de los compromisos adquiridos por cada una de las partes involucradas al plan de mejoramiento, que se formule para garantizar que, las situaciones evidenciadas no se repitan.</w:t>
            </w:r>
          </w:p>
        </w:tc>
        <w:tc>
          <w:tcPr>
            <w:tcW w:w="1908" w:type="dxa"/>
            <w:tcBorders>
              <w:top w:val="nil"/>
              <w:left w:val="nil"/>
              <w:bottom w:val="single" w:sz="4" w:space="0" w:color="auto"/>
              <w:right w:val="single" w:sz="4" w:space="0" w:color="auto"/>
            </w:tcBorders>
            <w:shd w:val="clear" w:color="auto" w:fill="auto"/>
            <w:noWrap/>
            <w:vAlign w:val="center"/>
          </w:tcPr>
          <w:p w14:paraId="66F7D786" w14:textId="77777777" w:rsidR="006C11EF" w:rsidRPr="00CA2FBF" w:rsidRDefault="006C11EF" w:rsidP="0068253D">
            <w:pPr>
              <w:jc w:val="center"/>
              <w:rPr>
                <w:rFonts w:ascii="Arial" w:hAnsi="Arial" w:cs="Arial"/>
              </w:rPr>
            </w:pPr>
            <w:r w:rsidRPr="00CA2FBF">
              <w:rPr>
                <w:rFonts w:ascii="Arial" w:hAnsi="Arial" w:cs="Arial"/>
              </w:rPr>
              <w:t>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4D14185B" w14:textId="77777777" w:rsidR="006C11EF" w:rsidRPr="00CA2FBF" w:rsidRDefault="006C11EF" w:rsidP="0068253D">
            <w:pPr>
              <w:jc w:val="center"/>
              <w:rPr>
                <w:rFonts w:ascii="Arial" w:hAnsi="Arial" w:cs="Arial"/>
              </w:rPr>
            </w:pPr>
          </w:p>
        </w:tc>
      </w:tr>
      <w:tr w:rsidR="006C11EF" w:rsidRPr="00CA2FBF" w14:paraId="1AA9A4D2"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23481DA7"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20A65B59" w14:textId="77777777" w:rsidR="006C11EF" w:rsidRPr="00CA2FBF" w:rsidRDefault="006C11EF" w:rsidP="0068253D">
            <w:pPr>
              <w:spacing w:before="240"/>
              <w:jc w:val="both"/>
              <w:rPr>
                <w:rFonts w:ascii="Arial" w:hAnsi="Arial" w:cs="Arial"/>
              </w:rPr>
            </w:pPr>
            <w:r w:rsidRPr="00CA2FBF">
              <w:rPr>
                <w:rFonts w:ascii="Arial" w:hAnsi="Arial" w:cs="Arial"/>
              </w:rPr>
              <w:t>En el evento, que el encargado de evaluar y estudiar la queja defina que los hechos no constituyen una violación al derecho de desconexión laboral, procederá a emitir comunicación a las partes intervinientes, exponiendo sus consideraciones del caso.</w:t>
            </w:r>
          </w:p>
        </w:tc>
        <w:tc>
          <w:tcPr>
            <w:tcW w:w="1908" w:type="dxa"/>
            <w:tcBorders>
              <w:top w:val="nil"/>
              <w:left w:val="nil"/>
              <w:bottom w:val="single" w:sz="4" w:space="0" w:color="auto"/>
              <w:right w:val="single" w:sz="4" w:space="0" w:color="auto"/>
            </w:tcBorders>
            <w:shd w:val="clear" w:color="auto" w:fill="auto"/>
            <w:noWrap/>
            <w:vAlign w:val="center"/>
          </w:tcPr>
          <w:p w14:paraId="290B2A58" w14:textId="77777777" w:rsidR="006C11EF" w:rsidRPr="00CA2FBF" w:rsidRDefault="006C11EF" w:rsidP="0068253D">
            <w:pPr>
              <w:jc w:val="center"/>
              <w:rPr>
                <w:rFonts w:ascii="Arial" w:hAnsi="Arial" w:cs="Arial"/>
              </w:rPr>
            </w:pPr>
            <w:r w:rsidRPr="00CA2FBF">
              <w:rPr>
                <w:rFonts w:ascii="Arial" w:hAnsi="Arial" w:cs="Arial"/>
              </w:rPr>
              <w:t>Abogado/coordinador de gestión humana</w:t>
            </w:r>
          </w:p>
        </w:tc>
        <w:tc>
          <w:tcPr>
            <w:tcW w:w="2403" w:type="dxa"/>
            <w:tcBorders>
              <w:top w:val="nil"/>
              <w:left w:val="nil"/>
              <w:bottom w:val="single" w:sz="4" w:space="0" w:color="auto"/>
              <w:right w:val="single" w:sz="8" w:space="0" w:color="auto"/>
            </w:tcBorders>
            <w:shd w:val="clear" w:color="auto" w:fill="auto"/>
            <w:vAlign w:val="center"/>
          </w:tcPr>
          <w:p w14:paraId="2C64309C" w14:textId="77777777" w:rsidR="006C11EF" w:rsidRPr="00CA2FBF" w:rsidRDefault="006C11EF" w:rsidP="0068253D">
            <w:pPr>
              <w:jc w:val="center"/>
              <w:rPr>
                <w:rFonts w:ascii="Arial" w:hAnsi="Arial" w:cs="Arial"/>
              </w:rPr>
            </w:pPr>
            <w:r w:rsidRPr="00CA2FBF">
              <w:rPr>
                <w:rFonts w:ascii="Arial" w:hAnsi="Arial" w:cs="Arial"/>
              </w:rPr>
              <w:t>Comunicado institucional y correo electrónico</w:t>
            </w:r>
          </w:p>
        </w:tc>
      </w:tr>
      <w:tr w:rsidR="006C11EF" w:rsidRPr="00CA2FBF" w14:paraId="3D9B9149"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7924BF16"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11C3B50B" w14:textId="77777777" w:rsidR="006C11EF" w:rsidRPr="00CA2FBF" w:rsidRDefault="006C11EF" w:rsidP="0068253D">
            <w:pPr>
              <w:rPr>
                <w:rFonts w:ascii="Arial" w:hAnsi="Arial" w:cs="Arial"/>
                <w:bCs/>
              </w:rPr>
            </w:pPr>
            <w:r w:rsidRPr="00CA2FBF">
              <w:rPr>
                <w:rFonts w:ascii="Arial" w:hAnsi="Arial" w:cs="Arial"/>
                <w:bCs/>
              </w:rPr>
              <w:t xml:space="preserve">Cuando el trabajador, no se encuentre conforme con la decisión adoptada por parte del encargado de evaluar y estudiar la queja, podrá solicitar la revisión de su caso, por parte del Comité de Convivencia Laboral.  </w:t>
            </w:r>
          </w:p>
        </w:tc>
        <w:tc>
          <w:tcPr>
            <w:tcW w:w="1908" w:type="dxa"/>
            <w:tcBorders>
              <w:top w:val="nil"/>
              <w:left w:val="nil"/>
              <w:bottom w:val="single" w:sz="4" w:space="0" w:color="auto"/>
              <w:right w:val="single" w:sz="4" w:space="0" w:color="auto"/>
            </w:tcBorders>
            <w:shd w:val="clear" w:color="auto" w:fill="auto"/>
            <w:noWrap/>
            <w:vAlign w:val="center"/>
          </w:tcPr>
          <w:p w14:paraId="1C0518D3" w14:textId="77777777" w:rsidR="006C11EF" w:rsidRPr="00CA2FBF" w:rsidRDefault="006C11EF" w:rsidP="0068253D">
            <w:pPr>
              <w:jc w:val="center"/>
              <w:rPr>
                <w:rFonts w:ascii="Arial" w:hAnsi="Arial" w:cs="Arial"/>
              </w:rPr>
            </w:pPr>
            <w:r w:rsidRPr="00CA2FBF">
              <w:rPr>
                <w:rFonts w:ascii="Arial" w:hAnsi="Arial" w:cs="Arial"/>
              </w:rPr>
              <w:t>Comité de convivencia laboral</w:t>
            </w:r>
          </w:p>
        </w:tc>
        <w:tc>
          <w:tcPr>
            <w:tcW w:w="2403" w:type="dxa"/>
            <w:tcBorders>
              <w:top w:val="nil"/>
              <w:left w:val="nil"/>
              <w:bottom w:val="single" w:sz="4" w:space="0" w:color="auto"/>
              <w:right w:val="single" w:sz="8" w:space="0" w:color="auto"/>
            </w:tcBorders>
            <w:shd w:val="clear" w:color="auto" w:fill="auto"/>
            <w:vAlign w:val="center"/>
          </w:tcPr>
          <w:p w14:paraId="0A96287A" w14:textId="77777777" w:rsidR="006C11EF" w:rsidRPr="00CA2FBF" w:rsidRDefault="006C11EF" w:rsidP="0068253D">
            <w:pPr>
              <w:jc w:val="center"/>
              <w:rPr>
                <w:rFonts w:ascii="Arial" w:hAnsi="Arial" w:cs="Arial"/>
              </w:rPr>
            </w:pPr>
            <w:r w:rsidRPr="00CA2FBF">
              <w:rPr>
                <w:rFonts w:ascii="Arial" w:hAnsi="Arial" w:cs="Arial"/>
              </w:rPr>
              <w:t xml:space="preserve">Acta de reunión </w:t>
            </w:r>
          </w:p>
        </w:tc>
      </w:tr>
      <w:tr w:rsidR="006C11EF" w:rsidRPr="00CA2FBF" w14:paraId="63ADD406"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4216381"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5FF3185D" w14:textId="77777777" w:rsidR="006C11EF" w:rsidRPr="00CA2FBF" w:rsidRDefault="006C11EF" w:rsidP="0068253D">
            <w:pPr>
              <w:spacing w:before="240"/>
              <w:jc w:val="both"/>
              <w:rPr>
                <w:rFonts w:ascii="Arial" w:hAnsi="Arial" w:cs="Arial"/>
              </w:rPr>
            </w:pPr>
            <w:r w:rsidRPr="00CA2FBF">
              <w:rPr>
                <w:rFonts w:ascii="Arial" w:hAnsi="Arial" w:cs="Arial"/>
              </w:rPr>
              <w:t xml:space="preserve">Las objeciones que presente el colaborador, en contra de la decisión adoptada por el encargado del proceso de Gestión Humana, deberán ser presentadas por escrito, dentro de </w:t>
            </w:r>
            <w:r w:rsidRPr="00CA2FBF">
              <w:rPr>
                <w:rFonts w:ascii="Arial" w:hAnsi="Arial" w:cs="Arial"/>
              </w:rPr>
              <w:lastRenderedPageBreak/>
              <w:t>los tres (3) días hábiles siguientes a la notificación de la decisión.</w:t>
            </w:r>
          </w:p>
        </w:tc>
        <w:tc>
          <w:tcPr>
            <w:tcW w:w="1908" w:type="dxa"/>
            <w:tcBorders>
              <w:top w:val="nil"/>
              <w:left w:val="nil"/>
              <w:bottom w:val="single" w:sz="4" w:space="0" w:color="auto"/>
              <w:right w:val="single" w:sz="4" w:space="0" w:color="auto"/>
            </w:tcBorders>
            <w:shd w:val="clear" w:color="auto" w:fill="auto"/>
            <w:noWrap/>
            <w:vAlign w:val="center"/>
          </w:tcPr>
          <w:p w14:paraId="0BFA9316" w14:textId="77777777" w:rsidR="006C11EF" w:rsidRPr="00CA2FBF" w:rsidRDefault="006C11EF" w:rsidP="0068253D">
            <w:pPr>
              <w:jc w:val="center"/>
              <w:rPr>
                <w:rFonts w:ascii="Arial" w:hAnsi="Arial" w:cs="Arial"/>
              </w:rPr>
            </w:pPr>
            <w:r w:rsidRPr="00CA2FBF">
              <w:rPr>
                <w:rFonts w:ascii="Arial" w:hAnsi="Arial" w:cs="Arial"/>
              </w:rPr>
              <w:lastRenderedPageBreak/>
              <w:t>Comité de convivencia laboral</w:t>
            </w:r>
          </w:p>
        </w:tc>
        <w:tc>
          <w:tcPr>
            <w:tcW w:w="2403" w:type="dxa"/>
            <w:tcBorders>
              <w:top w:val="nil"/>
              <w:left w:val="nil"/>
              <w:bottom w:val="single" w:sz="4" w:space="0" w:color="auto"/>
              <w:right w:val="single" w:sz="8" w:space="0" w:color="auto"/>
            </w:tcBorders>
            <w:shd w:val="clear" w:color="auto" w:fill="auto"/>
            <w:vAlign w:val="center"/>
          </w:tcPr>
          <w:p w14:paraId="26E96AAA" w14:textId="77777777" w:rsidR="006C11EF" w:rsidRPr="00CA2FBF" w:rsidRDefault="006C11EF" w:rsidP="0068253D">
            <w:pPr>
              <w:jc w:val="center"/>
              <w:rPr>
                <w:rFonts w:ascii="Arial" w:hAnsi="Arial" w:cs="Arial"/>
              </w:rPr>
            </w:pPr>
            <w:r w:rsidRPr="00CA2FBF">
              <w:rPr>
                <w:rFonts w:ascii="Arial" w:hAnsi="Arial" w:cs="Arial"/>
              </w:rPr>
              <w:t>Comunicado</w:t>
            </w:r>
          </w:p>
        </w:tc>
      </w:tr>
      <w:tr w:rsidR="006C11EF" w:rsidRPr="00CA2FBF" w14:paraId="712270F1" w14:textId="77777777" w:rsidTr="0068253D">
        <w:trPr>
          <w:trHeight w:val="454"/>
        </w:trPr>
        <w:tc>
          <w:tcPr>
            <w:tcW w:w="706" w:type="dxa"/>
            <w:tcBorders>
              <w:top w:val="nil"/>
              <w:left w:val="single" w:sz="8" w:space="0" w:color="auto"/>
              <w:bottom w:val="single" w:sz="4" w:space="0" w:color="auto"/>
              <w:right w:val="single" w:sz="4" w:space="0" w:color="auto"/>
            </w:tcBorders>
            <w:shd w:val="clear" w:color="auto" w:fill="auto"/>
            <w:noWrap/>
            <w:vAlign w:val="center"/>
          </w:tcPr>
          <w:p w14:paraId="1EABC2F9" w14:textId="77777777" w:rsidR="006C11EF" w:rsidRPr="00CA2FBF" w:rsidRDefault="006C11EF" w:rsidP="006C11EF">
            <w:pPr>
              <w:numPr>
                <w:ilvl w:val="0"/>
                <w:numId w:val="5"/>
              </w:numPr>
              <w:spacing w:after="200" w:line="276" w:lineRule="auto"/>
              <w:jc w:val="center"/>
              <w:rPr>
                <w:rFonts w:ascii="Arial" w:hAnsi="Arial" w:cs="Arial"/>
              </w:rPr>
            </w:pPr>
          </w:p>
        </w:tc>
        <w:tc>
          <w:tcPr>
            <w:tcW w:w="5131" w:type="dxa"/>
            <w:tcBorders>
              <w:top w:val="nil"/>
              <w:left w:val="nil"/>
              <w:bottom w:val="single" w:sz="4" w:space="0" w:color="auto"/>
              <w:right w:val="single" w:sz="4" w:space="0" w:color="auto"/>
            </w:tcBorders>
            <w:shd w:val="clear" w:color="auto" w:fill="auto"/>
            <w:noWrap/>
            <w:vAlign w:val="center"/>
          </w:tcPr>
          <w:p w14:paraId="3E63874D" w14:textId="77777777" w:rsidR="006C11EF" w:rsidRPr="00CA2FBF" w:rsidRDefault="006C11EF" w:rsidP="0068253D">
            <w:pPr>
              <w:rPr>
                <w:rFonts w:ascii="Arial" w:hAnsi="Arial" w:cs="Arial"/>
              </w:rPr>
            </w:pPr>
            <w:r w:rsidRPr="00CA2FBF">
              <w:rPr>
                <w:rFonts w:ascii="Arial" w:hAnsi="Arial" w:cs="Arial"/>
              </w:rPr>
              <w:t xml:space="preserve">En caso de que, una queja pueda constituir adicionalmente una falta disciplinaria, </w:t>
            </w:r>
            <w:r w:rsidRPr="00CA2FBF">
              <w:rPr>
                <w:rFonts w:ascii="Arial" w:hAnsi="Arial" w:cs="Arial"/>
                <w:b/>
                <w:bCs/>
              </w:rPr>
              <w:t>SANITHELP IPS SAS</w:t>
            </w:r>
            <w:r w:rsidRPr="00CA2FBF">
              <w:rPr>
                <w:rFonts w:ascii="Arial" w:hAnsi="Arial" w:cs="Arial"/>
              </w:rPr>
              <w:t>, podrá iniciar el respectivo proceso sancionatorio a que haya lugar.</w:t>
            </w:r>
          </w:p>
          <w:p w14:paraId="0B4A5B55" w14:textId="77777777" w:rsidR="006C11EF" w:rsidRPr="00CA2FBF" w:rsidRDefault="006C11EF" w:rsidP="0068253D">
            <w:pPr>
              <w:spacing w:before="240"/>
              <w:jc w:val="both"/>
              <w:rPr>
                <w:rFonts w:ascii="Arial" w:hAnsi="Arial" w:cs="Arial"/>
              </w:rPr>
            </w:pPr>
          </w:p>
        </w:tc>
        <w:tc>
          <w:tcPr>
            <w:tcW w:w="1908" w:type="dxa"/>
            <w:tcBorders>
              <w:top w:val="nil"/>
              <w:left w:val="nil"/>
              <w:bottom w:val="single" w:sz="4" w:space="0" w:color="auto"/>
              <w:right w:val="single" w:sz="4" w:space="0" w:color="auto"/>
            </w:tcBorders>
            <w:shd w:val="clear" w:color="auto" w:fill="auto"/>
            <w:noWrap/>
            <w:vAlign w:val="center"/>
          </w:tcPr>
          <w:p w14:paraId="3E9E94DC" w14:textId="77777777" w:rsidR="006C11EF" w:rsidRPr="00CA2FBF" w:rsidRDefault="006C11EF" w:rsidP="0068253D">
            <w:pPr>
              <w:jc w:val="center"/>
              <w:rPr>
                <w:rFonts w:ascii="Arial" w:hAnsi="Arial" w:cs="Arial"/>
              </w:rPr>
            </w:pPr>
            <w:r w:rsidRPr="00CA2FBF">
              <w:rPr>
                <w:rFonts w:ascii="Arial" w:hAnsi="Arial" w:cs="Arial"/>
              </w:rPr>
              <w:t>Abogada</w:t>
            </w:r>
          </w:p>
        </w:tc>
        <w:tc>
          <w:tcPr>
            <w:tcW w:w="2403" w:type="dxa"/>
            <w:tcBorders>
              <w:top w:val="nil"/>
              <w:left w:val="nil"/>
              <w:bottom w:val="single" w:sz="4" w:space="0" w:color="auto"/>
              <w:right w:val="single" w:sz="8" w:space="0" w:color="auto"/>
            </w:tcBorders>
            <w:shd w:val="clear" w:color="auto" w:fill="auto"/>
            <w:vAlign w:val="center"/>
          </w:tcPr>
          <w:p w14:paraId="64C1929D" w14:textId="77777777" w:rsidR="006C11EF" w:rsidRPr="00CA2FBF" w:rsidRDefault="006C11EF" w:rsidP="0068253D">
            <w:pPr>
              <w:jc w:val="center"/>
              <w:rPr>
                <w:rFonts w:ascii="Arial" w:hAnsi="Arial" w:cs="Arial"/>
              </w:rPr>
            </w:pPr>
          </w:p>
        </w:tc>
      </w:tr>
    </w:tbl>
    <w:p w14:paraId="5153BA92" w14:textId="77777777" w:rsidR="006C11EF" w:rsidRPr="00CA2FBF" w:rsidRDefault="006C11EF" w:rsidP="006C11EF">
      <w:pPr>
        <w:ind w:left="-142" w:right="-120"/>
        <w:jc w:val="both"/>
        <w:rPr>
          <w:rFonts w:ascii="Arial" w:hAnsi="Arial" w:cs="Arial"/>
          <w:bCs/>
          <w:color w:val="000000" w:themeColor="text1"/>
        </w:rPr>
      </w:pPr>
    </w:p>
    <w:p w14:paraId="142957F8" w14:textId="77777777" w:rsidR="006C11EF" w:rsidRPr="00CA2FBF" w:rsidRDefault="006C11EF" w:rsidP="006C11EF">
      <w:pPr>
        <w:ind w:left="-142" w:right="-120"/>
        <w:jc w:val="both"/>
        <w:rPr>
          <w:rFonts w:ascii="Arial" w:hAnsi="Arial" w:cs="Arial"/>
          <w:bCs/>
          <w:color w:val="000000" w:themeColor="text1"/>
        </w:rPr>
      </w:pPr>
    </w:p>
    <w:p w14:paraId="11209246" w14:textId="77777777" w:rsidR="006C11EF" w:rsidRPr="00CA2FBF" w:rsidRDefault="006C11EF" w:rsidP="006C11EF">
      <w:pPr>
        <w:ind w:left="-142" w:right="-120"/>
        <w:jc w:val="both"/>
        <w:rPr>
          <w:rFonts w:ascii="Arial" w:hAnsi="Arial" w:cs="Arial"/>
          <w:bCs/>
          <w:color w:val="000000" w:themeColor="text1"/>
        </w:rPr>
      </w:pPr>
    </w:p>
    <w:p w14:paraId="29983E5B" w14:textId="77777777" w:rsidR="006C11EF" w:rsidRPr="00CA2FBF" w:rsidRDefault="006C11EF" w:rsidP="006C11EF">
      <w:pPr>
        <w:ind w:left="-142" w:right="-120"/>
        <w:jc w:val="both"/>
        <w:rPr>
          <w:rFonts w:ascii="Arial" w:hAnsi="Arial" w:cs="Arial"/>
          <w:bCs/>
          <w:color w:val="000000" w:themeColor="text1"/>
        </w:rPr>
      </w:pPr>
    </w:p>
    <w:p w14:paraId="509CE201" w14:textId="693D536D" w:rsidR="006C11EF" w:rsidRPr="00CA2FBF" w:rsidRDefault="006C11EF" w:rsidP="006C11EF">
      <w:pPr>
        <w:ind w:left="-142" w:right="-120"/>
        <w:jc w:val="both"/>
        <w:rPr>
          <w:rFonts w:ascii="Arial" w:hAnsi="Arial" w:cs="Arial"/>
          <w:bCs/>
          <w:color w:val="000000" w:themeColor="text1"/>
        </w:rPr>
      </w:pPr>
      <w:r w:rsidRPr="00CA2FBF">
        <w:rPr>
          <w:rFonts w:ascii="Arial" w:hAnsi="Arial" w:cs="Arial"/>
          <w:bCs/>
          <w:color w:val="000000" w:themeColor="text1"/>
        </w:rPr>
        <w:t xml:space="preserve">La presente política entrará en vigor en </w:t>
      </w:r>
      <w:r w:rsidRPr="00CA2FBF">
        <w:rPr>
          <w:rFonts w:ascii="Arial" w:hAnsi="Arial" w:cs="Arial"/>
          <w:b/>
          <w:color w:val="000000" w:themeColor="text1"/>
        </w:rPr>
        <w:t>SANITHELP IPS SAS</w:t>
      </w:r>
      <w:r w:rsidRPr="00CA2FBF">
        <w:rPr>
          <w:rFonts w:ascii="Arial" w:hAnsi="Arial" w:cs="Arial"/>
          <w:bCs/>
          <w:color w:val="000000" w:themeColor="text1"/>
        </w:rPr>
        <w:t xml:space="preserve"> a </w:t>
      </w:r>
      <w:r w:rsidRPr="006C11EF">
        <w:rPr>
          <w:rFonts w:ascii="Arial" w:hAnsi="Arial" w:cs="Arial"/>
          <w:bCs/>
          <w:color w:val="000000" w:themeColor="text1"/>
        </w:rPr>
        <w:t>partir</w:t>
      </w:r>
      <w:r>
        <w:rPr>
          <w:rFonts w:ascii="Arial" w:hAnsi="Arial" w:cs="Arial"/>
          <w:bCs/>
          <w:color w:val="000000" w:themeColor="text1"/>
        </w:rPr>
        <w:t xml:space="preserve"> del 23 de julio 2023</w:t>
      </w:r>
      <w:r w:rsidRPr="006C11EF">
        <w:rPr>
          <w:rFonts w:ascii="Arial" w:hAnsi="Arial" w:cs="Arial"/>
          <w:bCs/>
          <w:color w:val="000000" w:themeColor="text1"/>
        </w:rPr>
        <w:t xml:space="preserve"> se entenderán incluidas en ellas las disposiciones de la Ley 2191 de 2022. La copia de la presente política se publicará en un lugar visible a todos los colaboradores de </w:t>
      </w:r>
      <w:r w:rsidRPr="006C11EF">
        <w:rPr>
          <w:rFonts w:ascii="Arial" w:hAnsi="Arial" w:cs="Arial"/>
          <w:b/>
          <w:color w:val="000000" w:themeColor="text1"/>
        </w:rPr>
        <w:t>SANITHELP IPS SAS</w:t>
      </w:r>
      <w:r w:rsidRPr="006C11EF">
        <w:rPr>
          <w:rFonts w:ascii="Arial" w:hAnsi="Arial" w:cs="Arial"/>
          <w:bCs/>
          <w:color w:val="000000" w:themeColor="text1"/>
        </w:rPr>
        <w:t xml:space="preserve"> y/o en la página web principal de la presente política.</w:t>
      </w:r>
    </w:p>
    <w:p w14:paraId="2D971C01" w14:textId="77777777" w:rsidR="006C11EF" w:rsidRPr="00CA2FBF" w:rsidRDefault="006C11EF" w:rsidP="006C11EF">
      <w:pPr>
        <w:ind w:left="-142" w:right="-120"/>
        <w:jc w:val="both"/>
        <w:rPr>
          <w:rFonts w:ascii="Arial" w:hAnsi="Arial" w:cs="Arial"/>
          <w:bCs/>
          <w:color w:val="000000" w:themeColor="text1"/>
        </w:rPr>
      </w:pPr>
    </w:p>
    <w:p w14:paraId="191A0B76" w14:textId="77777777" w:rsidR="006C11EF" w:rsidRPr="00CA2FBF" w:rsidRDefault="006C11EF" w:rsidP="006C11EF">
      <w:pPr>
        <w:ind w:left="-142" w:right="-120"/>
        <w:jc w:val="both"/>
        <w:rPr>
          <w:rFonts w:ascii="Arial" w:hAnsi="Arial" w:cs="Arial"/>
          <w:bCs/>
          <w:color w:val="000000" w:themeColor="text1"/>
        </w:rPr>
      </w:pPr>
    </w:p>
    <w:p w14:paraId="17367115" w14:textId="77777777" w:rsidR="006C11EF" w:rsidRDefault="006C11EF" w:rsidP="006C11EF">
      <w:pPr>
        <w:ind w:left="-142" w:right="-120"/>
        <w:jc w:val="both"/>
        <w:rPr>
          <w:rFonts w:cs="Arial"/>
          <w:bCs/>
          <w:color w:val="000000" w:themeColor="text1"/>
        </w:rPr>
      </w:pPr>
    </w:p>
    <w:p w14:paraId="1E9CE37C" w14:textId="77777777" w:rsidR="006C11EF" w:rsidRDefault="006C11EF" w:rsidP="006C11EF">
      <w:pPr>
        <w:ind w:left="-142" w:right="-120"/>
        <w:jc w:val="both"/>
        <w:rPr>
          <w:rFonts w:cs="Arial"/>
          <w:bCs/>
          <w:color w:val="000000" w:themeColor="text1"/>
        </w:rPr>
      </w:pPr>
    </w:p>
    <w:p w14:paraId="03CFD003" w14:textId="77777777" w:rsidR="006C11EF" w:rsidRDefault="006C11EF" w:rsidP="006C11EF">
      <w:pPr>
        <w:ind w:left="-142" w:right="-120"/>
        <w:jc w:val="both"/>
        <w:rPr>
          <w:rFonts w:cs="Arial"/>
          <w:bCs/>
          <w:color w:val="000000" w:themeColor="text1"/>
        </w:rPr>
      </w:pPr>
    </w:p>
    <w:p w14:paraId="566BACE6" w14:textId="77777777" w:rsidR="006C11EF" w:rsidRDefault="006C11EF" w:rsidP="006C11EF">
      <w:pPr>
        <w:ind w:left="-142" w:right="-120"/>
        <w:jc w:val="both"/>
        <w:rPr>
          <w:rFonts w:cs="Arial"/>
          <w:bCs/>
          <w:color w:val="000000" w:themeColor="text1"/>
        </w:rPr>
      </w:pPr>
    </w:p>
    <w:p w14:paraId="7BD4DB07" w14:textId="77777777" w:rsidR="006C11EF" w:rsidRDefault="006C11EF" w:rsidP="006C11EF">
      <w:pPr>
        <w:ind w:left="-142" w:right="-120"/>
        <w:jc w:val="both"/>
        <w:rPr>
          <w:rFonts w:cs="Arial"/>
          <w:bCs/>
          <w:color w:val="000000" w:themeColor="text1"/>
        </w:rPr>
      </w:pPr>
    </w:p>
    <w:p w14:paraId="008DD87C" w14:textId="77777777" w:rsidR="006C11EF" w:rsidRPr="00771266" w:rsidRDefault="006C11EF" w:rsidP="006C11EF">
      <w:pPr>
        <w:ind w:right="-120"/>
        <w:jc w:val="both"/>
        <w:rPr>
          <w:rFonts w:cs="Arial"/>
          <w:bCs/>
          <w:color w:val="000000" w:themeColor="text1"/>
        </w:rPr>
      </w:pPr>
    </w:p>
    <w:p w14:paraId="5CB6C338" w14:textId="77777777" w:rsidR="006C11EF" w:rsidRPr="007F2D3D" w:rsidRDefault="006C11EF" w:rsidP="006C11EF">
      <w:pPr>
        <w:ind w:left="-142" w:right="-120"/>
        <w:jc w:val="both"/>
        <w:rPr>
          <w:rFonts w:asciiTheme="minorHAnsi" w:hAnsiTheme="minorHAnsi" w:cstheme="minorHAnsi"/>
          <w:i/>
          <w:sz w:val="26"/>
          <w:szCs w:val="26"/>
        </w:rPr>
      </w:pPr>
    </w:p>
    <w:p w14:paraId="6A6C21B2" w14:textId="58FB9DB0" w:rsidR="006C11EF" w:rsidRPr="007F2D3D" w:rsidRDefault="006C11EF" w:rsidP="006C11EF">
      <w:pPr>
        <w:ind w:left="-142" w:right="-120"/>
        <w:jc w:val="center"/>
        <w:rPr>
          <w:rFonts w:asciiTheme="minorHAnsi" w:hAnsiTheme="minorHAnsi" w:cstheme="minorHAnsi"/>
          <w:i/>
          <w:sz w:val="26"/>
          <w:szCs w:val="26"/>
        </w:rPr>
      </w:pPr>
      <w:r>
        <w:rPr>
          <w:rFonts w:asciiTheme="minorHAnsi" w:hAnsiTheme="minorHAnsi" w:cstheme="minorHAnsi"/>
          <w:i/>
          <w:noProof/>
          <w:sz w:val="26"/>
          <w:szCs w:val="26"/>
        </w:rPr>
        <w:drawing>
          <wp:inline distT="0" distB="0" distL="0" distR="0" wp14:anchorId="47DD4A7F" wp14:editId="5275CC5E">
            <wp:extent cx="1762125" cy="355104"/>
            <wp:effectExtent l="0" t="0" r="0" b="6985"/>
            <wp:docPr id="707981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1609" name="Imagen 707981609"/>
                    <pic:cNvPicPr/>
                  </pic:nvPicPr>
                  <pic:blipFill>
                    <a:blip r:embed="rId7">
                      <a:extLst>
                        <a:ext uri="{28A0092B-C50C-407E-A947-70E740481C1C}">
                          <a14:useLocalDpi xmlns:a14="http://schemas.microsoft.com/office/drawing/2010/main" val="0"/>
                        </a:ext>
                      </a:extLst>
                    </a:blip>
                    <a:stretch>
                      <a:fillRect/>
                    </a:stretch>
                  </pic:blipFill>
                  <pic:spPr>
                    <a:xfrm>
                      <a:off x="0" y="0"/>
                      <a:ext cx="1801134" cy="362965"/>
                    </a:xfrm>
                    <a:prstGeom prst="rect">
                      <a:avLst/>
                    </a:prstGeom>
                  </pic:spPr>
                </pic:pic>
              </a:graphicData>
            </a:graphic>
          </wp:inline>
        </w:drawing>
      </w:r>
      <w:r>
        <w:rPr>
          <w:rFonts w:asciiTheme="minorHAnsi" w:hAnsiTheme="minorHAnsi" w:cstheme="minorHAnsi"/>
          <w:i/>
          <w:sz w:val="26"/>
          <w:szCs w:val="26"/>
        </w:rPr>
        <w:t xml:space="preserve">     </w:t>
      </w:r>
    </w:p>
    <w:p w14:paraId="5155939D" w14:textId="7A6B4378" w:rsidR="006C11EF" w:rsidRPr="00674472" w:rsidRDefault="006C11EF" w:rsidP="006C11EF">
      <w:pPr>
        <w:ind w:left="-142" w:right="-120"/>
        <w:jc w:val="center"/>
        <w:rPr>
          <w:rFonts w:asciiTheme="minorHAnsi" w:hAnsiTheme="minorHAnsi" w:cstheme="minorHAnsi"/>
          <w:b/>
          <w:color w:val="000000" w:themeColor="text1"/>
          <w:sz w:val="26"/>
          <w:szCs w:val="26"/>
        </w:rPr>
      </w:pPr>
      <w:r>
        <w:rPr>
          <w:rFonts w:asciiTheme="minorHAnsi" w:hAnsiTheme="minorHAnsi" w:cstheme="minorHAnsi"/>
          <w:b/>
          <w:color w:val="000000" w:themeColor="text1"/>
          <w:sz w:val="26"/>
          <w:szCs w:val="26"/>
        </w:rPr>
        <w:t>INGRID NATALIA TOVAR</w:t>
      </w:r>
    </w:p>
    <w:p w14:paraId="5B0CC1BB" w14:textId="77777777" w:rsidR="006C11EF" w:rsidRPr="009338BE" w:rsidRDefault="006C11EF" w:rsidP="006C11EF">
      <w:pPr>
        <w:ind w:left="-142" w:right="-120"/>
        <w:jc w:val="center"/>
        <w:rPr>
          <w:rFonts w:asciiTheme="minorHAnsi" w:hAnsiTheme="minorHAnsi" w:cstheme="minorHAnsi"/>
          <w:b/>
          <w:sz w:val="26"/>
          <w:szCs w:val="26"/>
        </w:rPr>
      </w:pPr>
      <w:r w:rsidRPr="007D62B0">
        <w:rPr>
          <w:rFonts w:asciiTheme="minorHAnsi" w:hAnsiTheme="minorHAnsi" w:cstheme="minorHAnsi"/>
          <w:b/>
          <w:sz w:val="26"/>
          <w:szCs w:val="26"/>
        </w:rPr>
        <w:t xml:space="preserve">CC. </w:t>
      </w:r>
      <w:r>
        <w:rPr>
          <w:rFonts w:asciiTheme="minorHAnsi" w:hAnsiTheme="minorHAnsi" w:cstheme="minorHAnsi"/>
          <w:b/>
          <w:sz w:val="26"/>
          <w:szCs w:val="26"/>
        </w:rPr>
        <w:t>55.305.653 De Barranquilla-Atlántico</w:t>
      </w:r>
    </w:p>
    <w:p w14:paraId="1370F8A8" w14:textId="77777777" w:rsidR="006C11EF" w:rsidRPr="00BF6F9D" w:rsidRDefault="006C11EF" w:rsidP="006C11EF">
      <w:pPr>
        <w:ind w:left="-142" w:right="-120"/>
        <w:jc w:val="center"/>
        <w:rPr>
          <w:rFonts w:asciiTheme="minorHAnsi" w:hAnsiTheme="minorHAnsi" w:cstheme="minorHAnsi"/>
          <w:b/>
          <w:sz w:val="28"/>
          <w:szCs w:val="28"/>
        </w:rPr>
      </w:pPr>
      <w:r w:rsidRPr="00BF6F9D">
        <w:rPr>
          <w:rFonts w:asciiTheme="minorHAnsi" w:hAnsiTheme="minorHAnsi" w:cstheme="minorHAnsi"/>
          <w:b/>
          <w:sz w:val="26"/>
          <w:szCs w:val="26"/>
        </w:rPr>
        <w:t>REPRESENTANTE LEGAL</w:t>
      </w:r>
    </w:p>
    <w:p w14:paraId="28856448" w14:textId="6FFFF0B6" w:rsidR="006C11EF" w:rsidRPr="00CA2FBF" w:rsidRDefault="006C11EF" w:rsidP="006C11EF">
      <w:pPr>
        <w:ind w:left="-142" w:right="-120"/>
        <w:jc w:val="both"/>
        <w:rPr>
          <w:rFonts w:ascii="Arial" w:hAnsi="Arial" w:cs="Arial"/>
          <w:bCs/>
          <w:color w:val="000000" w:themeColor="text1"/>
        </w:rPr>
      </w:pPr>
    </w:p>
    <w:p w14:paraId="1A81AE92" w14:textId="77777777" w:rsidR="00127E3A" w:rsidRPr="006C11EF" w:rsidRDefault="00127E3A" w:rsidP="006C11EF"/>
    <w:sectPr w:rsidR="00127E3A" w:rsidRPr="006C11EF">
      <w:headerReference w:type="default" r:id="rId8"/>
      <w:footerReference w:type="default" r:id="rId9"/>
      <w:pgSz w:w="11906" w:h="16838"/>
      <w:pgMar w:top="720" w:right="720" w:bottom="720" w:left="720" w:header="34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55147" w14:textId="77777777" w:rsidR="00C90F83" w:rsidRDefault="00C90F83" w:rsidP="00F13CA1">
      <w:r>
        <w:separator/>
      </w:r>
    </w:p>
  </w:endnote>
  <w:endnote w:type="continuationSeparator" w:id="0">
    <w:p w14:paraId="294171A8" w14:textId="77777777" w:rsidR="00C90F83" w:rsidRDefault="00C90F83" w:rsidP="00F1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6B87" w14:textId="77777777" w:rsidR="00000000" w:rsidRDefault="00000000">
    <w:pPr>
      <w:pBdr>
        <w:top w:val="nil"/>
        <w:left w:val="nil"/>
        <w:bottom w:val="nil"/>
        <w:right w:val="nil"/>
        <w:between w:val="nil"/>
      </w:pBdr>
      <w:tabs>
        <w:tab w:val="center" w:pos="4252"/>
        <w:tab w:val="right" w:pos="8504"/>
      </w:tabs>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7FC7FF1E" w14:textId="77777777" w:rsidR="00000000" w:rsidRDefault="00000000">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Pr>
        <w:rFonts w:ascii="Arial" w:eastAsia="Arial" w:hAnsi="Arial" w:cs="Arial"/>
        <w:color w:val="000000"/>
        <w:sz w:val="14"/>
        <w:szCs w:val="14"/>
      </w:rPr>
      <w:tab/>
      <w:t>ESTE DOCUMENTO IMPRESO SE CONSIDERA COPIA NO CONTROLADA A EXCEPCIÓN DEL ORIGINAL FÍSICO FIRMADO Y ES RESPONSABILIDAD DE CADA USUARIO DARLE EL USO DEBIDO CON LA ACTUALIZACIÓN VIGENTE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F4DD9" w14:textId="77777777" w:rsidR="00C90F83" w:rsidRDefault="00C90F83" w:rsidP="00F13CA1">
      <w:r>
        <w:separator/>
      </w:r>
    </w:p>
  </w:footnote>
  <w:footnote w:type="continuationSeparator" w:id="0">
    <w:p w14:paraId="78839DE3" w14:textId="77777777" w:rsidR="00C90F83" w:rsidRDefault="00C90F83" w:rsidP="00F1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6" w:type="dxa"/>
      <w:jc w:val="center"/>
      <w:tblLayout w:type="fixed"/>
      <w:tblLook w:val="0400" w:firstRow="0" w:lastRow="0" w:firstColumn="0" w:lastColumn="0" w:noHBand="0" w:noVBand="1"/>
    </w:tblPr>
    <w:tblGrid>
      <w:gridCol w:w="1969"/>
      <w:gridCol w:w="5046"/>
      <w:gridCol w:w="1701"/>
      <w:gridCol w:w="1890"/>
    </w:tblGrid>
    <w:tr w:rsidR="00C846B6" w14:paraId="07B006A2" w14:textId="77777777">
      <w:trPr>
        <w:cantSplit/>
        <w:trHeight w:val="302"/>
        <w:jc w:val="center"/>
      </w:trPr>
      <w:tc>
        <w:tcPr>
          <w:tcW w:w="1969" w:type="dxa"/>
          <w:vMerge w:val="restart"/>
          <w:tcBorders>
            <w:top w:val="single" w:sz="4" w:space="0" w:color="000000"/>
            <w:left w:val="single" w:sz="4" w:space="0" w:color="000000"/>
            <w:right w:val="single" w:sz="4" w:space="0" w:color="000000"/>
          </w:tcBorders>
          <w:vAlign w:val="center"/>
        </w:tcPr>
        <w:p w14:paraId="5599D7EE" w14:textId="77777777" w:rsidR="00000000" w:rsidRDefault="00000000">
          <w:pPr>
            <w:jc w:val="center"/>
            <w:rPr>
              <w:b/>
              <w:sz w:val="18"/>
              <w:szCs w:val="18"/>
            </w:rPr>
          </w:pPr>
          <w:r>
            <w:rPr>
              <w:noProof/>
              <w:sz w:val="16"/>
              <w:szCs w:val="16"/>
            </w:rPr>
            <w:drawing>
              <wp:inline distT="0" distB="0" distL="0" distR="0" wp14:anchorId="45C0EEEB" wp14:editId="159A8D6F">
                <wp:extent cx="1076471" cy="668309"/>
                <wp:effectExtent l="0" t="0" r="0" b="0"/>
                <wp:docPr id="22" name="Imagen 9"/>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76471" cy="668309"/>
                        </a:xfrm>
                        <a:prstGeom prst="rect">
                          <a:avLst/>
                        </a:prstGeom>
                        <a:ln/>
                      </pic:spPr>
                    </pic:pic>
                  </a:graphicData>
                </a:graphic>
              </wp:inline>
            </w:drawing>
          </w:r>
        </w:p>
      </w:tc>
      <w:tc>
        <w:tcPr>
          <w:tcW w:w="5046" w:type="dxa"/>
          <w:vMerge w:val="restart"/>
          <w:tcBorders>
            <w:top w:val="single" w:sz="4" w:space="0" w:color="000000"/>
            <w:left w:val="nil"/>
            <w:bottom w:val="single" w:sz="4" w:space="0" w:color="000000"/>
            <w:right w:val="nil"/>
          </w:tcBorders>
          <w:vAlign w:val="center"/>
        </w:tcPr>
        <w:p w14:paraId="09FDAD8A" w14:textId="6A978D35" w:rsidR="00000000" w:rsidRDefault="00000000">
          <w:pPr>
            <w:jc w:val="center"/>
            <w:rPr>
              <w:rFonts w:ascii="Arial" w:eastAsia="Arial" w:hAnsi="Arial" w:cs="Arial"/>
              <w:b/>
            </w:rPr>
          </w:pPr>
          <w:r>
            <w:rPr>
              <w:rFonts w:ascii="Arial" w:eastAsia="Arial" w:hAnsi="Arial" w:cs="Arial"/>
              <w:b/>
            </w:rPr>
            <w:t xml:space="preserve">POLÍTICA </w:t>
          </w:r>
          <w:r w:rsidR="00DF4A57">
            <w:rPr>
              <w:rFonts w:ascii="Arial" w:eastAsia="Arial" w:hAnsi="Arial" w:cs="Arial"/>
              <w:b/>
            </w:rPr>
            <w:t>DESCONEXION LABORAL</w:t>
          </w:r>
        </w:p>
      </w:tc>
      <w:tc>
        <w:tcPr>
          <w:tcW w:w="1701" w:type="dxa"/>
          <w:tcBorders>
            <w:top w:val="single" w:sz="4" w:space="0" w:color="000000"/>
            <w:left w:val="single" w:sz="4" w:space="0" w:color="000000"/>
            <w:bottom w:val="single" w:sz="4" w:space="0" w:color="000000"/>
            <w:right w:val="single" w:sz="4" w:space="0" w:color="000000"/>
          </w:tcBorders>
          <w:vAlign w:val="center"/>
        </w:tcPr>
        <w:p w14:paraId="63F74612" w14:textId="77777777" w:rsidR="00000000" w:rsidRDefault="00000000">
          <w:pPr>
            <w:rPr>
              <w:rFonts w:ascii="Arial" w:eastAsia="Arial" w:hAnsi="Arial" w:cs="Arial"/>
              <w:b/>
              <w:sz w:val="20"/>
              <w:szCs w:val="20"/>
            </w:rPr>
          </w:pPr>
          <w:r>
            <w:rPr>
              <w:rFonts w:ascii="Arial" w:eastAsia="Arial" w:hAnsi="Arial" w:cs="Arial"/>
              <w:b/>
              <w:sz w:val="20"/>
              <w:szCs w:val="20"/>
            </w:rPr>
            <w:t>Código:</w:t>
          </w:r>
        </w:p>
      </w:tc>
      <w:tc>
        <w:tcPr>
          <w:tcW w:w="1890" w:type="dxa"/>
          <w:tcBorders>
            <w:top w:val="single" w:sz="4" w:space="0" w:color="000000"/>
            <w:left w:val="nil"/>
            <w:bottom w:val="single" w:sz="4" w:space="0" w:color="000000"/>
            <w:right w:val="single" w:sz="4" w:space="0" w:color="000000"/>
          </w:tcBorders>
          <w:vAlign w:val="center"/>
        </w:tcPr>
        <w:p w14:paraId="2048108F" w14:textId="20E1EF70" w:rsidR="00000000" w:rsidRDefault="00000000">
          <w:pPr>
            <w:rPr>
              <w:rFonts w:ascii="Arial" w:eastAsia="Arial" w:hAnsi="Arial" w:cs="Arial"/>
              <w:sz w:val="20"/>
              <w:szCs w:val="20"/>
            </w:rPr>
          </w:pPr>
        </w:p>
      </w:tc>
    </w:tr>
    <w:tr w:rsidR="00C846B6" w14:paraId="7EAF594E"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06FB2FAD"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nil"/>
            <w:bottom w:val="single" w:sz="4" w:space="0" w:color="000000"/>
            <w:right w:val="nil"/>
          </w:tcBorders>
          <w:vAlign w:val="center"/>
        </w:tcPr>
        <w:p w14:paraId="6D60A383"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2F6DC41D" w14:textId="77777777" w:rsidR="00000000" w:rsidRDefault="00000000">
          <w:pPr>
            <w:rPr>
              <w:rFonts w:ascii="Arial" w:eastAsia="Arial" w:hAnsi="Arial" w:cs="Arial"/>
              <w:sz w:val="22"/>
              <w:szCs w:val="22"/>
            </w:rPr>
          </w:pPr>
          <w:r>
            <w:rPr>
              <w:rFonts w:ascii="Arial" w:eastAsia="Arial" w:hAnsi="Arial" w:cs="Arial"/>
              <w:b/>
              <w:sz w:val="20"/>
              <w:szCs w:val="20"/>
            </w:rPr>
            <w:t>Versión:</w:t>
          </w:r>
        </w:p>
      </w:tc>
      <w:tc>
        <w:tcPr>
          <w:tcW w:w="1890" w:type="dxa"/>
          <w:tcBorders>
            <w:top w:val="single" w:sz="4" w:space="0" w:color="000000"/>
            <w:left w:val="nil"/>
            <w:bottom w:val="single" w:sz="4" w:space="0" w:color="000000"/>
            <w:right w:val="single" w:sz="4" w:space="0" w:color="000000"/>
          </w:tcBorders>
          <w:vAlign w:val="center"/>
        </w:tcPr>
        <w:p w14:paraId="21095930" w14:textId="77777777" w:rsidR="00000000" w:rsidRDefault="00000000">
          <w:pPr>
            <w:rPr>
              <w:rFonts w:ascii="Arial" w:eastAsia="Arial" w:hAnsi="Arial" w:cs="Arial"/>
              <w:sz w:val="22"/>
              <w:szCs w:val="22"/>
            </w:rPr>
          </w:pPr>
          <w:r>
            <w:rPr>
              <w:rFonts w:ascii="Arial" w:eastAsia="Arial" w:hAnsi="Arial" w:cs="Arial"/>
              <w:sz w:val="20"/>
              <w:szCs w:val="20"/>
            </w:rPr>
            <w:t>01</w:t>
          </w:r>
        </w:p>
      </w:tc>
    </w:tr>
    <w:tr w:rsidR="00C846B6" w14:paraId="1DD43CA4"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2802017E" w14:textId="77777777" w:rsidR="00000000" w:rsidRDefault="00000000">
          <w:pPr>
            <w:widowControl w:val="0"/>
            <w:pBdr>
              <w:top w:val="nil"/>
              <w:left w:val="nil"/>
              <w:bottom w:val="nil"/>
              <w:right w:val="nil"/>
              <w:between w:val="nil"/>
            </w:pBdr>
            <w:spacing w:line="276" w:lineRule="auto"/>
            <w:rPr>
              <w:rFonts w:ascii="Arial" w:eastAsia="Arial" w:hAnsi="Arial" w:cs="Arial"/>
              <w:sz w:val="22"/>
              <w:szCs w:val="22"/>
            </w:rPr>
          </w:pPr>
        </w:p>
      </w:tc>
      <w:tc>
        <w:tcPr>
          <w:tcW w:w="5046" w:type="dxa"/>
          <w:vMerge w:val="restart"/>
          <w:tcBorders>
            <w:top w:val="single" w:sz="4" w:space="0" w:color="000000"/>
            <w:left w:val="single" w:sz="4" w:space="0" w:color="000000"/>
            <w:right w:val="single" w:sz="4" w:space="0" w:color="000000"/>
          </w:tcBorders>
          <w:vAlign w:val="center"/>
        </w:tcPr>
        <w:p w14:paraId="700017DC" w14:textId="77777777" w:rsidR="00000000" w:rsidRDefault="00000000">
          <w:pPr>
            <w:jc w:val="center"/>
            <w:rPr>
              <w:rFonts w:ascii="Arial" w:eastAsia="Arial" w:hAnsi="Arial" w:cs="Arial"/>
              <w:b/>
            </w:rPr>
          </w:pPr>
          <w:r>
            <w:rPr>
              <w:rFonts w:ascii="Arial" w:eastAsia="Arial" w:hAnsi="Arial" w:cs="Arial"/>
              <w:b/>
            </w:rPr>
            <w:t>SISTEMA OBLIGATORIO GARANTIA DE LA CALIDAD</w:t>
          </w:r>
        </w:p>
      </w:tc>
      <w:tc>
        <w:tcPr>
          <w:tcW w:w="1701" w:type="dxa"/>
          <w:tcBorders>
            <w:top w:val="single" w:sz="4" w:space="0" w:color="000000"/>
            <w:left w:val="single" w:sz="4" w:space="0" w:color="000000"/>
            <w:bottom w:val="single" w:sz="4" w:space="0" w:color="000000"/>
            <w:right w:val="single" w:sz="4" w:space="0" w:color="000000"/>
          </w:tcBorders>
          <w:vAlign w:val="center"/>
        </w:tcPr>
        <w:p w14:paraId="4EA05200" w14:textId="77777777" w:rsidR="00000000" w:rsidRDefault="00000000">
          <w:pPr>
            <w:rPr>
              <w:rFonts w:ascii="Arial" w:eastAsia="Arial" w:hAnsi="Arial" w:cs="Arial"/>
              <w:b/>
              <w:sz w:val="20"/>
              <w:szCs w:val="20"/>
            </w:rPr>
          </w:pPr>
          <w:r>
            <w:rPr>
              <w:rFonts w:ascii="Arial" w:eastAsia="Arial" w:hAnsi="Arial" w:cs="Arial"/>
              <w:b/>
              <w:sz w:val="20"/>
              <w:szCs w:val="20"/>
            </w:rPr>
            <w:t>Vigencia desde:</w:t>
          </w:r>
        </w:p>
      </w:tc>
      <w:tc>
        <w:tcPr>
          <w:tcW w:w="1890" w:type="dxa"/>
          <w:tcBorders>
            <w:top w:val="single" w:sz="4" w:space="0" w:color="000000"/>
            <w:left w:val="single" w:sz="4" w:space="0" w:color="000000"/>
            <w:bottom w:val="single" w:sz="4" w:space="0" w:color="000000"/>
            <w:right w:val="single" w:sz="4" w:space="0" w:color="000000"/>
          </w:tcBorders>
          <w:vAlign w:val="center"/>
        </w:tcPr>
        <w:p w14:paraId="7776A63C" w14:textId="17EE1719" w:rsidR="00000000" w:rsidRDefault="006C11EF">
          <w:pPr>
            <w:rPr>
              <w:rFonts w:ascii="Arial" w:eastAsia="Arial" w:hAnsi="Arial" w:cs="Arial"/>
              <w:sz w:val="20"/>
              <w:szCs w:val="20"/>
            </w:rPr>
          </w:pPr>
          <w:r>
            <w:rPr>
              <w:rFonts w:ascii="Arial" w:eastAsia="Arial" w:hAnsi="Arial" w:cs="Arial"/>
              <w:sz w:val="20"/>
              <w:szCs w:val="20"/>
            </w:rPr>
            <w:t>2023-07-23</w:t>
          </w:r>
        </w:p>
      </w:tc>
    </w:tr>
    <w:tr w:rsidR="00C846B6" w14:paraId="7AA13FB3" w14:textId="77777777" w:rsidTr="00F13CA1">
      <w:trPr>
        <w:cantSplit/>
        <w:trHeight w:val="302"/>
        <w:jc w:val="center"/>
      </w:trPr>
      <w:tc>
        <w:tcPr>
          <w:tcW w:w="1969" w:type="dxa"/>
          <w:vMerge/>
          <w:tcBorders>
            <w:top w:val="single" w:sz="4" w:space="0" w:color="000000"/>
            <w:left w:val="single" w:sz="4" w:space="0" w:color="000000"/>
            <w:bottom w:val="single" w:sz="4" w:space="0" w:color="auto"/>
            <w:right w:val="single" w:sz="4" w:space="0" w:color="000000"/>
          </w:tcBorders>
          <w:vAlign w:val="center"/>
        </w:tcPr>
        <w:p w14:paraId="72272855"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single" w:sz="4" w:space="0" w:color="000000"/>
            <w:bottom w:val="single" w:sz="4" w:space="0" w:color="auto"/>
            <w:right w:val="single" w:sz="4" w:space="0" w:color="000000"/>
          </w:tcBorders>
          <w:vAlign w:val="center"/>
        </w:tcPr>
        <w:p w14:paraId="63432D07"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nil"/>
            <w:left w:val="single" w:sz="4" w:space="0" w:color="000000"/>
            <w:bottom w:val="single" w:sz="4" w:space="0" w:color="auto"/>
            <w:right w:val="single" w:sz="4" w:space="0" w:color="000000"/>
          </w:tcBorders>
          <w:vAlign w:val="center"/>
        </w:tcPr>
        <w:p w14:paraId="232351F7" w14:textId="77777777" w:rsidR="00000000" w:rsidRDefault="00000000">
          <w:pPr>
            <w:rPr>
              <w:rFonts w:ascii="Arial" w:eastAsia="Arial" w:hAnsi="Arial" w:cs="Arial"/>
              <w:sz w:val="22"/>
              <w:szCs w:val="22"/>
            </w:rPr>
          </w:pPr>
          <w:r>
            <w:rPr>
              <w:rFonts w:ascii="Arial" w:eastAsia="Arial" w:hAnsi="Arial" w:cs="Arial"/>
              <w:b/>
              <w:sz w:val="20"/>
              <w:szCs w:val="20"/>
            </w:rPr>
            <w:t>Página:</w:t>
          </w:r>
        </w:p>
      </w:tc>
      <w:tc>
        <w:tcPr>
          <w:tcW w:w="1890" w:type="dxa"/>
          <w:tcBorders>
            <w:top w:val="single" w:sz="4" w:space="0" w:color="000000"/>
            <w:left w:val="single" w:sz="4" w:space="0" w:color="000000"/>
            <w:bottom w:val="single" w:sz="4" w:space="0" w:color="auto"/>
            <w:right w:val="single" w:sz="4" w:space="0" w:color="000000"/>
          </w:tcBorders>
          <w:vAlign w:val="center"/>
        </w:tcPr>
        <w:p w14:paraId="1D0C4434" w14:textId="77777777" w:rsidR="00000000" w:rsidRDefault="00000000">
          <w:pPr>
            <w:rPr>
              <w:rFonts w:ascii="Arial" w:eastAsia="Arial" w:hAnsi="Arial" w:cs="Arial"/>
              <w:sz w:val="22"/>
              <w:szCs w:val="22"/>
            </w:rP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de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Pr>
              <w:rFonts w:ascii="Arial" w:eastAsia="Arial" w:hAnsi="Arial" w:cs="Arial"/>
              <w:noProof/>
              <w:sz w:val="20"/>
              <w:szCs w:val="20"/>
            </w:rPr>
            <w:t>2</w:t>
          </w:r>
          <w:r>
            <w:rPr>
              <w:rFonts w:ascii="Arial" w:eastAsia="Arial" w:hAnsi="Arial" w:cs="Arial"/>
              <w:sz w:val="20"/>
              <w:szCs w:val="20"/>
            </w:rPr>
            <w:fldChar w:fldCharType="end"/>
          </w:r>
        </w:p>
      </w:tc>
    </w:tr>
  </w:tbl>
  <w:p w14:paraId="1715BACE" w14:textId="77777777" w:rsidR="00000000" w:rsidRDefault="000000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910"/>
    <w:multiLevelType w:val="multilevel"/>
    <w:tmpl w:val="97E4947E"/>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1" w15:restartNumberingAfterBreak="0">
    <w:nsid w:val="14BA6534"/>
    <w:multiLevelType w:val="multilevel"/>
    <w:tmpl w:val="9772798C"/>
    <w:lvl w:ilvl="0">
      <w:start w:val="1"/>
      <w:numFmt w:val="bullet"/>
      <w:pStyle w:val="Ttulo1"/>
      <w:lvlText w:val="●"/>
      <w:lvlJc w:val="left"/>
      <w:pPr>
        <w:ind w:left="501" w:hanging="360"/>
      </w:pPr>
      <w:rPr>
        <w:rFonts w:ascii="Noto Sans Symbols" w:eastAsia="Noto Sans Symbols" w:hAnsi="Noto Sans Symbols" w:cs="Noto Sans Symbols"/>
      </w:rPr>
    </w:lvl>
    <w:lvl w:ilvl="1">
      <w:start w:val="1"/>
      <w:numFmt w:val="bullet"/>
      <w:pStyle w:val="Ttulo2"/>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1A7C2AA0"/>
    <w:multiLevelType w:val="hybridMultilevel"/>
    <w:tmpl w:val="C062F454"/>
    <w:lvl w:ilvl="0" w:tplc="72467B4E">
      <w:start w:val="1"/>
      <w:numFmt w:val="decimal"/>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 w15:restartNumberingAfterBreak="0">
    <w:nsid w:val="3B560421"/>
    <w:multiLevelType w:val="multilevel"/>
    <w:tmpl w:val="47A4F4E6"/>
    <w:lvl w:ilvl="0">
      <w:start w:val="1"/>
      <w:numFmt w:val="decimal"/>
      <w:lvlText w:val="%1."/>
      <w:lvlJc w:val="left"/>
      <w:pPr>
        <w:ind w:left="3338" w:hanging="360"/>
      </w:pPr>
    </w:lvl>
    <w:lvl w:ilvl="1">
      <w:start w:val="1"/>
      <w:numFmt w:val="decimal"/>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4" w15:restartNumberingAfterBreak="0">
    <w:nsid w:val="6D231846"/>
    <w:multiLevelType w:val="multilevel"/>
    <w:tmpl w:val="5F5CBBCC"/>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97583641">
    <w:abstractNumId w:val="1"/>
  </w:num>
  <w:num w:numId="2" w16cid:durableId="118761416">
    <w:abstractNumId w:val="0"/>
  </w:num>
  <w:num w:numId="3" w16cid:durableId="1854997646">
    <w:abstractNumId w:val="3"/>
  </w:num>
  <w:num w:numId="4" w16cid:durableId="583732852">
    <w:abstractNumId w:val="2"/>
  </w:num>
  <w:num w:numId="5" w16cid:durableId="563419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A1"/>
    <w:rsid w:val="00127E3A"/>
    <w:rsid w:val="00432A7F"/>
    <w:rsid w:val="006C11EF"/>
    <w:rsid w:val="00C90F83"/>
    <w:rsid w:val="00DF4A57"/>
    <w:rsid w:val="00F13C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8055"/>
  <w15:chartTrackingRefBased/>
  <w15:docId w15:val="{C445177F-1C8B-40D1-B254-4CFCA676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CA1"/>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F13CA1"/>
    <w:pPr>
      <w:keepNext/>
      <w:keepLines/>
      <w:numPr>
        <w:numId w:val="1"/>
      </w:numPr>
      <w:ind w:left="360"/>
      <w:jc w:val="both"/>
      <w:outlineLvl w:val="0"/>
    </w:pPr>
    <w:rPr>
      <w:rFonts w:ascii="Arial" w:hAnsi="Arial"/>
      <w:b/>
      <w:szCs w:val="32"/>
      <w:lang w:val="es-CO" w:eastAsia="en-US"/>
    </w:rPr>
  </w:style>
  <w:style w:type="paragraph" w:styleId="Ttulo2">
    <w:name w:val="heading 2"/>
    <w:basedOn w:val="Normal"/>
    <w:link w:val="Ttulo2Car"/>
    <w:uiPriority w:val="9"/>
    <w:semiHidden/>
    <w:unhideWhenUsed/>
    <w:qFormat/>
    <w:rsid w:val="00F13CA1"/>
    <w:pPr>
      <w:numPr>
        <w:ilvl w:val="1"/>
        <w:numId w:val="1"/>
      </w:numPr>
      <w:spacing w:after="100" w:afterAutospacing="1"/>
      <w:outlineLvl w:val="1"/>
    </w:pPr>
    <w:rPr>
      <w:rFonts w:ascii="Arial" w:hAnsi="Arial"/>
      <w:bCs/>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CA1"/>
    <w:rPr>
      <w:rFonts w:ascii="Arial" w:eastAsia="Times New Roman" w:hAnsi="Arial" w:cs="Times New Roman"/>
      <w:b/>
      <w:sz w:val="24"/>
      <w:szCs w:val="32"/>
    </w:rPr>
  </w:style>
  <w:style w:type="character" w:customStyle="1" w:styleId="Ttulo2Car">
    <w:name w:val="Título 2 Car"/>
    <w:basedOn w:val="Fuentedeprrafopredeter"/>
    <w:link w:val="Ttulo2"/>
    <w:uiPriority w:val="9"/>
    <w:semiHidden/>
    <w:rsid w:val="00F13CA1"/>
    <w:rPr>
      <w:rFonts w:ascii="Arial" w:eastAsia="Times New Roman" w:hAnsi="Arial" w:cs="Times New Roman"/>
      <w:bCs/>
      <w:sz w:val="24"/>
      <w:szCs w:val="36"/>
      <w:lang w:val="es-ES_tradnl" w:eastAsia="es-ES_tradnl"/>
    </w:rPr>
  </w:style>
  <w:style w:type="paragraph" w:styleId="Encabezado">
    <w:name w:val="header"/>
    <w:basedOn w:val="Normal"/>
    <w:link w:val="EncabezadoCar"/>
    <w:uiPriority w:val="99"/>
    <w:unhideWhenUsed/>
    <w:rsid w:val="00F13CA1"/>
    <w:pPr>
      <w:tabs>
        <w:tab w:val="center" w:pos="4419"/>
        <w:tab w:val="right" w:pos="8838"/>
      </w:tabs>
    </w:pPr>
  </w:style>
  <w:style w:type="character" w:customStyle="1" w:styleId="EncabezadoCar">
    <w:name w:val="Encabezado Car"/>
    <w:basedOn w:val="Fuentedeprrafopredeter"/>
    <w:link w:val="Encabezado"/>
    <w:uiPriority w:val="99"/>
    <w:rsid w:val="00F13CA1"/>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iPriority w:val="99"/>
    <w:unhideWhenUsed/>
    <w:rsid w:val="00F13CA1"/>
    <w:pPr>
      <w:tabs>
        <w:tab w:val="center" w:pos="4419"/>
        <w:tab w:val="right" w:pos="8838"/>
      </w:tabs>
    </w:pPr>
  </w:style>
  <w:style w:type="character" w:customStyle="1" w:styleId="PiedepginaCar">
    <w:name w:val="Pie de página Car"/>
    <w:basedOn w:val="Fuentedeprrafopredeter"/>
    <w:link w:val="Piedepgina"/>
    <w:uiPriority w:val="99"/>
    <w:rsid w:val="00F13CA1"/>
    <w:rPr>
      <w:rFonts w:ascii="Times New Roman" w:eastAsia="Times New Roman" w:hAnsi="Times New Roman" w:cs="Times New Roman"/>
      <w:sz w:val="24"/>
      <w:szCs w:val="24"/>
      <w:lang w:val="es-ES_tradnl" w:eastAsia="es-ES_tradnl"/>
    </w:rPr>
  </w:style>
  <w:style w:type="paragraph" w:styleId="Prrafodelista">
    <w:name w:val="List Paragraph"/>
    <w:basedOn w:val="Normal"/>
    <w:uiPriority w:val="34"/>
    <w:qFormat/>
    <w:rsid w:val="006C1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2145</Words>
  <Characters>11798</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José Domínguez Pallares</dc:creator>
  <cp:keywords/>
  <dc:description/>
  <cp:lastModifiedBy>Heisa Buelvas</cp:lastModifiedBy>
  <cp:revision>3</cp:revision>
  <dcterms:created xsi:type="dcterms:W3CDTF">2024-03-11T14:47:00Z</dcterms:created>
  <dcterms:modified xsi:type="dcterms:W3CDTF">2024-03-11T14:47:00Z</dcterms:modified>
</cp:coreProperties>
</file>