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3BA1F" w:sz="8" w:space="2"/>
        </w:pBdr>
        <w:spacing w:after="100" w:before="240"/>
      </w:pPr>
      <w:r>
        <w:rPr>
          <w:rFonts w:ascii="Arial" w:cs="Arial" w:eastAsia="Arial" w:hAnsi="Arial"/>
          <w:b/>
          <w:bCs/>
          <w:color w:val="93BA1F"/>
          <w:sz w:val="24"/>
          <w:szCs w:val="24"/>
        </w:rPr>
        <w:t xml:space="preserve">1  </w:t>
      </w:r>
      <w:r>
        <w:rPr>
          <w:rFonts w:ascii="Arial" w:cs="Arial" w:eastAsia="Arial" w:hAnsi="Arial"/>
          <w:b/>
          <w:bCs/>
          <w:color w:val="0E62AB"/>
          <w:sz w:val="22"/>
          <w:szCs w:val="22"/>
        </w:rPr>
        <w:t xml:space="preserve">OBJETIVO</w:t>
      </w:r>
    </w:p>
    <w:p>
      <w:pPr>
        <w:spacing w:after="80" w:before="0"/>
      </w:pPr>
      <w:r>
        <w:rPr>
          <w:rFonts w:ascii="Arial" w:cs="Arial" w:eastAsia="Arial" w:hAnsi="Arial"/>
          <w:color w:val="1F2A33"/>
          <w:sz w:val="19"/>
          <w:szCs w:val="19"/>
        </w:rPr>
        <w:t xml:space="preserve">Definir cómo se solicitan, aprueban, registran y pagan las vacaciones, permisos, licencias e incapacidades del personal de MOVID IPS S.A.S, de manera que todas las ausencias queden soportadas y el servicio a los pacientes nunca quede descubierto.</w:t>
      </w:r>
    </w:p>
    <w:p>
      <w:pPr>
        <w:pBdr>
          <w:bottom w:val="single" w:color="93BA1F" w:sz="8" w:space="2"/>
        </w:pBdr>
        <w:spacing w:after="100" w:before="240"/>
      </w:pPr>
      <w:r>
        <w:rPr>
          <w:rFonts w:ascii="Arial" w:cs="Arial" w:eastAsia="Arial" w:hAnsi="Arial"/>
          <w:b/>
          <w:bCs/>
          <w:color w:val="93BA1F"/>
          <w:sz w:val="24"/>
          <w:szCs w:val="24"/>
        </w:rPr>
        <w:t xml:space="preserve">2  </w:t>
      </w:r>
      <w:r>
        <w:rPr>
          <w:rFonts w:ascii="Arial" w:cs="Arial" w:eastAsia="Arial" w:hAnsi="Arial"/>
          <w:b/>
          <w:bCs/>
          <w:color w:val="0E62AB"/>
          <w:sz w:val="22"/>
          <w:szCs w:val="22"/>
        </w:rPr>
        <w:t xml:space="preserve">ALCANCE</w:t>
      </w:r>
    </w:p>
    <w:p>
      <w:pPr>
        <w:spacing w:after="80" w:before="0"/>
      </w:pPr>
      <w:r>
        <w:rPr>
          <w:rFonts w:ascii="Arial" w:cs="Arial" w:eastAsia="Arial" w:hAnsi="Arial"/>
          <w:color w:val="1F2A33"/>
          <w:sz w:val="19"/>
          <w:szCs w:val="19"/>
        </w:rPr>
        <w:t xml:space="preserve">Aplica a todos los trabajadores de MOVID IPS S.A.S, en todas sus sedes y turnos (administrativo, asistencial mañana y asistencial tarde). Inicia con la solicitud del trabajador y termina con el registro de la novedad en nómina y en la carpeta del trabajador.</w:t>
      </w:r>
    </w:p>
    <w:p>
      <w:pPr>
        <w:pBdr>
          <w:bottom w:val="single" w:color="93BA1F" w:sz="8" w:space="2"/>
        </w:pBdr>
        <w:spacing w:after="100" w:before="240"/>
      </w:pPr>
      <w:r>
        <w:rPr>
          <w:rFonts w:ascii="Arial" w:cs="Arial" w:eastAsia="Arial" w:hAnsi="Arial"/>
          <w:b/>
          <w:bCs/>
          <w:color w:val="93BA1F"/>
          <w:sz w:val="24"/>
          <w:szCs w:val="24"/>
        </w:rPr>
        <w:t xml:space="preserve">3  </w:t>
      </w:r>
      <w:r>
        <w:rPr>
          <w:rFonts w:ascii="Arial" w:cs="Arial" w:eastAsia="Arial" w:hAnsi="Arial"/>
          <w:b/>
          <w:bCs/>
          <w:color w:val="0E62AB"/>
          <w:sz w:val="22"/>
          <w:szCs w:val="22"/>
        </w:rPr>
        <w:t xml:space="preserve">RESPONSABLES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8000"/>
      </w:tblGrid>
      <w:tr>
        <w:trPr>
          <w:tblHeader/>
        </w:trPr>
        <w:tc>
          <w:tcPr>
            <w:tcW w:type="dxa" w:w="28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Rol</w:t>
            </w:r>
          </w:p>
        </w:tc>
        <w:tc>
          <w:tcPr>
            <w:tcW w:type="dxa" w:w="8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Responsabilidad</w:t>
            </w:r>
          </w:p>
        </w:tc>
      </w:tr>
      <w:tr>
        <w:tc>
          <w:tcPr>
            <w:tcW w:type="dxa" w:w="2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Trabajador</w:t>
            </w:r>
          </w:p>
        </w:tc>
        <w:tc>
          <w:tcPr>
            <w:tcW w:type="dxa" w:w="8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Solicitar por escrito y en los plazos; entregar los soportes.</w:t>
            </w:r>
          </w:p>
        </w:tc>
      </w:tr>
      <w:tr>
        <w:tc>
          <w:tcPr>
            <w:tcW w:type="dxa" w:w="2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Jefe inmediato o líder de área</w:t>
            </w:r>
          </w:p>
        </w:tc>
        <w:tc>
          <w:tcPr>
            <w:tcW w:type="dxa" w:w="8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Verificar la cobertura del puesto y dar visto bueno.</w:t>
            </w:r>
          </w:p>
        </w:tc>
      </w:tr>
      <w:tr>
        <w:tc>
          <w:tcPr>
            <w:tcW w:type="dxa" w:w="2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Dirección IPS</w:t>
            </w:r>
          </w:p>
        </w:tc>
        <w:tc>
          <w:tcPr>
            <w:tcW w:type="dxa" w:w="8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Aprobar vacaciones y licencias no remuneradas.</w:t>
            </w:r>
          </w:p>
        </w:tc>
      </w:tr>
      <w:tr>
        <w:tc>
          <w:tcPr>
            <w:tcW w:type="dxa" w:w="2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Gestión Humana</w:t>
            </w:r>
          </w:p>
        </w:tc>
        <w:tc>
          <w:tcPr>
            <w:tcW w:type="dxa" w:w="8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Registrar, archivar, reportar a nómina y tramitar ante EPS o ARL.</w:t>
            </w:r>
          </w:p>
        </w:tc>
      </w:tr>
      <w:tr>
        <w:tc>
          <w:tcPr>
            <w:tcW w:type="dxa" w:w="2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Nómina o contabilidad</w:t>
            </w:r>
          </w:p>
        </w:tc>
        <w:tc>
          <w:tcPr>
            <w:tcW w:type="dxa" w:w="8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Liquidar, pagar o descontar según lo aprobado.</w:t>
            </w:r>
          </w:p>
        </w:tc>
      </w:tr>
      <w:tr>
        <w:tc>
          <w:tcPr>
            <w:tcW w:type="dxa" w:w="2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Responsable del SG-SST</w:t>
            </w:r>
          </w:p>
        </w:tc>
        <w:tc>
          <w:tcPr>
            <w:tcW w:type="dxa" w:w="8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Reportar e investigar accidentes de trabajo junto con el COPASST.</w:t>
            </w:r>
          </w:p>
        </w:tc>
      </w:tr>
    </w:tbl>
    <w:p>
      <w:pPr>
        <w:spacing w:after="80" w:before="0"/>
      </w:pPr>
      <w:r>
        <w:rPr>
          <w:rFonts w:ascii="Arial" w:cs="Arial" w:eastAsia="Arial" w:hAnsi="Arial"/>
          <w:color w:val="1F2A33"/>
          <w:sz w:val="19"/>
          <w:szCs w:val="19"/>
        </w:rPr>
        <w:t xml:space="preserve"/>
      </w:r>
    </w:p>
    <w:p>
      <w:pPr>
        <w:pBdr>
          <w:bottom w:val="single" w:color="93BA1F" w:sz="8" w:space="2"/>
        </w:pBdr>
        <w:spacing w:after="100" w:before="240"/>
      </w:pPr>
      <w:r>
        <w:rPr>
          <w:rFonts w:ascii="Arial" w:cs="Arial" w:eastAsia="Arial" w:hAnsi="Arial"/>
          <w:b/>
          <w:bCs/>
          <w:color w:val="93BA1F"/>
          <w:sz w:val="24"/>
          <w:szCs w:val="24"/>
        </w:rPr>
        <w:t xml:space="preserve">4  </w:t>
      </w:r>
      <w:r>
        <w:rPr>
          <w:rFonts w:ascii="Arial" w:cs="Arial" w:eastAsia="Arial" w:hAnsi="Arial"/>
          <w:b/>
          <w:bCs/>
          <w:color w:val="0E62AB"/>
          <w:sz w:val="22"/>
          <w:szCs w:val="22"/>
        </w:rPr>
        <w:t xml:space="preserve">DEFINICIONES</w:t>
      </w:r>
    </w:p>
    <w:p>
      <w:pPr>
        <w:pStyle w:val="ListParagraph"/>
        <w:numPr>
          <w:ilvl w:val="0"/>
          <w:numId w:val="2"/>
        </w:numPr>
        <w:spacing w:after="40"/>
      </w:pPr>
      <w:r>
        <w:rPr>
          <w:rFonts w:ascii="Arial" w:cs="Arial" w:eastAsia="Arial" w:hAnsi="Arial"/>
          <w:b/>
          <w:bCs/>
          <w:color w:val="1F2A33"/>
          <w:sz w:val="19"/>
          <w:szCs w:val="19"/>
        </w:rPr>
        <w:t xml:space="preserve">Vacaciones: </w:t>
      </w:r>
      <w:r>
        <w:rPr>
          <w:rFonts w:ascii="Arial" w:cs="Arial" w:eastAsia="Arial" w:hAnsi="Arial"/>
          <w:color w:val="1F2A33"/>
          <w:sz w:val="19"/>
          <w:szCs w:val="19"/>
        </w:rPr>
        <w:t xml:space="preserve">descanso remunerado de 15 días hábiles por cada año de servicio.</w:t>
      </w:r>
    </w:p>
    <w:p>
      <w:pPr>
        <w:pStyle w:val="ListParagraph"/>
        <w:numPr>
          <w:ilvl w:val="0"/>
          <w:numId w:val="2"/>
        </w:numPr>
        <w:spacing w:after="40"/>
      </w:pPr>
      <w:r>
        <w:rPr>
          <w:rFonts w:ascii="Arial" w:cs="Arial" w:eastAsia="Arial" w:hAnsi="Arial"/>
          <w:b/>
          <w:bCs/>
          <w:color w:val="1F2A33"/>
          <w:sz w:val="19"/>
          <w:szCs w:val="19"/>
        </w:rPr>
        <w:t xml:space="preserve">Permiso: </w:t>
      </w:r>
      <w:r>
        <w:rPr>
          <w:rFonts w:ascii="Arial" w:cs="Arial" w:eastAsia="Arial" w:hAnsi="Arial"/>
          <w:color w:val="1F2A33"/>
          <w:sz w:val="19"/>
          <w:szCs w:val="19"/>
        </w:rPr>
        <w:t xml:space="preserve">ausencia corta (horas o un día) por un motivo personal, autorizada previamente.</w:t>
      </w:r>
    </w:p>
    <w:p>
      <w:pPr>
        <w:pStyle w:val="ListParagraph"/>
        <w:numPr>
          <w:ilvl w:val="0"/>
          <w:numId w:val="2"/>
        </w:numPr>
        <w:spacing w:after="40"/>
      </w:pPr>
      <w:r>
        <w:rPr>
          <w:rFonts w:ascii="Arial" w:cs="Arial" w:eastAsia="Arial" w:hAnsi="Arial"/>
          <w:b/>
          <w:bCs/>
          <w:color w:val="1F2A33"/>
          <w:sz w:val="19"/>
          <w:szCs w:val="19"/>
        </w:rPr>
        <w:t xml:space="preserve">Licencia: </w:t>
      </w:r>
      <w:r>
        <w:rPr>
          <w:rFonts w:ascii="Arial" w:cs="Arial" w:eastAsia="Arial" w:hAnsi="Arial"/>
          <w:color w:val="1F2A33"/>
          <w:sz w:val="19"/>
          <w:szCs w:val="19"/>
        </w:rPr>
        <w:t xml:space="preserve">ausencia reconocida por la ley o por el RIT, remunerada o no.</w:t>
      </w:r>
    </w:p>
    <w:p>
      <w:pPr>
        <w:pStyle w:val="ListParagraph"/>
        <w:numPr>
          <w:ilvl w:val="0"/>
          <w:numId w:val="2"/>
        </w:numPr>
        <w:spacing w:after="40"/>
      </w:pPr>
      <w:r>
        <w:rPr>
          <w:rFonts w:ascii="Arial" w:cs="Arial" w:eastAsia="Arial" w:hAnsi="Arial"/>
          <w:b/>
          <w:bCs/>
          <w:color w:val="1F2A33"/>
          <w:sz w:val="19"/>
          <w:szCs w:val="19"/>
        </w:rPr>
        <w:t xml:space="preserve">Incapacidad: </w:t>
      </w:r>
      <w:r>
        <w:rPr>
          <w:rFonts w:ascii="Arial" w:cs="Arial" w:eastAsia="Arial" w:hAnsi="Arial"/>
          <w:color w:val="1F2A33"/>
          <w:sz w:val="19"/>
          <w:szCs w:val="19"/>
        </w:rPr>
        <w:t xml:space="preserve">ausencia por enfermedad o accidente certificada por la EPS o la ARL.</w:t>
      </w:r>
    </w:p>
    <w:p>
      <w:pPr>
        <w:pStyle w:val="ListParagraph"/>
        <w:numPr>
          <w:ilvl w:val="0"/>
          <w:numId w:val="2"/>
        </w:numPr>
        <w:spacing w:after="40"/>
      </w:pPr>
      <w:r>
        <w:rPr>
          <w:rFonts w:ascii="Arial" w:cs="Arial" w:eastAsia="Arial" w:hAnsi="Arial"/>
          <w:b/>
          <w:bCs/>
          <w:color w:val="1F2A33"/>
          <w:sz w:val="19"/>
          <w:szCs w:val="19"/>
        </w:rPr>
        <w:t xml:space="preserve">Calamidad doméstica: </w:t>
      </w:r>
      <w:r>
        <w:rPr>
          <w:rFonts w:ascii="Arial" w:cs="Arial" w:eastAsia="Arial" w:hAnsi="Arial"/>
          <w:color w:val="1F2A33"/>
          <w:sz w:val="19"/>
          <w:szCs w:val="19"/>
        </w:rPr>
        <w:t xml:space="preserve">hecho grave e imprevisto que afecta al trabajador o a su familia hasta el tercer grado de consanguinidad, segundo de afinidad o primero civil.</w:t>
      </w:r>
    </w:p>
    <w:p>
      <w:pPr>
        <w:pStyle w:val="ListParagraph"/>
        <w:numPr>
          <w:ilvl w:val="0"/>
          <w:numId w:val="2"/>
        </w:numPr>
        <w:spacing w:after="40"/>
      </w:pPr>
      <w:r>
        <w:rPr>
          <w:rFonts w:ascii="Arial" w:cs="Arial" w:eastAsia="Arial" w:hAnsi="Arial"/>
          <w:b/>
          <w:bCs/>
          <w:color w:val="1F2A33"/>
          <w:sz w:val="19"/>
          <w:szCs w:val="19"/>
        </w:rPr>
        <w:t xml:space="preserve">Novedad: </w:t>
      </w:r>
      <w:r>
        <w:rPr>
          <w:rFonts w:ascii="Arial" w:cs="Arial" w:eastAsia="Arial" w:hAnsi="Arial"/>
          <w:color w:val="1F2A33"/>
          <w:sz w:val="19"/>
          <w:szCs w:val="19"/>
        </w:rPr>
        <w:t xml:space="preserve">todo evento que modifica el pago o el tiempo laborado del mes.</w:t>
      </w:r>
    </w:p>
    <w:p>
      <w:pPr>
        <w:pBdr>
          <w:bottom w:val="single" w:color="93BA1F" w:sz="8" w:space="2"/>
        </w:pBdr>
        <w:spacing w:after="100" w:before="240"/>
      </w:pPr>
      <w:r>
        <w:rPr>
          <w:rFonts w:ascii="Arial" w:cs="Arial" w:eastAsia="Arial" w:hAnsi="Arial"/>
          <w:b/>
          <w:bCs/>
          <w:color w:val="93BA1F"/>
          <w:sz w:val="24"/>
          <w:szCs w:val="24"/>
        </w:rPr>
        <w:t xml:space="preserve">5  </w:t>
      </w:r>
      <w:r>
        <w:rPr>
          <w:rFonts w:ascii="Arial" w:cs="Arial" w:eastAsia="Arial" w:hAnsi="Arial"/>
          <w:b/>
          <w:bCs/>
          <w:color w:val="0E62AB"/>
          <w:sz w:val="22"/>
          <w:szCs w:val="22"/>
        </w:rPr>
        <w:t xml:space="preserve">MARCO NORMATIVO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7200"/>
      </w:tblGrid>
      <w:tr>
        <w:trPr>
          <w:tblHeader/>
        </w:trPr>
        <w:tc>
          <w:tcPr>
            <w:tcW w:type="dxa" w:w="3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Norma</w:t>
            </w:r>
          </w:p>
        </w:tc>
        <w:tc>
          <w:tcPr>
            <w:tcW w:type="dxa" w:w="72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Tema</w:t>
            </w:r>
          </w:p>
        </w:tc>
      </w:tr>
      <w:t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Código Sustantivo del Trabajo, Arts. 57, 186 a 192, 236 a 238</w:t>
            </w:r>
          </w:p>
        </w:tc>
        <w:tc>
          <w:tcPr>
            <w:tcW w:type="dxa" w:w="7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Obligaciones del empleador, vacaciones, maternidad, lactancia</w:t>
            </w:r>
          </w:p>
        </w:tc>
      </w:tr>
      <w:tr>
        <w:tc>
          <w:tcPr>
            <w:tcW w:type="dxa" w:w="3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Reglamento Interno de Trabajo MOVID, Caps. VIII a XIII</w:t>
            </w:r>
          </w:p>
        </w:tc>
        <w:tc>
          <w:tcPr>
            <w:tcW w:type="dxa" w:w="7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Vacaciones, permisos, licencias, servicios médicos e incapacidades</w:t>
            </w:r>
          </w:p>
        </w:tc>
      </w:tr>
      <w:t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Ley 1429 de 2010</w:t>
            </w:r>
          </w:p>
        </w:tc>
        <w:tc>
          <w:tcPr>
            <w:tcW w:type="dxa" w:w="7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Compensación de vacaciones en dinero hasta la mitad</w:t>
            </w:r>
          </w:p>
        </w:tc>
      </w:tr>
      <w:tr>
        <w:tc>
          <w:tcPr>
            <w:tcW w:type="dxa" w:w="3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Ley 2114 de 2021</w:t>
            </w:r>
          </w:p>
        </w:tc>
        <w:tc>
          <w:tcPr>
            <w:tcW w:type="dxa" w:w="7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Licencias de maternidad y paternidad</w:t>
            </w:r>
          </w:p>
        </w:tc>
      </w:tr>
      <w:t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Ley 1280 de 2009</w:t>
            </w:r>
          </w:p>
        </w:tc>
        <w:tc>
          <w:tcPr>
            <w:tcW w:type="dxa" w:w="7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Licencia por luto</w:t>
            </w:r>
          </w:p>
        </w:tc>
      </w:tr>
      <w:tr>
        <w:tc>
          <w:tcPr>
            <w:tcW w:type="dxa" w:w="3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Ley 1857 de 2017</w:t>
            </w:r>
          </w:p>
        </w:tc>
        <w:tc>
          <w:tcPr>
            <w:tcW w:type="dxa" w:w="7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Jornada familiar semestral</w:t>
            </w:r>
          </w:p>
        </w:tc>
      </w:tr>
      <w:t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Decreto 1072 de 2015</w:t>
            </w:r>
          </w:p>
        </w:tc>
        <w:tc>
          <w:tcPr>
            <w:tcW w:type="dxa" w:w="7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Reporte e investigación de accidentes de trabajo</w:t>
            </w:r>
          </w:p>
        </w:tc>
      </w:tr>
    </w:tbl>
    <w:p>
      <w:pPr>
        <w:spacing w:after="80" w:before="0"/>
      </w:pPr>
      <w:r>
        <w:rPr>
          <w:rFonts w:ascii="Arial" w:cs="Arial" w:eastAsia="Arial" w:hAnsi="Arial"/>
          <w:color w:val="1F2A33"/>
          <w:sz w:val="19"/>
          <w:szCs w:val="19"/>
        </w:rPr>
        <w:t xml:space="preserve"/>
      </w:r>
    </w:p>
    <w:p>
      <w:pPr>
        <w:pBdr>
          <w:bottom w:val="single" w:color="93BA1F" w:sz="8" w:space="2"/>
        </w:pBdr>
        <w:spacing w:after="100" w:before="240"/>
      </w:pPr>
      <w:r>
        <w:rPr>
          <w:rFonts w:ascii="Arial" w:cs="Arial" w:eastAsia="Arial" w:hAnsi="Arial"/>
          <w:b/>
          <w:bCs/>
          <w:color w:val="93BA1F"/>
          <w:sz w:val="24"/>
          <w:szCs w:val="24"/>
        </w:rPr>
        <w:t xml:space="preserve">6  </w:t>
      </w:r>
      <w:r>
        <w:rPr>
          <w:rFonts w:ascii="Arial" w:cs="Arial" w:eastAsia="Arial" w:hAnsi="Arial"/>
          <w:b/>
          <w:bCs/>
          <w:color w:val="0E62AB"/>
          <w:sz w:val="22"/>
          <w:szCs w:val="22"/>
        </w:rPr>
        <w:t xml:space="preserve">DESARROLLO</w:t>
      </w:r>
    </w:p>
    <w:p>
      <w:pPr>
        <w:spacing w:after="60" w:before="160"/>
      </w:pPr>
      <w:r>
        <w:rPr>
          <w:rFonts w:ascii="Arial" w:cs="Arial" w:eastAsia="Arial" w:hAnsi="Arial"/>
          <w:b/>
          <w:bCs/>
          <w:color w:val="03A279"/>
          <w:sz w:val="20"/>
          <w:szCs w:val="20"/>
        </w:rPr>
        <w:t xml:space="preserve">6.1 Reglas generales</w:t>
      </w:r>
    </w:p>
    <w:p>
      <w:pPr>
        <w:pStyle w:val="ListParagraph"/>
        <w:numPr>
          <w:ilvl w:val="0"/>
          <w:numId w:val="3"/>
        </w:numPr>
        <w:spacing w:after="50"/>
      </w:pPr>
      <w:r>
        <w:rPr>
          <w:rFonts w:ascii="Arial" w:cs="Arial" w:eastAsia="Arial" w:hAnsi="Arial"/>
          <w:color w:val="1F2A33"/>
          <w:sz w:val="19"/>
          <w:szCs w:val="19"/>
        </w:rPr>
        <w:t xml:space="preserve">Ninguna ausencia se entiende aprobada sin respuesta escrita (formato firmado o correo).</w:t>
      </w:r>
    </w:p>
    <w:p>
      <w:pPr>
        <w:pStyle w:val="ListParagraph"/>
        <w:numPr>
          <w:ilvl w:val="0"/>
          <w:numId w:val="3"/>
        </w:numPr>
        <w:spacing w:after="50"/>
      </w:pPr>
      <w:r>
        <w:rPr>
          <w:rFonts w:ascii="Arial" w:cs="Arial" w:eastAsia="Arial" w:hAnsi="Arial"/>
          <w:color w:val="1F2A33"/>
          <w:sz w:val="19"/>
          <w:szCs w:val="19"/>
        </w:rPr>
        <w:t xml:space="preserve">Toda ausencia aprobada se registra el mismo día en el formato GH-FT-03.</w:t>
      </w:r>
    </w:p>
    <w:p>
      <w:pPr>
        <w:pStyle w:val="ListParagraph"/>
        <w:numPr>
          <w:ilvl w:val="0"/>
          <w:numId w:val="3"/>
        </w:numPr>
        <w:spacing w:after="50"/>
      </w:pPr>
      <w:r>
        <w:rPr>
          <w:rFonts w:ascii="Arial" w:cs="Arial" w:eastAsia="Arial" w:hAnsi="Arial"/>
          <w:color w:val="1F2A33"/>
          <w:sz w:val="19"/>
          <w:szCs w:val="19"/>
        </w:rPr>
        <w:t xml:space="preserve">Se aprueba primero a quien primero solicitó, siempre que el servicio quede cubierto (RIT Art. 36).</w:t>
      </w:r>
    </w:p>
    <w:p>
      <w:pPr>
        <w:pStyle w:val="ListParagraph"/>
        <w:numPr>
          <w:ilvl w:val="0"/>
          <w:numId w:val="3"/>
        </w:numPr>
        <w:spacing w:after="50"/>
      </w:pPr>
      <w:r>
        <w:rPr>
          <w:rFonts w:ascii="Arial" w:cs="Arial" w:eastAsia="Arial" w:hAnsi="Arial"/>
          <w:color w:val="1F2A33"/>
          <w:sz w:val="19"/>
          <w:szCs w:val="19"/>
        </w:rPr>
        <w:t xml:space="preserve">Faltar sin permiso ni excusa es falta disciplinaria (RIT Art. 82).</w:t>
      </w:r>
    </w:p>
    <w:p>
      <w:pPr>
        <w:pStyle w:val="ListParagraph"/>
        <w:numPr>
          <w:ilvl w:val="0"/>
          <w:numId w:val="3"/>
        </w:numPr>
        <w:spacing w:after="50"/>
      </w:pPr>
      <w:r>
        <w:rPr>
          <w:rFonts w:ascii="Arial" w:cs="Arial" w:eastAsia="Arial" w:hAnsi="Arial"/>
          <w:color w:val="1F2A33"/>
          <w:sz w:val="19"/>
          <w:szCs w:val="19"/>
        </w:rPr>
        <w:t xml:space="preserve">Toda negativa se explica por escrito. Negar sin razón un derecho puede constituir acoso laboral (RIT Art. 98 m).</w:t>
      </w:r>
    </w:p>
    <w:p>
      <w:pPr>
        <w:spacing w:after="60" w:before="160"/>
      </w:pPr>
      <w:r>
        <w:rPr>
          <w:rFonts w:ascii="Arial" w:cs="Arial" w:eastAsia="Arial" w:hAnsi="Arial"/>
          <w:b/>
          <w:bCs/>
          <w:color w:val="03A279"/>
          <w:sz w:val="20"/>
          <w:szCs w:val="20"/>
        </w:rPr>
        <w:t xml:space="preserve">6.2 Vacaciones</w:t>
      </w:r>
    </w:p>
    <w:p>
      <w:pPr>
        <w:spacing w:after="80" w:before="0"/>
      </w:pPr>
      <w:r>
        <w:rPr>
          <w:rFonts w:ascii="Arial" w:cs="Arial" w:eastAsia="Arial" w:hAnsi="Arial"/>
          <w:color w:val="1F2A33"/>
          <w:sz w:val="19"/>
          <w:szCs w:val="19"/>
        </w:rPr>
        <w:t xml:space="preserve">Cada año completo de servicio da derecho a 15 días hábiles de vacaciones pagadas; el sábado cuenta como día hábil (RIT Art. 28). Si el contrato es menor de un año o termina antes, se reconocen en proporción al tiempo trabajado.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800"/>
        <w:gridCol w:w="2000"/>
        <w:gridCol w:w="1700"/>
        <w:gridCol w:w="1700"/>
      </w:tblGrid>
      <w:tr>
        <w:trPr>
          <w:tblHeader/>
        </w:trPr>
        <w:tc>
          <w:tcPr>
            <w:tcW w:type="dxa" w:w="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N.º</w:t>
            </w:r>
          </w:p>
        </w:tc>
        <w:tc>
          <w:tcPr>
            <w:tcW w:type="dxa" w:w="48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Actividad</w:t>
            </w:r>
          </w:p>
        </w:tc>
        <w:tc>
          <w:tcPr>
            <w:tcW w:type="dxa" w:w="2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Responsable</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Plazo</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Registro</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1</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Publicar el cuadro anual de vacaciones con los días pendientes de cada trabajador</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Enero</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GH-FT-02</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2</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Proponer fechas del equipo sin que coincidan dos personas del mismo puesto</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Líder de área</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Enero</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GH-FT-02</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3</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Diligenciar la solicitud de vacaciones</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15 días antes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4</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Confirmar quién cubre el puesto y dar visto bueno</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Jefe inmediato</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 días hábiles</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5</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Aprobar o proponer nueva fecha por escrito</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Dirección IPS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3 días hábiles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6</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Registrar fechas y enviar la novedad a nómina</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Al aprobar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GH-FT-02 y 03</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7</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Pagar las vacaciones antes de la salida</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Nómina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Antes del inicio</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Comprobante de pago</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8</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Presentarse a trabajar en la fecha de regreso</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Fecha indicada</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bl>
    <w:p>
      <w:pPr>
        <w:spacing w:after="80" w:before="0"/>
      </w:pPr>
      <w:r>
        <w:rPr>
          <w:rFonts w:ascii="Arial" w:cs="Arial" w:eastAsia="Arial" w:hAnsi="Arial"/>
          <w:color w:val="1F2A33"/>
          <w:sz w:val="19"/>
          <w:szCs w:val="19"/>
        </w:rPr>
        <w:t xml:space="preserve"/>
      </w:r>
    </w:p>
    <w:p>
      <w:pPr>
        <w:spacing w:after="80" w:before="0"/>
      </w:pPr>
      <w:r>
        <w:rPr>
          <w:rFonts w:ascii="Arial" w:cs="Arial" w:eastAsia="Arial" w:hAnsi="Arial"/>
          <w:b/>
          <w:bCs/>
          <w:color w:val="1F2A33"/>
          <w:sz w:val="19"/>
          <w:szCs w:val="19"/>
        </w:rPr>
        <w:t xml:space="preserve">Condiciones: </w:t>
      </w:r>
      <w:r>
        <w:rPr>
          <w:rFonts w:ascii="Arial" w:cs="Arial" w:eastAsia="Arial" w:hAnsi="Arial"/>
          <w:color w:val="1F2A33"/>
          <w:sz w:val="19"/>
          <w:szCs w:val="19"/>
        </w:rPr>
        <w:t xml:space="preserve">mínimo 6 días hábiles seguidos al año; el resto se puede acumular hasta por 2 años (4 para cargos técnicos, de confianza o de manejo). Hasta 7 días pueden pagarse en dinero si el trabajador lo pide por escrito y la empresa lo autoriza. Se liquidan con el salario ordinario vigente al salir (promedio del último año si es variable), sin horas extra, dominicales ni auxilio de transporte. Si durante las vacaciones llega una incapacidad o licencia, se interrumpen y se reprograman. Al terminar el contrato, las pendientes se pagan en la liquidación.</w:t>
      </w:r>
    </w:p>
    <w:p>
      <w:pPr>
        <w:spacing w:after="60" w:before="160"/>
      </w:pPr>
      <w:r>
        <w:rPr>
          <w:rFonts w:ascii="Arial" w:cs="Arial" w:eastAsia="Arial" w:hAnsi="Arial"/>
          <w:b/>
          <w:bCs/>
          <w:color w:val="03A279"/>
          <w:sz w:val="20"/>
          <w:szCs w:val="20"/>
        </w:rPr>
        <w:t xml:space="preserve">6.3 Permisos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800"/>
        <w:gridCol w:w="2000"/>
        <w:gridCol w:w="1700"/>
        <w:gridCol w:w="1700"/>
      </w:tblGrid>
      <w:tr>
        <w:trPr>
          <w:tblHeader/>
        </w:trPr>
        <w:tc>
          <w:tcPr>
            <w:tcW w:type="dxa" w:w="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N.º</w:t>
            </w:r>
          </w:p>
        </w:tc>
        <w:tc>
          <w:tcPr>
            <w:tcW w:type="dxa" w:w="48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Actividad</w:t>
            </w:r>
          </w:p>
        </w:tc>
        <w:tc>
          <w:tcPr>
            <w:tcW w:type="dxa" w:w="2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Responsable</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Plazo</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Registro</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1</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Diligenciar la solicitud con motivo, fecha y horas</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24 horas antes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2</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Adjuntar el soporte (citación, cita médica, constancia)</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Con la solicitud o al regresar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3</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Verificar cobertura y que no coincida con descargos o sanción; aprobar o negar</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Jefe inmediato</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El mismo día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4</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Definir si se descuenta o se compensa (permisos voluntarios)</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Jefe inmediato</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Antes de la salida</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GH-FT-01</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5</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Registrar la novedad</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El mismo día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GH-FT-03</w:t>
            </w:r>
          </w:p>
        </w:tc>
      </w:tr>
    </w:tbl>
    <w:p>
      <w:pPr>
        <w:spacing w:after="80" w:before="0"/>
      </w:pPr>
      <w:r>
        <w:rPr>
          <w:rFonts w:ascii="Arial" w:cs="Arial" w:eastAsia="Arial" w:hAnsi="Arial"/>
          <w:color w:val="1F2A33"/>
          <w:sz w:val="19"/>
          <w:szCs w:val="19"/>
        </w:rPr>
        <w:t xml:space="preserve"/>
      </w:r>
    </w:p>
    <w:p>
      <w:pPr>
        <w:spacing w:after="80" w:before="0"/>
      </w:pPr>
      <w:r>
        <w:rPr>
          <w:rFonts w:ascii="Arial" w:cs="Arial" w:eastAsia="Arial" w:hAnsi="Arial"/>
          <w:b/>
          <w:bCs/>
          <w:color w:val="1F2A33"/>
          <w:sz w:val="19"/>
          <w:szCs w:val="19"/>
        </w:rPr>
        <w:t xml:space="preserve">Calamidad doméstica grave: </w:t>
      </w:r>
      <w:r>
        <w:rPr>
          <w:rFonts w:ascii="Arial" w:cs="Arial" w:eastAsia="Arial" w:hAnsi="Arial"/>
          <w:color w:val="1F2A33"/>
          <w:sz w:val="19"/>
          <w:szCs w:val="19"/>
        </w:rPr>
        <w:t xml:space="preserve">no se exigen las 24 horas. El trabajador avisa al jefe apenas pueda y entrega los soportes al regresar (RIT Art. 36 #1).</w:t>
      </w:r>
    </w:p>
    <w:p>
      <w:pPr>
        <w:spacing w:after="60" w:before="160"/>
      </w:pPr>
      <w:r>
        <w:rPr>
          <w:rFonts w:ascii="Arial" w:cs="Arial" w:eastAsia="Arial" w:hAnsi="Arial"/>
          <w:b/>
          <w:bCs/>
          <w:color w:val="03A279"/>
          <w:sz w:val="20"/>
          <w:szCs w:val="20"/>
        </w:rPr>
        <w:t xml:space="preserve">6.4 Licencias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300"/>
        <w:gridCol w:w="1300"/>
        <w:gridCol w:w="3300"/>
      </w:tblGrid>
      <w:tr>
        <w:trPr>
          <w:tblHeader/>
        </w:trPr>
        <w:tc>
          <w:tcPr>
            <w:tcW w:type="dxa" w:w="29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Licencia</w:t>
            </w:r>
          </w:p>
        </w:tc>
        <w:tc>
          <w:tcPr>
            <w:tcW w:type="dxa" w:w="33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Duración</w:t>
            </w:r>
          </w:p>
        </w:tc>
        <w:tc>
          <w:tcPr>
            <w:tcW w:type="dxa" w:w="13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Paga</w:t>
            </w:r>
          </w:p>
        </w:tc>
        <w:tc>
          <w:tcPr>
            <w:tcW w:type="dxa" w:w="33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Soporte</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Luto</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5 días hábiles</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civil de defunción y prueba de parentesco (30 días)</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Maternidad</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18 semanas; +2 por parto múltiple o hijo con discapacidad</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EPS</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Certificado médico y registro civil</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Paternidad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 semanas</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EPS</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civil (ante la EPS en 30 días)</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Aborto o parto no viable</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 a 4 semanas</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EPS</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Certificado médico</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Lactancia</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 descansos de 30 min diarios (6 meses); 1 hasta los 2 años</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civil del bebé</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Calamidad doméstica</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Tiempo razonable según el caso</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Soporte del hecho</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Cita médica urgente o especialista</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Tiempo de la cita</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Constancia EPS/ARL con hora</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Votación</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Medio día compensatorio</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Certificado electoral</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Jurado o cargo público obligatorio</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Tiempo necesario</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Resolución o certificado</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Citación judicial o administrativa</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Tiempo necesario</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Copia de la citación</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Reunión escolar obligatoria</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Tiempo necesario</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Citación del colegio</w:t>
            </w:r>
          </w:p>
        </w:tc>
      </w:tr>
      <w:tr>
        <w:tc>
          <w:tcPr>
            <w:tcW w:type="dxa" w:w="29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Uso de bicicleta</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1 día cada 6 meses, si se acuerda</w:t>
            </w:r>
          </w:p>
        </w:tc>
        <w:tc>
          <w:tcPr>
            <w:tcW w:type="dxa" w:w="1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33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de llegadas</w:t>
            </w:r>
          </w:p>
        </w:tc>
      </w:tr>
      <w:tr>
        <w:tc>
          <w:tcPr>
            <w:tcW w:type="dxa" w:w="29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No remunerada</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La que se acuerde</w:t>
            </w:r>
          </w:p>
        </w:tc>
        <w:tc>
          <w:tcPr>
            <w:tcW w:type="dxa" w:w="1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No se paga</w:t>
            </w:r>
          </w:p>
        </w:tc>
        <w:tc>
          <w:tcPr>
            <w:tcW w:type="dxa" w:w="3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Solicitud escrita 5 días antes</w:t>
            </w:r>
          </w:p>
        </w:tc>
      </w:tr>
    </w:tbl>
    <w:p>
      <w:pPr>
        <w:spacing w:after="80" w:before="0"/>
      </w:pPr>
      <w:r>
        <w:rPr>
          <w:rFonts w:ascii="Arial" w:cs="Arial" w:eastAsia="Arial" w:hAnsi="Arial"/>
          <w:color w:val="1F2A33"/>
          <w:sz w:val="19"/>
          <w:szCs w:val="19"/>
        </w:rPr>
        <w:t xml:space="preserve"/>
      </w:r>
    </w:p>
    <w:p>
      <w:pPr>
        <w:spacing w:after="80" w:before="0"/>
      </w:pPr>
      <w:r>
        <w:rPr>
          <w:rFonts w:ascii="Arial" w:cs="Arial" w:eastAsia="Arial" w:hAnsi="Arial"/>
          <w:color w:val="1F2A33"/>
          <w:sz w:val="19"/>
          <w:szCs w:val="19"/>
        </w:rPr>
        <w:t xml:space="preserve">La licencia no remunerada la aprueba la Dirección IPS o la Gerencia (RIT Art. 45); durante ella el contrato se suspende y ese tiempo no cuenta para vacaciones ni prestaciones. Gestión Humana programa cada semestre la jornada familiar (Ley 1857 de 2017).</w:t>
      </w:r>
    </w:p>
    <w:p>
      <w:pPr>
        <w:spacing w:after="60" w:before="160"/>
      </w:pPr>
      <w:r>
        <w:rPr>
          <w:rFonts w:ascii="Arial" w:cs="Arial" w:eastAsia="Arial" w:hAnsi="Arial"/>
          <w:b/>
          <w:bCs/>
          <w:color w:val="03A279"/>
          <w:sz w:val="20"/>
          <w:szCs w:val="20"/>
        </w:rPr>
        <w:t xml:space="preserve">6.5 Incapacidades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800"/>
        <w:gridCol w:w="2000"/>
        <w:gridCol w:w="1700"/>
        <w:gridCol w:w="1700"/>
      </w:tblGrid>
      <w:tr>
        <w:trPr>
          <w:tblHeader/>
        </w:trPr>
        <w:tc>
          <w:tcPr>
            <w:tcW w:type="dxa" w:w="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N.º</w:t>
            </w:r>
          </w:p>
        </w:tc>
        <w:tc>
          <w:tcPr>
            <w:tcW w:type="dxa" w:w="48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Actividad</w:t>
            </w:r>
          </w:p>
        </w:tc>
        <w:tc>
          <w:tcPr>
            <w:tcW w:type="dxa" w:w="2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Responsable</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Plazo</w:t>
            </w:r>
          </w:p>
        </w:tc>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Registro</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1</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Avisar al jefe inmediato</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Inmediato, máx. 24 horas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Mensaje o llamada</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2</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Consultar en la EPS; transcribir si lo atendió un médico particular</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Inmediato</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Certificado EPS</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3</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Informar la duración de la incapacidad</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Día hábil siguiente</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GH-FT-03</w:t>
            </w:r>
          </w:p>
        </w:tc>
      </w:tr>
      <w:tr>
        <w:tc>
          <w:tcPr>
            <w:tcW w:type="dxa" w:w="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4</w:t>
            </w:r>
          </w:p>
        </w:tc>
        <w:tc>
          <w:tcPr>
            <w:tcW w:type="dxa" w:w="48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Entregar original o transcripción con soportes</w:t>
            </w:r>
          </w:p>
        </w:tc>
        <w:tc>
          <w:tcPr>
            <w:tcW w:type="dxa" w:w="2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Máx. 3 días hábiles</w:t>
            </w:r>
          </w:p>
        </w:tc>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Carpeta</w:t>
            </w:r>
          </w:p>
        </w:tc>
      </w:tr>
      <w:tr>
        <w:tc>
          <w:tcPr>
            <w:tcW w:type="dxa" w:w="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5</w:t>
            </w:r>
          </w:p>
        </w:tc>
        <w:tc>
          <w:tcPr>
            <w:tcW w:type="dxa" w:w="48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Radicar ante la EPS y hacer seguimiento al pago</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Según EPS</w:t>
            </w:r>
          </w:p>
        </w:tc>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GH-FT-03</w:t>
            </w:r>
          </w:p>
        </w:tc>
      </w:tr>
    </w:tbl>
    <w:p>
      <w:pPr>
        <w:spacing w:after="80" w:before="0"/>
      </w:pPr>
      <w:r>
        <w:rPr>
          <w:rFonts w:ascii="Arial" w:cs="Arial" w:eastAsia="Arial" w:hAnsi="Arial"/>
          <w:color w:val="1F2A33"/>
          <w:sz w:val="19"/>
          <w:szCs w:val="19"/>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4200"/>
      </w:tblGrid>
      <w:tr>
        <w:trPr>
          <w:tblHeader/>
        </w:trPr>
        <w:tc>
          <w:tcPr>
            <w:tcW w:type="dxa" w:w="3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Días de incapacidad</w:t>
            </w:r>
          </w:p>
        </w:tc>
        <w:tc>
          <w:tcPr>
            <w:tcW w:type="dxa" w:w="3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Quién paga</w:t>
            </w:r>
          </w:p>
        </w:tc>
        <w:tc>
          <w:tcPr>
            <w:tcW w:type="dxa" w:w="42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Valor</w:t>
            </w:r>
          </w:p>
        </w:tc>
      </w:tr>
      <w:tr>
        <w:tc>
          <w:tcPr>
            <w:tcW w:type="dxa" w:w="3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1 y 2</w:t>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MOVID</w:t>
            </w:r>
          </w:p>
        </w:tc>
        <w:tc>
          <w:tcPr>
            <w:tcW w:type="dxa" w:w="4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66,67 % del salario</w:t>
            </w:r>
          </w:p>
        </w:tc>
      </w:tr>
      <w:tr>
        <w:tc>
          <w:tcPr>
            <w:tcW w:type="dxa" w:w="3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3 a 180</w:t>
            </w:r>
          </w:p>
        </w:tc>
        <w:tc>
          <w:tcPr>
            <w:tcW w:type="dxa" w:w="3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EPS</w:t>
            </w:r>
          </w:p>
        </w:tc>
        <w:tc>
          <w:tcPr>
            <w:tcW w:type="dxa" w:w="4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66,67 % (nunca menos de un SMMLV)</w:t>
            </w:r>
          </w:p>
        </w:tc>
      </w:tr>
      <w:tr>
        <w:tc>
          <w:tcPr>
            <w:tcW w:type="dxa" w:w="3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181 en adelante</w:t>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Fondo de pensiones</w:t>
            </w:r>
          </w:p>
        </w:tc>
        <w:tc>
          <w:tcPr>
            <w:tcW w:type="dxa" w:w="4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Según concepto de rehabilitación</w:t>
            </w:r>
          </w:p>
        </w:tc>
      </w:tr>
      <w:tr>
        <w:tc>
          <w:tcPr>
            <w:tcW w:type="dxa" w:w="3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Origen laboral</w:t>
            </w:r>
          </w:p>
        </w:tc>
        <w:tc>
          <w:tcPr>
            <w:tcW w:type="dxa" w:w="36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ARL</w:t>
            </w:r>
          </w:p>
        </w:tc>
        <w:tc>
          <w:tcPr>
            <w:tcW w:type="dxa" w:w="4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100 % desde el día siguiente al evento</w:t>
            </w:r>
          </w:p>
        </w:tc>
      </w:tr>
    </w:tbl>
    <w:p>
      <w:pPr>
        <w:spacing w:after="80" w:before="0"/>
      </w:pPr>
      <w:r>
        <w:rPr>
          <w:rFonts w:ascii="Arial" w:cs="Arial" w:eastAsia="Arial" w:hAnsi="Arial"/>
          <w:color w:val="1F2A33"/>
          <w:sz w:val="19"/>
          <w:szCs w:val="19"/>
        </w:rPr>
        <w:t xml:space="preserve"/>
      </w:r>
    </w:p>
    <w:p>
      <w:pPr>
        <w:spacing w:after="80" w:before="0"/>
      </w:pPr>
      <w:r>
        <w:rPr>
          <w:rFonts w:ascii="Arial" w:cs="Arial" w:eastAsia="Arial" w:hAnsi="Arial"/>
          <w:color w:val="1F2A33"/>
          <w:sz w:val="19"/>
          <w:szCs w:val="19"/>
        </w:rPr>
        <w:t xml:space="preserve">Solo vale el certificado de la EPS o la ARL (RIT Art. 65). No entregar la incapacidad a tiempo por tercera vez es falta grave (RIT Art. 83 #32 i). El embarazo se informa por escrito apenas se conozca (RIT Art. 54 par. 4).</w:t>
      </w:r>
    </w:p>
    <w:p>
      <w:pPr>
        <w:spacing w:after="60" w:before="160"/>
      </w:pPr>
      <w:r>
        <w:rPr>
          <w:rFonts w:ascii="Arial" w:cs="Arial" w:eastAsia="Arial" w:hAnsi="Arial"/>
          <w:b/>
          <w:bCs/>
          <w:color w:val="03A279"/>
          <w:sz w:val="20"/>
          <w:szCs w:val="20"/>
        </w:rPr>
        <w:t xml:space="preserve">6.6 Accidentes de trabajo</w:t>
      </w:r>
    </w:p>
    <w:p>
      <w:pPr>
        <w:pStyle w:val="ListParagraph"/>
        <w:numPr>
          <w:ilvl w:val="0"/>
          <w:numId w:val="4"/>
        </w:numPr>
        <w:spacing w:after="50"/>
      </w:pPr>
      <w:r>
        <w:rPr>
          <w:rFonts w:ascii="Arial" w:cs="Arial" w:eastAsia="Arial" w:hAnsi="Arial"/>
          <w:color w:val="1F2A33"/>
          <w:sz w:val="19"/>
          <w:szCs w:val="19"/>
        </w:rPr>
        <w:t xml:space="preserve">Prestar primeros auxilios y avisar de inmediato al jefe y al responsable del SG-SST, aunque el evento parezca leve (RIT Arts. 57 y 58).</w:t>
      </w:r>
    </w:p>
    <w:p>
      <w:pPr>
        <w:pStyle w:val="ListParagraph"/>
        <w:numPr>
          <w:ilvl w:val="0"/>
          <w:numId w:val="4"/>
        </w:numPr>
        <w:spacing w:after="50"/>
      </w:pPr>
      <w:r>
        <w:rPr>
          <w:rFonts w:ascii="Arial" w:cs="Arial" w:eastAsia="Arial" w:hAnsi="Arial"/>
          <w:color w:val="1F2A33"/>
          <w:sz w:val="19"/>
          <w:szCs w:val="19"/>
        </w:rPr>
        <w:t xml:space="preserve">Diligenciar el reporte de accidente (FURAT) y enviarlo a la ARL y a la EPS dentro de las 48 horas (RIT Art. 59).</w:t>
      </w:r>
    </w:p>
    <w:p>
      <w:pPr>
        <w:pStyle w:val="ListParagraph"/>
        <w:numPr>
          <w:ilvl w:val="0"/>
          <w:numId w:val="4"/>
        </w:numPr>
        <w:spacing w:after="50"/>
      </w:pPr>
      <w:r>
        <w:rPr>
          <w:rFonts w:ascii="Arial" w:cs="Arial" w:eastAsia="Arial" w:hAnsi="Arial"/>
          <w:color w:val="1F2A33"/>
          <w:sz w:val="19"/>
          <w:szCs w:val="19"/>
        </w:rPr>
        <w:t xml:space="preserve">El trabajador asiste a la IPS indicada por la ARL con copia del reporte.</w:t>
      </w:r>
    </w:p>
    <w:p>
      <w:pPr>
        <w:pStyle w:val="ListParagraph"/>
        <w:numPr>
          <w:ilvl w:val="0"/>
          <w:numId w:val="4"/>
        </w:numPr>
        <w:spacing w:after="50"/>
      </w:pPr>
      <w:r>
        <w:rPr>
          <w:rFonts w:ascii="Arial" w:cs="Arial" w:eastAsia="Arial" w:hAnsi="Arial"/>
          <w:color w:val="1F2A33"/>
          <w:sz w:val="19"/>
          <w:szCs w:val="19"/>
        </w:rPr>
        <w:t xml:space="preserve">Investigar el accidente con el COPASST dentro de los 15 días siguientes, según el procedimiento del SG-SST.</w:t>
      </w:r>
    </w:p>
    <w:p>
      <w:pPr>
        <w:pBdr>
          <w:bottom w:val="single" w:color="93BA1F" w:sz="8" w:space="2"/>
        </w:pBdr>
        <w:spacing w:after="100" w:before="240"/>
      </w:pPr>
      <w:r>
        <w:rPr>
          <w:rFonts w:ascii="Arial" w:cs="Arial" w:eastAsia="Arial" w:hAnsi="Arial"/>
          <w:b/>
          <w:bCs/>
          <w:color w:val="93BA1F"/>
          <w:sz w:val="24"/>
          <w:szCs w:val="24"/>
        </w:rPr>
        <w:t xml:space="preserve">7  </w:t>
      </w:r>
      <w:r>
        <w:rPr>
          <w:rFonts w:ascii="Arial" w:cs="Arial" w:eastAsia="Arial" w:hAnsi="Arial"/>
          <w:b/>
          <w:bCs/>
          <w:color w:val="0E62AB"/>
          <w:sz w:val="22"/>
          <w:szCs w:val="22"/>
        </w:rPr>
        <w:t xml:space="preserve">TIEMPOS DE RESPUESTA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400"/>
        <w:gridCol w:w="3400"/>
      </w:tblGrid>
      <w:tr>
        <w:trPr>
          <w:tblHeader/>
        </w:trPr>
        <w:tc>
          <w:tcPr>
            <w:tcW w:type="dxa" w:w="4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Solicitud</w:t>
            </w:r>
          </w:p>
        </w:tc>
        <w:tc>
          <w:tcPr>
            <w:tcW w:type="dxa" w:w="34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Se pide con</w:t>
            </w:r>
          </w:p>
        </w:tc>
        <w:tc>
          <w:tcPr>
            <w:tcW w:type="dxa" w:w="34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Respuesta máxima</w:t>
            </w:r>
          </w:p>
        </w:tc>
      </w:tr>
      <w:tr>
        <w:tc>
          <w:tcPr>
            <w:tcW w:type="dxa" w:w="4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Vacaciones</w:t>
            </w:r>
          </w:p>
        </w:tc>
        <w:tc>
          <w:tcPr>
            <w:tcW w:type="dxa" w:w="3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15 días</w:t>
            </w:r>
          </w:p>
        </w:tc>
        <w:tc>
          <w:tcPr>
            <w:tcW w:type="dxa" w:w="3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5 días hábiles</w:t>
            </w:r>
          </w:p>
        </w:tc>
      </w:tr>
      <w:tr>
        <w:tc>
          <w:tcPr>
            <w:tcW w:type="dxa" w:w="4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Permiso</w:t>
            </w:r>
          </w:p>
        </w:tc>
        <w:tc>
          <w:tcPr>
            <w:tcW w:type="dxa" w:w="3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24 horas</w:t>
            </w:r>
          </w:p>
        </w:tc>
        <w:tc>
          <w:tcPr>
            <w:tcW w:type="dxa" w:w="3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El mismo día</w:t>
            </w:r>
          </w:p>
        </w:tc>
      </w:tr>
      <w:tr>
        <w:tc>
          <w:tcPr>
            <w:tcW w:type="dxa" w:w="4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Licencia no remunerada</w:t>
            </w:r>
          </w:p>
        </w:tc>
        <w:tc>
          <w:tcPr>
            <w:tcW w:type="dxa" w:w="3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5 días</w:t>
            </w:r>
          </w:p>
        </w:tc>
        <w:tc>
          <w:tcPr>
            <w:tcW w:type="dxa" w:w="3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3 días hábiles</w:t>
            </w:r>
          </w:p>
        </w:tc>
      </w:tr>
      <w:tr>
        <w:tc>
          <w:tcPr>
            <w:tcW w:type="dxa" w:w="40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Licencias remuneradas e incapacidades</w:t>
            </w:r>
          </w:p>
        </w:tc>
        <w:tc>
          <w:tcPr>
            <w:tcW w:type="dxa" w:w="3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Aviso inmediato</w:t>
            </w:r>
          </w:p>
        </w:tc>
        <w:tc>
          <w:tcPr>
            <w:tcW w:type="dxa" w:w="3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Solo requieren soporte</w:t>
            </w:r>
          </w:p>
        </w:tc>
      </w:tr>
    </w:tbl>
    <w:p>
      <w:pPr>
        <w:spacing w:after="80" w:before="0"/>
      </w:pPr>
      <w:r>
        <w:rPr>
          <w:rFonts w:ascii="Arial" w:cs="Arial" w:eastAsia="Arial" w:hAnsi="Arial"/>
          <w:color w:val="1F2A33"/>
          <w:sz w:val="19"/>
          <w:szCs w:val="19"/>
        </w:rPr>
        <w:t xml:space="preserve"/>
      </w:r>
    </w:p>
    <w:p>
      <w:pPr>
        <w:pBdr>
          <w:bottom w:val="single" w:color="93BA1F" w:sz="8" w:space="2"/>
        </w:pBdr>
        <w:spacing w:after="100" w:before="240"/>
      </w:pPr>
      <w:r>
        <w:rPr>
          <w:rFonts w:ascii="Arial" w:cs="Arial" w:eastAsia="Arial" w:hAnsi="Arial"/>
          <w:b/>
          <w:bCs/>
          <w:color w:val="93BA1F"/>
          <w:sz w:val="24"/>
          <w:szCs w:val="24"/>
        </w:rPr>
        <w:t xml:space="preserve">8  </w:t>
      </w:r>
      <w:r>
        <w:rPr>
          <w:rFonts w:ascii="Arial" w:cs="Arial" w:eastAsia="Arial" w:hAnsi="Arial"/>
          <w:b/>
          <w:bCs/>
          <w:color w:val="0E62AB"/>
          <w:sz w:val="22"/>
          <w:szCs w:val="22"/>
        </w:rPr>
        <w:t xml:space="preserve">DOCUMENTOS Y REGISTROS RELACIONADOS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00"/>
        <w:gridCol w:w="2200"/>
        <w:gridCol w:w="2400"/>
      </w:tblGrid>
      <w:tr>
        <w:trPr>
          <w:tblHeader/>
        </w:trPr>
        <w:tc>
          <w:tcPr>
            <w:tcW w:type="dxa" w:w="17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Código</w:t>
            </w:r>
          </w:p>
        </w:tc>
        <w:tc>
          <w:tcPr>
            <w:tcW w:type="dxa" w:w="45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Nombre</w:t>
            </w:r>
          </w:p>
        </w:tc>
        <w:tc>
          <w:tcPr>
            <w:tcW w:type="dxa" w:w="22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Responsable</w:t>
            </w:r>
          </w:p>
        </w:tc>
        <w:tc>
          <w:tcPr>
            <w:tcW w:type="dxa" w:w="24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Archivo</w:t>
            </w:r>
          </w:p>
        </w:tc>
      </w:tr>
      <w:tr>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GH-FT-01</w:t>
            </w:r>
          </w:p>
        </w:tc>
        <w:tc>
          <w:tcPr>
            <w:tcW w:type="dxa" w:w="45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Solicitud de ausencia</w:t>
            </w:r>
          </w:p>
        </w:tc>
        <w:tc>
          <w:tcPr>
            <w:tcW w:type="dxa" w:w="2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 / Jefe</w:t>
            </w:r>
          </w:p>
        </w:tc>
        <w:tc>
          <w:tcPr>
            <w:tcW w:type="dxa" w:w="2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Carpeta del trabajador</w:t>
            </w:r>
          </w:p>
        </w:tc>
      </w:tr>
      <w:tr>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GH-FT-02</w:t>
            </w:r>
          </w:p>
        </w:tc>
        <w:tc>
          <w:tcPr>
            <w:tcW w:type="dxa" w:w="45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de vacaciones</w:t>
            </w:r>
          </w:p>
        </w:tc>
        <w:tc>
          <w:tcPr>
            <w:tcW w:type="dxa" w:w="2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2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Carpeta de Gestión Humana</w:t>
            </w:r>
          </w:p>
        </w:tc>
      </w:tr>
      <w:tr>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GH-FT-03</w:t>
            </w:r>
          </w:p>
        </w:tc>
        <w:tc>
          <w:tcPr>
            <w:tcW w:type="dxa" w:w="45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Registro mensual de novedades</w:t>
            </w:r>
          </w:p>
        </w:tc>
        <w:tc>
          <w:tcPr>
            <w:tcW w:type="dxa" w:w="2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Gestión Humana</w:t>
            </w:r>
          </w:p>
        </w:tc>
        <w:tc>
          <w:tcPr>
            <w:tcW w:type="dxa" w:w="2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Carpeta de nómina</w:t>
            </w:r>
          </w:p>
        </w:tc>
      </w:tr>
      <w:tr>
        <w:tc>
          <w:tcPr>
            <w:tcW w:type="dxa" w:w="17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GH-FT-04</w:t>
            </w:r>
          </w:p>
        </w:tc>
        <w:tc>
          <w:tcPr>
            <w:tcW w:type="dxa" w:w="45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Hoja de vida del trabajador</w:t>
            </w:r>
          </w:p>
        </w:tc>
        <w:tc>
          <w:tcPr>
            <w:tcW w:type="dxa" w:w="22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Trabajador</w:t>
            </w:r>
          </w:p>
        </w:tc>
        <w:tc>
          <w:tcPr>
            <w:tcW w:type="dxa" w:w="2400"/>
            <w:tcBorders>
              <w:top w:val="single" w:color="C5D3DF" w:sz="4"/>
              <w:left w:val="single" w:color="C5D3DF" w:sz="4"/>
              <w:bottom w:val="single" w:color="C5D3DF" w:sz="4"/>
              <w:right w:val="single" w:color="C5D3DF" w:sz="4"/>
            </w:tcBorders>
            <w:shd w:fill="F5F8FB" w:color="auto" w:val="clear"/>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Carpeta del trabajador</w:t>
            </w:r>
          </w:p>
        </w:tc>
      </w:tr>
      <w:tr>
        <w:tc>
          <w:tcPr>
            <w:tcW w:type="dxa" w:w="17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RIT</w:t>
            </w:r>
          </w:p>
        </w:tc>
        <w:tc>
          <w:tcPr>
            <w:tcW w:type="dxa" w:w="45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Reglamento Interno de Trabajo</w:t>
            </w:r>
          </w:p>
        </w:tc>
        <w:tc>
          <w:tcPr>
            <w:tcW w:type="dxa" w:w="22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Gerencia</w:t>
            </w:r>
          </w:p>
        </w:tc>
        <w:tc>
          <w:tcPr>
            <w:tcW w:type="dxa" w:w="24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Publicado</w:t>
            </w:r>
          </w:p>
        </w:tc>
      </w:tr>
    </w:tbl>
    <w:p>
      <w:pPr>
        <w:spacing w:after="80" w:before="0"/>
      </w:pPr>
      <w:r>
        <w:rPr>
          <w:rFonts w:ascii="Arial" w:cs="Arial" w:eastAsia="Arial" w:hAnsi="Arial"/>
          <w:color w:val="1F2A33"/>
          <w:sz w:val="19"/>
          <w:szCs w:val="19"/>
        </w:rPr>
        <w:t xml:space="preserve"/>
      </w:r>
    </w:p>
    <w:p>
      <w:pPr>
        <w:pBdr>
          <w:bottom w:val="single" w:color="93BA1F" w:sz="8" w:space="2"/>
        </w:pBdr>
        <w:spacing w:after="100" w:before="240"/>
      </w:pPr>
      <w:r>
        <w:rPr>
          <w:rFonts w:ascii="Arial" w:cs="Arial" w:eastAsia="Arial" w:hAnsi="Arial"/>
          <w:b/>
          <w:bCs/>
          <w:color w:val="93BA1F"/>
          <w:sz w:val="24"/>
          <w:szCs w:val="24"/>
        </w:rPr>
        <w:t xml:space="preserve">9  </w:t>
      </w:r>
      <w:r>
        <w:rPr>
          <w:rFonts w:ascii="Arial" w:cs="Arial" w:eastAsia="Arial" w:hAnsi="Arial"/>
          <w:b/>
          <w:bCs/>
          <w:color w:val="0E62AB"/>
          <w:sz w:val="22"/>
          <w:szCs w:val="22"/>
        </w:rPr>
        <w:t xml:space="preserve">CONTROL DE CAMBIOS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7300"/>
      </w:tblGrid>
      <w:tr>
        <w:trPr>
          <w:tblHeader/>
        </w:trPr>
        <w:tc>
          <w:tcPr>
            <w:tcW w:type="dxa" w:w="15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Versión</w:t>
            </w:r>
          </w:p>
        </w:tc>
        <w:tc>
          <w:tcPr>
            <w:tcW w:type="dxa" w:w="20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Fecha</w:t>
            </w:r>
          </w:p>
        </w:tc>
        <w:tc>
          <w:tcPr>
            <w:tcW w:type="dxa" w:w="73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pPr>
            <w:r>
              <w:rPr>
                <w:rFonts w:ascii="Arial" w:cs="Arial" w:eastAsia="Arial" w:hAnsi="Arial"/>
                <w:b/>
                <w:bCs/>
                <w:color w:val="FFFFFF"/>
                <w:sz w:val="17"/>
                <w:szCs w:val="17"/>
              </w:rPr>
              <w:t xml:space="preserve">Descripción</w:t>
            </w:r>
          </w:p>
        </w:tc>
      </w:tr>
      <w:tr>
        <w:tc>
          <w:tcPr>
            <w:tcW w:type="dxa" w:w="15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bCs/>
                <w:color w:val="1F2A33"/>
                <w:sz w:val="17"/>
                <w:szCs w:val="17"/>
              </w:rPr>
              <w:t xml:space="preserve">01</w:t>
            </w:r>
          </w:p>
        </w:tc>
        <w:tc>
          <w:tcPr>
            <w:tcW w:type="dxa" w:w="20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05/10/2026</w:t>
            </w:r>
          </w:p>
        </w:tc>
        <w:tc>
          <w:tcPr>
            <w:tcW w:type="dxa" w:w="73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b w:val="false"/>
                <w:bCs w:val="false"/>
                <w:color w:val="1F2A33"/>
                <w:sz w:val="17"/>
                <w:szCs w:val="17"/>
              </w:rPr>
              <w:t xml:space="preserve">Creación del documento.</w:t>
            </w:r>
          </w:p>
        </w:tc>
      </w:tr>
    </w:tbl>
    <w:p>
      <w:pPr>
        <w:spacing w:after="80" w:before="0"/>
      </w:pPr>
      <w:r>
        <w:rPr>
          <w:rFonts w:ascii="Arial" w:cs="Arial" w:eastAsia="Arial" w:hAnsi="Arial"/>
          <w:color w:val="1F2A33"/>
          <w:sz w:val="19"/>
          <w:szCs w:val="19"/>
        </w:rPr>
        <w:t xml:space="preserve"/>
      </w:r>
    </w:p>
    <w:p>
      <w:pPr>
        <w:spacing w:after="120" w:before="0"/>
      </w:pPr>
      <w:r>
        <w:rPr>
          <w:rFonts w:ascii="Arial" w:cs="Arial" w:eastAsia="Arial" w:hAnsi="Arial"/>
          <w:color w:val="1F2A33"/>
          <w:sz w:val="19"/>
          <w:szCs w:val="19"/>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tblGrid>
      <w:tr>
        <w:tc>
          <w:tcPr>
            <w:tcW w:type="dxa" w:w="3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FFFFFF"/>
                <w:sz w:val="16"/>
                <w:szCs w:val="16"/>
              </w:rPr>
              <w:t xml:space="preserve">ELABORÓ</w:t>
            </w:r>
          </w:p>
        </w:tc>
        <w:tc>
          <w:tcPr>
            <w:tcW w:type="dxa" w:w="3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FFFFFF"/>
                <w:sz w:val="16"/>
                <w:szCs w:val="16"/>
              </w:rPr>
              <w:t xml:space="preserve">REVISÓ</w:t>
            </w:r>
          </w:p>
        </w:tc>
        <w:tc>
          <w:tcPr>
            <w:tcW w:type="dxa" w:w="3600"/>
            <w:tcBorders>
              <w:top w:val="single" w:color="C5D3DF" w:sz="4"/>
              <w:left w:val="single" w:color="C5D3DF" w:sz="4"/>
              <w:bottom w:val="single" w:color="C5D3DF" w:sz="4"/>
              <w:right w:val="single" w:color="C5D3DF" w:sz="4"/>
            </w:tcBorders>
            <w:shd w:fill="0E62AB"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FFFFFF"/>
                <w:sz w:val="16"/>
                <w:szCs w:val="16"/>
              </w:rPr>
              <w:t xml:space="preserve">APROBÓ</w:t>
            </w:r>
          </w:p>
        </w:tc>
      </w:tr>
      <w:tr>
        <w:trPr>
          <w:trHeight w:val="800" w:hRule="atLeast"/>
        </w:trP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1F2A33"/>
                <w:sz w:val="19"/>
                <w:szCs w:val="19"/>
              </w:rPr>
              <w:t xml:space="preserve"/>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1F2A33"/>
                <w:sz w:val="19"/>
                <w:szCs w:val="19"/>
              </w:rPr>
              <w:t xml:space="preserve"/>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1F2A33"/>
                <w:sz w:val="19"/>
                <w:szCs w:val="19"/>
              </w:rPr>
              <w:t xml:space="preserve"/>
            </w:r>
          </w:p>
        </w:tc>
      </w:tr>
      <w:tr>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6D6E71"/>
                <w:sz w:val="15"/>
                <w:szCs w:val="15"/>
              </w:rPr>
              <w:t xml:space="preserve">Nombre:</w:t>
            </w:r>
          </w:p>
          <w:p>
            <w:pPr>
              <w:spacing w:after="0" w:before="0"/>
            </w:pPr>
            <w:r>
              <w:rPr>
                <w:rFonts w:ascii="Arial" w:cs="Arial" w:eastAsia="Arial" w:hAnsi="Arial"/>
                <w:color w:val="6D6E71"/>
                <w:sz w:val="15"/>
                <w:szCs w:val="15"/>
              </w:rPr>
              <w:t xml:space="preserve">Cargo: Gestión Humana</w:t>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6D6E71"/>
                <w:sz w:val="15"/>
                <w:szCs w:val="15"/>
              </w:rPr>
              <w:t xml:space="preserve">Nombre:</w:t>
            </w:r>
          </w:p>
          <w:p>
            <w:pPr>
              <w:spacing w:after="0" w:before="0"/>
            </w:pPr>
            <w:r>
              <w:rPr>
                <w:rFonts w:ascii="Arial" w:cs="Arial" w:eastAsia="Arial" w:hAnsi="Arial"/>
                <w:color w:val="6D6E71"/>
                <w:sz w:val="15"/>
                <w:szCs w:val="15"/>
              </w:rPr>
              <w:t xml:space="preserve">Cargo: Dirección IPS</w:t>
            </w:r>
          </w:p>
        </w:tc>
        <w:tc>
          <w:tcPr>
            <w:tcW w:type="dxa" w:w="3600"/>
            <w:tcBorders>
              <w:top w:val="single" w:color="C5D3DF" w:sz="4"/>
              <w:left w:val="single" w:color="C5D3DF" w:sz="4"/>
              <w:bottom w:val="single" w:color="C5D3DF" w:sz="4"/>
              <w:right w:val="single" w:color="C5D3DF" w:sz="4"/>
            </w:tcBorders>
            <w:tcMar>
              <w:top w:type="dxa" w:w="50"/>
              <w:left w:type="dxa" w:w="100"/>
              <w:bottom w:type="dxa" w:w="50"/>
              <w:right w:type="dxa" w:w="100"/>
            </w:tcMar>
            <w:vAlign w:val="center"/>
          </w:tcPr>
          <w:p>
            <w:pPr>
              <w:spacing w:after="0" w:before="0"/>
            </w:pPr>
            <w:r>
              <w:rPr>
                <w:rFonts w:ascii="Arial" w:cs="Arial" w:eastAsia="Arial" w:hAnsi="Arial"/>
                <w:color w:val="6D6E71"/>
                <w:sz w:val="15"/>
                <w:szCs w:val="15"/>
              </w:rPr>
              <w:t xml:space="preserve">Nombre:</w:t>
            </w:r>
          </w:p>
          <w:p>
            <w:pPr>
              <w:spacing w:after="0" w:before="0"/>
            </w:pPr>
            <w:r>
              <w:rPr>
                <w:rFonts w:ascii="Arial" w:cs="Arial" w:eastAsia="Arial" w:hAnsi="Arial"/>
                <w:color w:val="6D6E71"/>
                <w:sz w:val="15"/>
                <w:szCs w:val="15"/>
              </w:rPr>
              <w:t xml:space="preserve">Cargo: Gerencia General</w:t>
            </w:r>
          </w:p>
        </w:tc>
      </w:tr>
    </w:tbl>
    <w:sectPr>
      <w:headerReference w:type="default" r:id="rId7"/>
      <w:footerReference w:type="default" r:id="rId8"/>
      <w:pgSz w:w="12240" w:h="15840" w:orient="portrait"/>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D6E71"/>
        <w:sz w:val="13"/>
        <w:szCs w:val="13"/>
      </w:rPr>
      <w:t xml:space="preserve">MOVID IPS S.A.S · NIT 901.523.868-9 · Calle 86 N.º 50-63, Barranquilla · Documento controlado: la versión vigente es la del listado maestro.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5616"/>
      <w:gridCol w:w="2592"/>
    </w:tblGrid>
    <w:tr>
      <w:tc>
        <w:tcPr>
          <w:tcW w:type="dxa" w:w="2592"/>
          <w:vMerge w:val="restart"/>
          <w:tcBorders>
            <w:top w:val="single" w:color="0E62AB" w:sz="6"/>
            <w:left w:val="single" w:color="0E62AB" w:sz="6"/>
            <w:bottom w:val="single" w:color="0E62AB" w:sz="6"/>
            <w:right w:val="single" w:color="0E62AB" w:sz="6"/>
          </w:tcBorders>
          <w:tcMar>
            <w:top w:type="dxa" w:w="50"/>
            <w:left w:type="dxa" w:w="100"/>
            <w:bottom w:type="dxa" w:w="50"/>
            <w:right w:type="dxa" w:w="100"/>
          </w:tcMar>
          <w:vAlign w:val="center"/>
        </w:tcPr>
        <w:p>
          <w:pPr>
            <w:spacing w:after="0" w:before="0"/>
            <w:jc w:val="center"/>
          </w:pPr>
          <w:r>
            <w:drawing>
              <wp:inline distT="0" distB="0" distL="0" distR="0">
                <wp:extent cx="14287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33400"/>
                        </a:xfrm>
                        <a:prstGeom prst="rect">
                          <a:avLst/>
                        </a:prstGeom>
                      </pic:spPr>
                    </pic:pic>
                  </a:graphicData>
                </a:graphic>
              </wp:inline>
            </w:drawing>
          </w:r>
        </w:p>
      </w:tc>
      <w:tc>
        <w:tcPr>
          <w:tcW w:type="dxa" w:w="5616"/>
          <w:tcBorders>
            <w:top w:val="single" w:color="0E62AB" w:sz="6"/>
            <w:left w:val="single" w:color="0E62AB" w:sz="6"/>
            <w:bottom w:val="single" w:color="0E62AB" w:sz="6"/>
            <w:right w:val="single" w:color="0E62AB" w:sz="6"/>
          </w:tcBorders>
          <w:shd w:fill="0E62AB"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FFFFFF"/>
              <w:sz w:val="17"/>
              <w:szCs w:val="17"/>
            </w:rPr>
            <w:t xml:space="preserve">GESTIÓN HUMANA</w:t>
          </w:r>
        </w:p>
      </w:tc>
      <w:tc>
        <w:tcPr>
          <w:tcW w:type="dxa" w:w="2592"/>
          <w:vMerge w:val="restart"/>
          <w:tcBorders>
            <w:top w:val="single" w:color="0E62AB" w:sz="6"/>
            <w:left w:val="single" w:color="0E62AB" w:sz="6"/>
            <w:bottom w:val="single" w:color="0E62AB" w:sz="6"/>
            <w:right w:val="single" w:color="0E62AB" w:sz="6"/>
          </w:tcBorders>
          <w:tcMar>
            <w:top w:type="dxa" w:w="50"/>
            <w:left w:type="dxa" w:w="100"/>
            <w:bottom w:type="dxa" w:w="50"/>
            <w:right w:type="dxa" w:w="100"/>
          </w:tcMar>
          <w:vAlign w:val="center"/>
        </w:tcPr>
        <w:p>
          <w:pPr>
            <w:spacing w:after="20" w:before="0"/>
          </w:pPr>
          <w:r>
            <w:rPr>
              <w:rFonts w:ascii="Arial" w:cs="Arial" w:eastAsia="Arial" w:hAnsi="Arial"/>
              <w:color w:val="6D6E71"/>
              <w:sz w:val="15"/>
              <w:szCs w:val="15"/>
            </w:rPr>
            <w:t xml:space="preserve">Código: </w:t>
          </w:r>
          <w:r>
            <w:rPr>
              <w:rFonts w:ascii="Arial" w:cs="Arial" w:eastAsia="Arial" w:hAnsi="Arial"/>
              <w:b/>
              <w:bCs/>
              <w:color w:val="1F2A33"/>
              <w:sz w:val="15"/>
              <w:szCs w:val="15"/>
            </w:rPr>
            <w:t xml:space="preserve">GH-PR-01</w:t>
          </w:r>
        </w:p>
        <w:p>
          <w:pPr>
            <w:spacing w:after="20" w:before="0"/>
          </w:pPr>
          <w:r>
            <w:rPr>
              <w:rFonts w:ascii="Arial" w:cs="Arial" w:eastAsia="Arial" w:hAnsi="Arial"/>
              <w:color w:val="6D6E71"/>
              <w:sz w:val="15"/>
              <w:szCs w:val="15"/>
            </w:rPr>
            <w:t xml:space="preserve">Versión: </w:t>
          </w:r>
          <w:r>
            <w:rPr>
              <w:rFonts w:ascii="Arial" w:cs="Arial" w:eastAsia="Arial" w:hAnsi="Arial"/>
              <w:b/>
              <w:bCs/>
              <w:color w:val="1F2A33"/>
              <w:sz w:val="15"/>
              <w:szCs w:val="15"/>
            </w:rPr>
            <w:t xml:space="preserve">01</w:t>
          </w:r>
        </w:p>
        <w:p>
          <w:pPr>
            <w:spacing w:after="20" w:before="0"/>
          </w:pPr>
          <w:r>
            <w:rPr>
              <w:rFonts w:ascii="Arial" w:cs="Arial" w:eastAsia="Arial" w:hAnsi="Arial"/>
              <w:color w:val="6D6E71"/>
              <w:sz w:val="15"/>
              <w:szCs w:val="15"/>
            </w:rPr>
            <w:t xml:space="preserve">Fecha: </w:t>
          </w:r>
          <w:r>
            <w:rPr>
              <w:rFonts w:ascii="Arial" w:cs="Arial" w:eastAsia="Arial" w:hAnsi="Arial"/>
              <w:b/>
              <w:bCs/>
              <w:color w:val="1F2A33"/>
              <w:sz w:val="15"/>
              <w:szCs w:val="15"/>
            </w:rPr>
            <w:t xml:space="preserve">05/10/2026</w:t>
          </w:r>
        </w:p>
        <w:p>
          <w:pPr>
            <w:spacing w:after="0" w:before="0"/>
          </w:pPr>
          <w:r>
            <w:rPr>
              <w:rFonts w:ascii="Arial" w:cs="Arial" w:eastAsia="Arial" w:hAnsi="Arial"/>
              <w:color w:val="6D6E71"/>
              <w:sz w:val="15"/>
              <w:szCs w:val="15"/>
            </w:rPr>
            <w:t xml:space="preserve">Página: </w:t>
          </w:r>
          <w:r>
            <w:rPr>
              <w:rFonts w:ascii="Arial" w:cs="Arial" w:eastAsia="Arial" w:hAnsi="Arial"/>
              <w:b/>
              <w:bCs/>
              <w:sz w:val="15"/>
              <w:szCs w:val="15"/>
            </w:rPr>
            <w:fldChar w:fldCharType="begin"/>
            <w:instrText xml:space="preserve">PAGE</w:instrText>
            <w:fldChar w:fldCharType="separate"/>
            <w:fldChar w:fldCharType="end"/>
          </w:r>
          <w:r>
            <w:rPr>
              <w:rFonts w:ascii="Arial" w:cs="Arial" w:eastAsia="Arial" w:hAnsi="Arial"/>
              <w:color w:val="6D6E71"/>
              <w:sz w:val="15"/>
              <w:szCs w:val="15"/>
            </w:rPr>
            <w:t xml:space="preserve"> de </w:t>
          </w:r>
          <w:r>
            <w:rPr>
              <w:rFonts w:ascii="Arial" w:cs="Arial" w:eastAsia="Arial" w:hAnsi="Arial"/>
              <w:b/>
              <w:bCs/>
              <w:sz w:val="15"/>
              <w:szCs w:val="15"/>
            </w:rPr>
            <w:fldChar w:fldCharType="begin"/>
            <w:instrText xml:space="preserve">NUMPAGES</w:instrText>
            <w:fldChar w:fldCharType="separate"/>
            <w:fldChar w:fldCharType="end"/>
          </w:r>
        </w:p>
      </w:tc>
    </w:tr>
    <w:tr>
      <w:tc>
        <w:tcPr>
          <w:vMerge w:val="continue"/>
          <w:tcBorders>
            <w:top w:val="single" w:color="0E62AB" w:sz="6"/>
            <w:left w:val="single" w:color="0E62AB" w:sz="6"/>
            <w:bottom w:val="single" w:color="0E62AB" w:sz="6"/>
            <w:right w:val="single" w:color="0E62AB" w:sz="6"/>
          </w:tcBorders>
        </w:tcPr>
        <w:p/>
      </w:tc>
      <w:tc>
        <w:tcPr>
          <w:tcW w:type="dxa" w:w="5616"/>
          <w:tcBorders>
            <w:top w:val="single" w:color="0E62AB" w:sz="6"/>
            <w:left w:val="single" w:color="0E62AB" w:sz="6"/>
            <w:bottom w:val="single" w:color="0E62AB" w:sz="6"/>
            <w:right w:val="single" w:color="0E62AB" w:sz="6"/>
          </w:tcBorders>
          <w:tcMar>
            <w:top w:type="dxa" w:w="50"/>
            <w:left w:type="dxa" w:w="100"/>
            <w:bottom w:type="dxa" w:w="50"/>
            <w:right w:type="dxa" w:w="100"/>
          </w:tcMar>
          <w:vAlign w:val="center"/>
        </w:tcPr>
        <w:p>
          <w:pPr>
            <w:spacing w:after="0" w:before="0"/>
            <w:jc w:val="center"/>
          </w:pPr>
          <w:r>
            <w:rPr>
              <w:rFonts w:ascii="Arial" w:cs="Arial" w:eastAsia="Arial" w:hAnsi="Arial"/>
              <w:b/>
              <w:bCs/>
              <w:color w:val="0E62AB"/>
              <w:sz w:val="19"/>
              <w:szCs w:val="19"/>
            </w:rPr>
            <w:t xml:space="preserve">PROCEDIMIENTO DE VACACIONES, PERMISOS, LICENCIAS E INCAPACIDADES</w:t>
          </w:r>
        </w:p>
      </w:tc>
      <w:tc>
        <w:tcPr>
          <w:vMerge w:val="continue"/>
          <w:tcBorders>
            <w:top w:val="single" w:color="0E62AB" w:sz="6"/>
            <w:left w:val="single" w:color="0E62AB" w:sz="6"/>
            <w:bottom w:val="single" w:color="0E62AB" w:sz="6"/>
            <w:right w:val="single" w:color="0E62AB" w:sz="6"/>
          </w:tcBorders>
        </w:tcPr>
        <w:p/>
      </w:tc>
    </w:tr>
  </w:tbl>
  <w:p>
    <w:pPr>
      <w:spacing w:after="60" w:before="0"/>
    </w:pPr>
    <w:r>
      <w:rPr>
        <w:rFonts w:ascii="Arial" w:cs="Arial" w:eastAsia="Arial" w:hAnsi="Arial"/>
        <w:color w:val="1F2A33"/>
        <w:sz w:val="8"/>
        <w:szCs w:val="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c05dbddd66f00b7feb7c9829e0aef27c45b0e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2026-10-05T21:02:57.635Z</dcterms:created>
  <dcterms:modified xsi:type="dcterms:W3CDTF">2026-10-05T21:02:57.641Z</dcterms:modified>
</cp:coreProperties>
</file>

<file path=docProps/custom.xml><?xml version="1.0" encoding="utf-8"?>
<Properties xmlns="http://schemas.openxmlformats.org/officeDocument/2006/custom-properties" xmlns:vt="http://schemas.openxmlformats.org/officeDocument/2006/docPropsVTypes"/>
</file>