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5400"/>
        <w:gridCol w:w="1600"/>
        <w:gridCol w:w="5600"/>
      </w:tblGrid>
      <w:tr>
        <w:trPr>
          <w:trHeight w:val="440" w:hRule="atLeast"/>
        </w:trPr>
        <w:tc>
          <w:tcPr>
            <w:tcW w:type="dxa" w:w="1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Trabajador</w:t>
            </w:r>
          </w:p>
        </w:tc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Cédula</w:t>
            </w:r>
          </w:p>
        </w:tc>
        <w:tc>
          <w:tcPr>
            <w:tcW w:type="dxa" w:w="5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Cargo</w:t>
            </w:r>
          </w:p>
        </w:tc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Fecha de ingreso</w:t>
            </w:r>
          </w:p>
        </w:tc>
        <w:tc>
          <w:tcPr>
            <w:tcW w:type="dxa" w:w="5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___/___/______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F2A33"/>
          <w:sz w:val="8"/>
          <w:szCs w:val="8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200"/>
        <w:gridCol w:w="1300"/>
        <w:gridCol w:w="1300"/>
        <w:gridCol w:w="1200"/>
        <w:gridCol w:w="1300"/>
        <w:gridCol w:w="1200"/>
        <w:gridCol w:w="1500"/>
        <w:gridCol w:w="1300"/>
        <w:gridCol w:w="2000"/>
      </w:tblGrid>
      <w:tr>
        <w:trPr>
          <w:trHeight w:val="50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Período causado (desde – hasta)</w:t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Días a que tiene derecho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Fecha de salida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Fecha de regreso</w:t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Días disfrutados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Días pagados en dinero</w:t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Días pendientes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 pagado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Fecha de pago</w:t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Firma trabajador</w:t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i/>
          <w:iCs/>
          <w:color w:val="6D6E71"/>
          <w:sz w:val="15"/>
          <w:szCs w:val="15"/>
        </w:rPr>
        <w:t xml:space="preserve">Registro exigido por el RIT Art. 34. El sábado cuenta como día hábil. Mínimo 6 días hábiles continuos por año; máximo 7 días pagados en dinero por período.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D6E71"/>
        <w:sz w:val="13"/>
        <w:szCs w:val="13"/>
      </w:rPr>
      <w:t xml:space="preserve">MOVID IPS S.A.S · NIT 901.523.868-9 · Calle 86 N.º 50-63, Barranquilla · Documento controlado: la versión vigente es la del listado maestro.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456"/>
      <w:gridCol w:w="7488"/>
      <w:gridCol w:w="3456"/>
    </w:tblGrid>
    <w:tr>
      <w:tc>
        <w:tcPr>
          <w:tcW w:type="dxa" w:w="3456"/>
          <w:vMerge w:val="restart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1428750" cy="5334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88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shd w:fill="0E62AB" w:color="auto" w:val="clear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GESTIÓN HUMANA</w:t>
          </w:r>
        </w:p>
      </w:tc>
      <w:tc>
        <w:tcPr>
          <w:tcW w:type="dxa" w:w="3456"/>
          <w:vMerge w:val="restart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Código: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GH-FT-02</w:t>
          </w:r>
        </w:p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Versión: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01</w:t>
          </w:r>
        </w:p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Fecha: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05/10/2026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Página: </w:t>
          </w:r>
          <w:r>
            <w:rPr>
              <w:rFonts w:ascii="Arial" w:cs="Arial" w:eastAsia="Arial" w:hAnsi="Arial"/>
              <w:b/>
              <w:bCs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 de </w:t>
          </w:r>
          <w:r>
            <w:rPr>
              <w:rFonts w:ascii="Arial" w:cs="Arial" w:eastAsia="Arial" w:hAnsi="Arial"/>
              <w:b/>
              <w:bCs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  <w:tr>
      <w:tc>
        <w:tcPr>
          <w:vMerge w:val="continue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</w:tcPr>
        <w:p/>
      </w:tc>
      <w:tc>
        <w:tcPr>
          <w:tcW w:type="dxa" w:w="7488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color w:val="0E62AB"/>
              <w:sz w:val="19"/>
              <w:szCs w:val="19"/>
            </w:rPr>
            <w:t xml:space="preserve">REGISTRO DE VACACIONES</w:t>
          </w:r>
        </w:p>
      </w:tc>
      <w:tc>
        <w:tcPr>
          <w:vMerge w:val="continue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</w:tcPr>
        <w:p/>
      </w:tc>
    </w:tr>
  </w:tbl>
  <w:p>
    <w:pPr>
      <w:spacing w:after="60" w:before="0"/>
    </w:pPr>
    <w:r>
      <w:rPr>
        <w:rFonts w:ascii="Arial" w:cs="Arial" w:eastAsia="Arial" w:hAnsi="Arial"/>
        <w:color w:val="1F2A33"/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fc05dbddd66f00b7feb7c9829e0aef27c45b0e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2026-10-05T21:03:28.763Z</dcterms:created>
  <dcterms:modified xsi:type="dcterms:W3CDTF">2026-10-05T21:03:28.763Z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