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80"/>
        <w:jc w:val="left"/>
      </w:pPr>
      <w:r>
        <w:rPr>
          <w:rFonts w:ascii="Avenir Next" w:hAnsi="Avenir Next" w:eastAsia="Avenir Next"/>
          <w:b/>
          <w:i w:val="0"/>
          <w:color w:val="0057B8"/>
          <w:sz w:val="25"/>
          <w:lang w:val="en-US"/>
        </w:rPr>
        <w:t>SYSTEM DESIGN &amp; ENGINEERING PORTFOLIO</w:t>
      </w:r>
    </w:p>
    <w:p>
      <w:pPr>
        <w:spacing w:after="40"/>
        <w:jc w:val="left"/>
      </w:pPr>
      <w:r>
        <w:rPr>
          <w:rFonts w:ascii="Avenir Next" w:hAnsi="Avenir Next" w:eastAsia="Avenir Next"/>
          <w:b/>
          <w:i w:val="0"/>
          <w:color w:val="071B2E"/>
          <w:sz w:val="66"/>
          <w:lang w:val="en-US"/>
        </w:rPr>
        <w:t>Spring Boot</w:t>
      </w:r>
    </w:p>
    <w:p>
      <w:pPr>
        <w:spacing w:after="160"/>
        <w:jc w:val="left"/>
      </w:pPr>
      <w:r>
        <w:rPr>
          <w:rFonts w:ascii="Avenir Next" w:hAnsi="Avenir Next" w:eastAsia="Avenir Next"/>
          <w:b/>
          <w:i w:val="0"/>
          <w:color w:val="071B2E"/>
          <w:sz w:val="64"/>
          <w:lang w:val="en-US"/>
        </w:rPr>
        <w:t>E-Commerce Backend</w:t>
      </w:r>
    </w:p>
    <w:p>
      <w:pPr>
        <w:spacing w:after="160"/>
      </w:pPr>
      <w:r>
        <w:rPr>
          <w:rFonts w:ascii="Palatino" w:hAnsi="Palatino" w:eastAsia="Palatino"/>
          <w:b w:val="0"/>
          <w:i w:val="0"/>
          <w:color w:val="071B2E"/>
          <w:sz w:val="28"/>
          <w:lang w:val="en-US"/>
        </w:rPr>
        <w:t>Distributed transactions, stateful failover, event durability, Kubernetes recovery, observability, and software supply-chain security</w:t>
      </w:r>
    </w:p>
    <w:p>
      <w:pPr>
        <w:spacing w:after="360"/>
      </w:pPr>
      <w:r>
        <w:rPr>
          <w:rFonts w:ascii="Avenir Next" w:hAnsi="Avenir Next" w:eastAsia="Avenir Next"/>
          <w:b/>
          <w:i w:val="0"/>
          <w:color w:val="0A66FF"/>
          <w:sz w:val="20"/>
          <w:lang w:val="en-US"/>
        </w:rPr>
        <w:t>JAVA 25  |  SPRING BOOT 4.1.0  |  POSTGRESQL 17  |  REDIS 7  |  KAFKA 4.1.2  |  KUBERNETES 1.36.1</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2642"/>
        <w:gridCol w:w="2642"/>
        <w:gridCol w:w="2642"/>
        <w:gridCol w:w="2642"/>
      </w:tblGrid>
      <w:tr>
        <w:trPr>
          <w:cantSplit/>
        </w:trPr>
        <w:tc>
          <w:tcPr>
            <w:tcW w:type="dxa" w:w="2642"/>
            <w:shd w:fill="0B1F33"/>
            <w:tcMar>
              <w:top w:w="35" w:type="dxa"/>
              <w:start w:w="65" w:type="dxa"/>
              <w:bottom w:w="35" w:type="dxa"/>
              <w:end w:w="65" w:type="dxa"/>
            </w:tcMar>
            <w:tcBorders>
              <w:top w:val="single" w:sz="5" w:color="B8BDC7" w:space="0"/>
              <w:left w:val="single" w:sz="5" w:color="B8BDC7" w:space="0"/>
              <w:bottom w:val="single" w:sz="5" w:space="0" w:color="B8BDC7"/>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FFFFFF"/>
                <w:sz w:val="40"/>
                <w:lang w:val="en-US"/>
              </w:rPr>
              <w:t>146</w:t>
            </w:r>
          </w:p>
        </w:tc>
        <w:tc>
          <w:tcPr>
            <w:tcW w:type="dxa" w:w="2642"/>
            <w:shd w:fill="0B1F33"/>
            <w:tcMar>
              <w:top w:w="35" w:type="dxa"/>
              <w:start w:w="65" w:type="dxa"/>
              <w:bottom w:w="35" w:type="dxa"/>
              <w:end w:w="65" w:type="dxa"/>
            </w:tcMar>
            <w:tcBorders>
              <w:top w:val="single" w:sz="5" w:color="B8BDC7" w:space="0"/>
              <w:left w:val="single" w:sz="5" w:color="B8BDC7" w:space="0"/>
              <w:bottom w:val="single" w:sz="5" w:space="0" w:color="B8BDC7"/>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FFFFFF"/>
                <w:sz w:val="40"/>
                <w:lang w:val="en-US"/>
              </w:rPr>
              <w:t>3/3</w:t>
            </w:r>
          </w:p>
        </w:tc>
        <w:tc>
          <w:tcPr>
            <w:tcW w:type="dxa" w:w="2642"/>
            <w:shd w:fill="0B1F33"/>
            <w:tcMar>
              <w:top w:w="35" w:type="dxa"/>
              <w:start w:w="65" w:type="dxa"/>
              <w:bottom w:w="35" w:type="dxa"/>
              <w:end w:w="65" w:type="dxa"/>
            </w:tcMar>
            <w:tcBorders>
              <w:top w:val="single" w:sz="5" w:color="B8BDC7" w:space="0"/>
              <w:left w:val="single" w:sz="5" w:color="B8BDC7" w:space="0"/>
              <w:bottom w:val="single" w:sz="5" w:space="0" w:color="B8BDC7"/>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FFFFFF"/>
                <w:sz w:val="40"/>
                <w:lang w:val="en-US"/>
              </w:rPr>
              <w:t>3 / 3 / 3</w:t>
            </w:r>
          </w:p>
        </w:tc>
        <w:tc>
          <w:tcPr>
            <w:tcW w:type="dxa" w:w="2642"/>
            <w:shd w:fill="0B1F33"/>
            <w:tcMar>
              <w:top w:w="35" w:type="dxa"/>
              <w:start w:w="65" w:type="dxa"/>
              <w:bottom w:w="35" w:type="dxa"/>
              <w:end w:w="65" w:type="dxa"/>
            </w:tcMar>
            <w:tcBorders>
              <w:top w:val="single" w:sz="5" w:color="B8BDC7" w:space="0"/>
              <w:left w:val="single" w:sz="5" w:color="B8BDC7" w:space="0"/>
              <w:bottom w:val="single" w:sz="5" w:space="0" w:color="B8BDC7"/>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FFFFFF"/>
                <w:sz w:val="40"/>
                <w:lang w:val="en-US"/>
              </w:rPr>
              <w:t>v1.9.0</w:t>
            </w:r>
          </w:p>
        </w:tc>
      </w:tr>
      <w:tr>
        <w:trPr>
          <w:cantSplit/>
        </w:trPr>
        <w:tc>
          <w:tcPr>
            <w:tcW w:type="dxa" w:w="2642"/>
            <w:shd w:fill="F4F5F7"/>
            <w:tcMar>
              <w:top w:w="35" w:type="dxa"/>
              <w:start w:w="65" w:type="dxa"/>
              <w:bottom w:w="35" w:type="dxa"/>
              <w:end w:w="65" w:type="dxa"/>
            </w:tcMar>
            <w:tcBorders>
              <w:top w:val="single" w:sz="5" w:space="0" w:color="B8BDC7"/>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4"/>
                <w:lang w:val="en-US"/>
              </w:rPr>
              <w:t>AUTOMATED TESTS</w:t>
            </w:r>
          </w:p>
        </w:tc>
        <w:tc>
          <w:tcPr>
            <w:tcW w:type="dxa" w:w="2642"/>
            <w:shd w:fill="F4F5F7"/>
            <w:tcMar>
              <w:top w:w="35" w:type="dxa"/>
              <w:start w:w="65" w:type="dxa"/>
              <w:bottom w:w="35" w:type="dxa"/>
              <w:end w:w="65" w:type="dxa"/>
            </w:tcMar>
            <w:tcBorders>
              <w:top w:val="single" w:sz="5" w:space="0" w:color="B8BDC7"/>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4"/>
                <w:lang w:val="en-US"/>
              </w:rPr>
              <w:t>APP REPLICAS</w:t>
            </w:r>
          </w:p>
        </w:tc>
        <w:tc>
          <w:tcPr>
            <w:tcW w:type="dxa" w:w="2642"/>
            <w:shd w:fill="F4F5F7"/>
            <w:tcMar>
              <w:top w:w="35" w:type="dxa"/>
              <w:start w:w="65" w:type="dxa"/>
              <w:bottom w:w="35" w:type="dxa"/>
              <w:end w:w="65" w:type="dxa"/>
            </w:tcMar>
            <w:tcBorders>
              <w:top w:val="single" w:sz="5" w:space="0" w:color="B8BDC7"/>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4"/>
                <w:lang w:val="en-US"/>
              </w:rPr>
              <w:t>PG / KAFKA / REDIS DATA NODES</w:t>
            </w:r>
          </w:p>
        </w:tc>
        <w:tc>
          <w:tcPr>
            <w:tcW w:type="dxa" w:w="2642"/>
            <w:shd w:fill="F4F5F7"/>
            <w:tcMar>
              <w:top w:w="35" w:type="dxa"/>
              <w:start w:w="65" w:type="dxa"/>
              <w:bottom w:w="35" w:type="dxa"/>
              <w:end w:w="65" w:type="dxa"/>
            </w:tcMar>
            <w:tcBorders>
              <w:top w:val="single" w:sz="5" w:space="0" w:color="B8BDC7"/>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4"/>
                <w:lang w:val="en-US"/>
              </w:rPr>
              <w:t>CURRENT RELEASE</w:t>
            </w:r>
          </w:p>
        </w:tc>
      </w:tr>
    </w:tbl>
    <w:tbl>
      <w:tblPr>
        <w:tblW w:type="auto" w:w="0"/>
        <w:jc w:val="center"/>
        <w:tblLayout w:type="fixed"/>
        <w:tblLook w:firstColumn="1" w:firstRow="1" w:lastColumn="0" w:lastRow="0" w:noHBand="0" w:noVBand="1" w:val="04A0"/>
        <w:tblBorders>
          <w:top w:val="single" w:sz="8" w:space="0" w:color="0057B8"/>
          <w:left w:val="single" w:sz="8" w:space="0" w:color="0057B8"/>
          <w:bottom w:val="single" w:sz="8" w:space="0" w:color="0057B8"/>
          <w:right w:val="single" w:sz="8" w:space="0" w:color="0057B8"/>
          <w:insideH w:val="single" w:sz="8" w:space="0" w:color="0057B8"/>
          <w:insideV w:val="single" w:sz="8" w:space="0" w:color="0057B8"/>
        </w:tblBorders>
      </w:tblPr>
      <w:tblGrid>
        <w:gridCol w:w="10570"/>
      </w:tblGrid>
      <w:tr>
        <w:trPr>
          <w:cantSplit/>
        </w:trPr>
        <w:tc>
          <w:tcPr>
            <w:tcW w:type="dxa" w:w="10080"/>
            <w:shd w:fill="F4F5F7"/>
            <w:tcMar>
              <w:top w:w="35" w:type="dxa"/>
              <w:start w:w="65" w:type="dxa"/>
              <w:bottom w:w="35" w:type="dxa"/>
              <w:end w:w="65" w:type="dxa"/>
            </w:tcMar>
            <w:tcBorders>
              <w:top w:val="single" w:sz="8" w:color="0057B8" w:space="0"/>
              <w:left w:val="single" w:sz="8" w:color="0057B8" w:space="0"/>
              <w:bottom w:val="single" w:sz="8" w:color="0057B8" w:space="0"/>
              <w:right w:val="single" w:sz="8" w:color="0057B8" w:space="0"/>
              <w:insideH w:val="single" w:sz="8" w:space="0" w:color="0057B8"/>
              <w:insideV w:val="single" w:sz="8" w:space="0" w:color="0057B8"/>
            </w:tcBorders>
          </w:tcPr>
          <w:p>
            <w:pPr>
              <w:keepNext w:val="0"/>
              <w:spacing w:before="0" w:after="0" w:line="240" w:lineRule="auto"/>
              <w:jc w:val="left"/>
            </w:pPr>
            <w:r>
              <w:rPr>
                <w:rFonts w:ascii="Avenir Next" w:hAnsi="Avenir Next" w:eastAsia="Avenir Next"/>
                <w:b/>
                <w:color w:val="0057B8"/>
                <w:sz w:val="16"/>
                <w:lang w:val="en-US"/>
              </w:rPr>
              <w:t xml:space="preserve">Current verified milestone  </w:t>
            </w:r>
            <w:r>
              <w:rPr>
                <w:rFonts w:ascii="Palatino" w:hAnsi="Palatino" w:eastAsia="Palatino"/>
                <w:b w:val="0"/>
                <w:color w:val="071B2E"/>
                <w:sz w:val="16"/>
                <w:lang w:val="en-US"/>
              </w:rPr>
              <w:t>Release v1.9.0-phase7-supply-chain (main 6230e8c). PostgreSQL HA/DR, Kafka KRaft HA, Redis Sentinel HA, and software supply-chain controls have been merged after the earlier multi-node application baseline.</w:t>
            </w:r>
          </w:p>
        </w:tc>
      </w:tr>
    </w:tbl>
    <w:p>
      <w:pPr>
        <w:spacing w:after="0"/>
      </w:pPr>
    </w:p>
    <w:tbl>
      <w:tblPr>
        <w:tblW w:type="auto" w:w="0"/>
        <w:jc w:val="center"/>
        <w:tblLayout w:type="fixed"/>
        <w:tblLook w:firstColumn="1" w:firstRow="1" w:lastColumn="0" w:lastRow="0" w:noHBand="0" w:noVBand="1" w:val="04A0"/>
        <w:tblBorders>
          <w:top w:val="single" w:sz="8" w:space="0" w:color="0A66FF"/>
          <w:left w:val="single" w:sz="8" w:space="0" w:color="0A66FF"/>
          <w:bottom w:val="single" w:sz="8" w:space="0" w:color="0A66FF"/>
          <w:right w:val="single" w:sz="8" w:space="0" w:color="0A66FF"/>
          <w:insideH w:val="single" w:sz="8" w:space="0" w:color="0A66FF"/>
          <w:insideV w:val="single" w:sz="8" w:space="0" w:color="0A66FF"/>
        </w:tblBorders>
      </w:tblPr>
      <w:tblGrid>
        <w:gridCol w:w="10570"/>
      </w:tblGrid>
      <w:tr>
        <w:trPr>
          <w:cantSplit/>
        </w:trPr>
        <w:tc>
          <w:tcPr>
            <w:tcW w:type="dxa" w:w="10080"/>
            <w:shd w:fill="E2E4E8"/>
            <w:tcMar>
              <w:top w:w="35" w:type="dxa"/>
              <w:start w:w="65" w:type="dxa"/>
              <w:bottom w:w="35" w:type="dxa"/>
              <w:end w:w="65" w:type="dxa"/>
            </w:tcMar>
            <w:tcBorders>
              <w:top w:val="single" w:sz="8" w:color="0A66FF" w:space="0"/>
              <w:left w:val="single" w:sz="8" w:color="0A66FF" w:space="0"/>
              <w:bottom w:val="single" w:sz="8" w:color="0A66FF" w:space="0"/>
              <w:right w:val="single" w:sz="8" w:color="0A66FF" w:space="0"/>
              <w:insideH w:val="single" w:sz="8" w:space="0" w:color="0A66FF"/>
              <w:insideV w:val="single" w:sz="8" w:space="0" w:color="0A66FF"/>
            </w:tcBorders>
          </w:tcPr>
          <w:p>
            <w:pPr>
              <w:keepNext w:val="0"/>
              <w:spacing w:before="0" w:after="0" w:line="240" w:lineRule="auto"/>
              <w:jc w:val="left"/>
            </w:pPr>
            <w:r>
              <w:rPr>
                <w:rFonts w:ascii="Avenir Next" w:hAnsi="Avenir Next" w:eastAsia="Avenir Next"/>
                <w:b/>
                <w:color w:val="0A66FF"/>
                <w:sz w:val="16"/>
                <w:lang w:val="en-US"/>
              </w:rPr>
              <w:t xml:space="preserve">Evidence boundary  </w:t>
            </w:r>
            <w:r>
              <w:rPr>
                <w:rFonts w:ascii="Palatino" w:hAnsi="Palatino" w:eastAsia="Palatino"/>
                <w:b w:val="0"/>
                <w:color w:val="071B2E"/>
                <w:sz w:val="16"/>
                <w:lang w:val="en-US"/>
              </w:rPr>
              <w:t>The portfolio distinguishes implementation, executed local verification, and production proof. Local kind failure drills do not establish multi-zone durability, production SLO attainment, or commercial-scale availability.</w:t>
            </w:r>
          </w:p>
        </w:tc>
      </w:tr>
    </w:tbl>
    <w:p>
      <w:pPr>
        <w:spacing w:after="0"/>
      </w:pPr>
    </w:p>
    <w:p>
      <w:pPr>
        <w:spacing w:before="200"/>
        <w:jc w:val="center"/>
      </w:pPr>
      <w:r>
        <w:rPr>
          <w:rFonts w:ascii="Avenir Next" w:hAnsi="Avenir Next" w:eastAsia="Avenir Next"/>
          <w:b w:val="0"/>
          <w:i w:val="0"/>
          <w:color w:val="3F3F46"/>
          <w:sz w:val="18"/>
          <w:lang w:val="en-US"/>
        </w:rPr>
        <w:t>Prepared for backend, platform, distributed-systems, DevOps/SRE, and reliability engineering review</w:t>
      </w:r>
    </w:p>
    <w:p>
      <w:pPr>
        <w:jc w:val="center"/>
      </w:pPr>
      <w:r>
        <w:rPr>
          <w:rFonts w:ascii="Avenir Next" w:hAnsi="Avenir Next" w:eastAsia="Avenir Next"/>
          <w:b/>
          <w:i w:val="0"/>
          <w:color w:val="0057B8"/>
          <w:sz w:val="18"/>
          <w:lang w:val="en-US"/>
        </w:rPr>
        <w:t>github.com/ravan-chuang/spring-boot-ecommerce-backend</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cantSplit/>
        </w:trPr>
        <w:tc>
          <w:tcPr>
            <w:tcW w:type="dxa" w:w="5285"/>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FFFFFF"/>
                <w:sz w:val="14"/>
                <w:lang w:val="en-US"/>
              </w:rPr>
              <w:t>VERIFIED IN CURRENT RELEASE</w:t>
            </w:r>
          </w:p>
        </w:tc>
        <w:tc>
          <w:tcPr>
            <w:tcW w:type="dxa" w:w="5285"/>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FFFFFF"/>
                <w:sz w:val="14"/>
                <w:lang w:val="en-US"/>
              </w:rPr>
              <w:t>EXPLICITLY OUTSIDE CURRENT CLAIM</w:t>
            </w:r>
          </w:p>
        </w:tc>
      </w:tr>
      <w:tr>
        <w:trPr>
          <w:cantSplit/>
        </w:trPr>
        <w:tc>
          <w:tcPr>
            <w:tcW w:type="dxa" w:w="5285"/>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left"/>
            </w:pPr>
            <w:r>
              <w:rPr>
                <w:rFonts w:ascii="Palatino" w:hAnsi="Palatino" w:eastAsia="Palatino"/>
                <w:b w:val="0"/>
                <w:color w:val="071B2E"/>
                <w:sz w:val="15"/>
                <w:lang w:val="en-US"/>
              </w:rPr>
              <w:t>3-replica app + HPA; PostgreSQL 3-instance failover/restore; Kafka 3-node KRaft; Redis Sentinel; signed/attested image pipeline</w:t>
            </w:r>
          </w:p>
        </w:tc>
        <w:tc>
          <w:tcPr>
            <w:tcW w:type="dxa" w:w="5285"/>
            <w:shd w:fill="E7E9ED"/>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left"/>
            </w:pPr>
            <w:r>
              <w:rPr>
                <w:rFonts w:ascii="Palatino" w:hAnsi="Palatino" w:eastAsia="Palatino"/>
                <w:b w:val="0"/>
                <w:color w:val="071B2E"/>
                <w:sz w:val="15"/>
                <w:lang w:val="en-US"/>
              </w:rPr>
              <w:t>Multi-zone/cloud HA; control-plane HA; external secret manager/workload identity; production SLO/RPO/RTO; real payment provider</w:t>
            </w:r>
          </w:p>
        </w:tc>
      </w:tr>
    </w:tbl>
    <w:p>
      <w:pPr>
        <w:spacing w:before="160" w:after="60"/>
        <w:jc w:val="center"/>
      </w:pPr>
      <w:r>
        <w:rPr>
          <w:rFonts w:ascii="Avenir Next" w:hAnsi="Avenir Next" w:eastAsia="Avenir Next"/>
          <w:b/>
          <w:i w:val="0"/>
          <w:color w:val="3F3F46"/>
          <w:sz w:val="17"/>
          <w:lang w:val="en-US"/>
        </w:rPr>
        <w:t>MILESTONE PROGRESSION</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3523"/>
        <w:gridCol w:w="3523"/>
        <w:gridCol w:w="3523"/>
      </w:tblGrid>
      <w:tr>
        <w:trPr>
          <w:cantSplit/>
        </w:trPr>
        <w:tc>
          <w:tcPr>
            <w:tcW w:type="dxa" w:w="3523"/>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FFFFFF"/>
                <w:sz w:val="15"/>
                <w:lang w:val="en-US"/>
              </w:rPr>
              <w:t>v1.1 - v1.3</w:t>
              <w:br/>
            </w:r>
            <w:r>
              <w:rPr>
                <w:rFonts w:ascii="Avenir Next" w:hAnsi="Avenir Next" w:eastAsia="Avenir Next"/>
                <w:b/>
                <w:color w:val="FFFFFF"/>
                <w:sz w:val="14"/>
                <w:lang w:val="en-US"/>
              </w:rPr>
              <w:t>Hardening / observability / reliability</w:t>
            </w:r>
          </w:p>
        </w:tc>
        <w:tc>
          <w:tcPr>
            <w:tcW w:type="dxa" w:w="3523"/>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FFFFFF"/>
                <w:sz w:val="15"/>
                <w:lang w:val="en-US"/>
              </w:rPr>
              <w:t>v1.4</w:t>
              <w:br/>
            </w:r>
            <w:r>
              <w:rPr>
                <w:rFonts w:ascii="Avenir Next" w:hAnsi="Avenir Next" w:eastAsia="Avenir Next"/>
                <w:b/>
                <w:color w:val="FFFFFF"/>
                <w:sz w:val="14"/>
                <w:lang w:val="en-US"/>
              </w:rPr>
              <w:t>Kubernetes baseline</w:t>
            </w:r>
          </w:p>
        </w:tc>
        <w:tc>
          <w:tcPr>
            <w:tcW w:type="dxa" w:w="3523"/>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FFFFFF"/>
                <w:sz w:val="15"/>
                <w:lang w:val="en-US"/>
              </w:rPr>
              <w:t>v1.5</w:t>
              <w:br/>
            </w:r>
            <w:r>
              <w:rPr>
                <w:rFonts w:ascii="Avenir Next" w:hAnsi="Avenir Next" w:eastAsia="Avenir Next"/>
                <w:b/>
                <w:color w:val="FFFFFF"/>
                <w:sz w:val="14"/>
                <w:lang w:val="en-US"/>
              </w:rPr>
              <w:t>Multi-node app recovery</w:t>
            </w:r>
          </w:p>
        </w:tc>
      </w:tr>
      <w:tr>
        <w:trPr>
          <w:cantSplit/>
        </w:trPr>
        <w:tc>
          <w:tcPr>
            <w:tcW w:type="dxa" w:w="3523"/>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5"/>
                <w:lang w:val="en-US"/>
              </w:rPr>
              <w:t>v1.6</w:t>
              <w:br/>
            </w:r>
            <w:r>
              <w:rPr>
                <w:rFonts w:ascii="Palatino" w:hAnsi="Palatino" w:eastAsia="Palatino"/>
                <w:b w:val="0"/>
                <w:color w:val="071B2E"/>
                <w:sz w:val="14"/>
                <w:lang w:val="en-US"/>
              </w:rPr>
              <w:t>PostgreSQL HA + DR</w:t>
            </w:r>
          </w:p>
        </w:tc>
        <w:tc>
          <w:tcPr>
            <w:tcW w:type="dxa" w:w="3523"/>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5"/>
                <w:lang w:val="en-US"/>
              </w:rPr>
              <w:t>v1.7</w:t>
              <w:br/>
            </w:r>
            <w:r>
              <w:rPr>
                <w:rFonts w:ascii="Palatino" w:hAnsi="Palatino" w:eastAsia="Palatino"/>
                <w:b w:val="0"/>
                <w:color w:val="071B2E"/>
                <w:sz w:val="14"/>
                <w:lang w:val="en-US"/>
              </w:rPr>
              <w:t>Kafka KRaft HA</w:t>
            </w:r>
          </w:p>
        </w:tc>
        <w:tc>
          <w:tcPr>
            <w:tcW w:type="dxa" w:w="3523"/>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5"/>
                <w:lang w:val="en-US"/>
              </w:rPr>
              <w:t>v1.8</w:t>
              <w:br/>
            </w:r>
            <w:r>
              <w:rPr>
                <w:rFonts w:ascii="Palatino" w:hAnsi="Palatino" w:eastAsia="Palatino"/>
                <w:b w:val="0"/>
                <w:color w:val="071B2E"/>
                <w:sz w:val="14"/>
                <w:lang w:val="en-US"/>
              </w:rPr>
              <w:t>Redis Sentinel HA</w:t>
            </w:r>
          </w:p>
        </w:tc>
      </w:tr>
      <w:tr>
        <w:trPr>
          <w:cantSplit/>
        </w:trPr>
        <w:tc>
          <w:tcPr>
            <w:tcW w:type="dxa" w:w="3523"/>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5"/>
                <w:lang w:val="en-US"/>
              </w:rPr>
              <w:t>v1.9</w:t>
              <w:br/>
            </w:r>
            <w:r>
              <w:rPr>
                <w:rFonts w:ascii="Palatino" w:hAnsi="Palatino" w:eastAsia="Palatino"/>
                <w:b w:val="0"/>
                <w:color w:val="071B2E"/>
                <w:sz w:val="14"/>
                <w:lang w:val="en-US"/>
              </w:rPr>
              <w:t>Supply-chain security</w:t>
            </w:r>
          </w:p>
        </w:tc>
        <w:tc>
          <w:tcPr>
            <w:tcW w:type="dxa" w:w="3523"/>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5"/>
                <w:lang w:val="en-US"/>
              </w:rPr>
              <w:t>146 tests</w:t>
              <w:br/>
            </w:r>
            <w:r>
              <w:rPr>
                <w:rFonts w:ascii="Palatino" w:hAnsi="Palatino" w:eastAsia="Palatino"/>
                <w:b w:val="0"/>
                <w:color w:val="071B2E"/>
                <w:sz w:val="14"/>
                <w:lang w:val="en-US"/>
              </w:rPr>
              <w:t>Current regression suite</w:t>
            </w:r>
          </w:p>
        </w:tc>
        <w:tc>
          <w:tcPr>
            <w:tcW w:type="dxa" w:w="3523"/>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spacing w:after="0" w:line="240" w:lineRule="auto"/>
              <w:jc w:val="center"/>
            </w:pPr>
            <w:r>
              <w:rPr>
                <w:rFonts w:ascii="Avenir Next" w:hAnsi="Avenir Next" w:eastAsia="Avenir Next"/>
                <w:b/>
                <w:color w:val="071B2E"/>
                <w:sz w:val="15"/>
                <w:lang w:val="en-US"/>
              </w:rPr>
              <w:t>Next</w:t>
              <w:br/>
            </w:r>
            <w:r>
              <w:rPr>
                <w:rFonts w:ascii="Palatino" w:hAnsi="Palatino" w:eastAsia="Palatino"/>
                <w:b w:val="0"/>
                <w:color w:val="071B2E"/>
                <w:sz w:val="14"/>
                <w:lang w:val="en-US"/>
              </w:rPr>
              <w:t>Cloud/IaC + identity + external SLI</w:t>
            </w:r>
          </w:p>
        </w:tc>
      </w:tr>
    </w:tbl>
    <w:p>
      <w:pPr>
        <w:spacing w:before="440" w:after="0"/>
        <w:jc w:val="center"/>
        <w:pBdr>
          <w:bottom w:val="single" w:sz="5" w:space="7" w:color="B8BDC7"/>
        </w:pBdr>
      </w:pPr>
      <w:r>
        <w:rPr>
          <w:rFonts w:ascii="Palatino" w:hAnsi="Palatino" w:eastAsia="Palatino"/>
          <w:i/>
          <w:color w:val="071B2E"/>
          <w:sz w:val="17"/>
          <w:lang w:val="en-US"/>
        </w:rPr>
        <w:t>Evidence before assertion  ·  Recovery before confidence  ·  Boundaries before scale</w:t>
        <w:br w:type="page"/>
      </w:r>
    </w:p>
    <w:p>
      <w:pPr>
        <w:pStyle w:val="Heading1"/>
        <w:pBdr>
          <w:bottom w:val="single" w:sz="5" w:space="4" w:color="D9E5FF"/>
        </w:pBdr>
      </w:pPr>
      <w:r>
        <w:rPr>
          <w:rFonts w:ascii="Avenir Next" w:hAnsi="Avenir Next" w:eastAsia="Avenir Next"/>
          <w:b/>
          <w:color w:val="071B2E"/>
          <w:sz w:val="34"/>
          <w:lang w:val="en-US"/>
        </w:rPr>
        <w:t>1. Executive Summary and Evidence Policy</w:t>
      </w:r>
    </w:p>
    <w:p>
      <w:pPr>
        <w:keepNext w:val="0"/>
        <w:spacing w:before="0" w:after="60" w:line="252" w:lineRule="auto"/>
      </w:pPr>
      <w:r>
        <w:rPr>
          <w:rFonts w:ascii="Palatino" w:hAnsi="Palatino" w:eastAsia="Palatino"/>
          <w:color w:val="071B2E"/>
          <w:sz w:val="17"/>
          <w:lang w:val="en-US"/>
        </w:rPr>
        <w:t>This portfolio evaluates the backend as an operating system, not a catalog of features. Its central question is whether correctness survives the boundaries between durable state, transactions, asynchronous delivery, replica coordination, stateful failover, observability, deployment behavior, and recovery.</w:t>
      </w:r>
    </w:p>
    <w:p>
      <w:pPr>
        <w:keepNext w:val="0"/>
        <w:spacing w:before="0" w:after="60" w:line="252" w:lineRule="auto"/>
      </w:pPr>
      <w:r>
        <w:rPr>
          <w:rFonts w:ascii="Palatino" w:hAnsi="Palatino" w:eastAsia="Palatino"/>
          <w:color w:val="071B2E"/>
          <w:sz w:val="17"/>
          <w:lang w:val="en-US"/>
        </w:rPr>
        <w:t>The current milestone moves the evidence beyond the earlier application-tier HA baseline. Spring Boot remains replicated and autoscaled across three workers; PostgreSQL, Kafka, and Redis now have locally verified high-availability topologies and explicit hard-failure drills. Phase 7 extends the same evidence discipline to artifact identity, supply-chain controls, and build provenance.</w:t>
      </w:r>
    </w:p>
    <w:tbl>
      <w:tblPr>
        <w:tblW w:type="auto" w:w="0"/>
        <w:jc w:val="center"/>
        <w:tblLayout w:type="fixed"/>
        <w:tblLook w:firstColumn="1" w:firstRow="1" w:lastColumn="0" w:lastRow="0" w:noHBand="0" w:noVBand="1" w:val="04A0"/>
        <w:tblBorders>
          <w:top w:val="single" w:sz="8" w:space="0" w:color="0057B8"/>
          <w:left w:val="single" w:sz="8" w:space="0" w:color="0057B8"/>
          <w:bottom w:val="single" w:sz="8" w:space="0" w:color="0057B8"/>
          <w:right w:val="single" w:sz="8" w:space="0" w:color="0057B8"/>
          <w:insideH w:val="single" w:sz="8" w:space="0" w:color="0057B8"/>
          <w:insideV w:val="single" w:sz="8" w:space="0" w:color="0057B8"/>
        </w:tblBorders>
      </w:tblPr>
      <w:tblGrid>
        <w:gridCol w:w="10570"/>
      </w:tblGrid>
      <w:tr>
        <w:trPr>
          <w:cantSplit/>
        </w:trPr>
        <w:tc>
          <w:tcPr>
            <w:tcW w:type="dxa" w:w="10080"/>
            <w:shd w:fill="F4F5F7"/>
            <w:tcMar>
              <w:top w:w="35" w:type="dxa"/>
              <w:start w:w="65" w:type="dxa"/>
              <w:bottom w:w="35" w:type="dxa"/>
              <w:end w:w="65" w:type="dxa"/>
            </w:tcMar>
            <w:tcBorders>
              <w:top w:val="single" w:sz="8" w:color="0057B8" w:space="0"/>
              <w:left w:val="single" w:sz="8" w:color="0057B8" w:space="0"/>
              <w:bottom w:val="single" w:sz="8" w:color="0057B8" w:space="0"/>
              <w:right w:val="single" w:sz="8" w:color="0057B8" w:space="0"/>
              <w:insideH w:val="single" w:sz="8" w:space="0" w:color="0057B8"/>
              <w:insideV w:val="single" w:sz="8" w:space="0" w:color="0057B8"/>
            </w:tcBorders>
          </w:tcPr>
          <w:p>
            <w:pPr>
              <w:keepNext w:val="0"/>
              <w:spacing w:before="0" w:after="0" w:line="240" w:lineRule="auto"/>
              <w:jc w:val="left"/>
            </w:pPr>
            <w:r>
              <w:rPr>
                <w:rFonts w:ascii="Avenir Next" w:hAnsi="Avenir Next" w:eastAsia="Avenir Next"/>
                <w:b/>
                <w:color w:val="0057B8"/>
                <w:sz w:val="16"/>
                <w:lang w:val="en-US"/>
              </w:rPr>
              <w:t xml:space="preserve">Precise current classification  </w:t>
            </w:r>
            <w:r>
              <w:rPr>
                <w:rFonts w:ascii="Palatino" w:hAnsi="Palatino" w:eastAsia="Palatino"/>
                <w:b w:val="0"/>
                <w:color w:val="071B2E"/>
                <w:sz w:val="16"/>
                <w:lang w:val="en-US"/>
              </w:rPr>
              <w:t>A locally verified distributed backend with application-tier recovery and single-node-failure tolerance demonstrated for PostgreSQL, Kafka, and Redis under tested conditions. End-to-end production multi-zone HA is not established because the kind control plane, local storage/object store, cloud network path, workload identity, and production SLO/RPO/RTO operation remain unverified.</w:t>
            </w:r>
          </w:p>
        </w:tc>
      </w:tr>
    </w:tbl>
    <w:p>
      <w:pPr>
        <w:spacing w:after="0"/>
      </w:pPr>
    </w:p>
    <w:p>
      <w:pPr>
        <w:pStyle w:val="Heading2"/>
        <w:keepNext/>
      </w:pPr>
      <w:r>
        <w:rPr>
          <w:rFonts w:ascii="Avenir Next" w:hAnsi="Avenir Next" w:eastAsia="Avenir Next"/>
          <w:b/>
          <w:color w:val="0B1F33"/>
          <w:sz w:val="24"/>
          <w:lang w:val="en-US"/>
        </w:rPr>
        <w:t>Evidence hierarchy</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3523"/>
        <w:gridCol w:w="3523"/>
        <w:gridCol w:w="3523"/>
      </w:tblGrid>
      <w:tr>
        <w:trPr>
          <w:tblHeader w:val="true"/>
          <w:cantSplit/>
        </w:trPr>
        <w:tc>
          <w:tcPr>
            <w:tcW w:type="dxa" w:w="2232"/>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Class</w:t>
            </w:r>
          </w:p>
        </w:tc>
        <w:tc>
          <w:tcPr>
            <w:tcW w:type="dxa" w:w="4680"/>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What counts</w:t>
            </w:r>
          </w:p>
        </w:tc>
        <w:tc>
          <w:tcPr>
            <w:tcW w:type="dxa" w:w="3168"/>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Claim wording</w:t>
            </w:r>
          </w:p>
        </w:tc>
      </w:tr>
      <w:tr>
        <w:trPr>
          <w:cantSplit/>
        </w:trPr>
        <w:tc>
          <w:tcPr>
            <w:tcW w:type="dxa" w:w="22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Automated behavior</w:t>
            </w:r>
          </w:p>
        </w:tc>
        <w:tc>
          <w:tcPr>
            <w:tcW w:type="dxa" w:w="468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Unit, integration, Testcontainers, controller, concurrency, migration and context tests</w:t>
            </w:r>
          </w:p>
        </w:tc>
        <w:tc>
          <w:tcPr>
            <w:tcW w:type="dxa" w:w="316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Verified by automated test</w:t>
            </w:r>
          </w:p>
        </w:tc>
      </w:tr>
      <w:tr>
        <w:trPr>
          <w:cantSplit/>
        </w:trPr>
        <w:tc>
          <w:tcPr>
            <w:tcW w:type="dxa" w:w="223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Executed runtime drill</w:t>
            </w:r>
          </w:p>
        </w:tc>
        <w:tc>
          <w:tcPr>
            <w:tcW w:type="dxa" w:w="468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Worker loss, primary loss, broker loss, Redis failover, backup/restore, HPA and drain</w:t>
            </w:r>
          </w:p>
        </w:tc>
        <w:tc>
          <w:tcPr>
            <w:tcW w:type="dxa" w:w="316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Verified under the tested local conditions</w:t>
            </w:r>
          </w:p>
        </w:tc>
      </w:tr>
      <w:tr>
        <w:trPr>
          <w:cantSplit/>
        </w:trPr>
        <w:tc>
          <w:tcPr>
            <w:tcW w:type="dxa" w:w="22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Configured control</w:t>
            </w:r>
          </w:p>
        </w:tc>
        <w:tc>
          <w:tcPr>
            <w:tcW w:type="dxa" w:w="468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Probes, PDB, retry policy, SLO rules, signing workflow, runbooks</w:t>
            </w:r>
          </w:p>
        </w:tc>
        <w:tc>
          <w:tcPr>
            <w:tcW w:type="dxa" w:w="316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Configured; not production proof by itself</w:t>
            </w:r>
          </w:p>
        </w:tc>
      </w:tr>
      <w:tr>
        <w:trPr>
          <w:cantSplit/>
        </w:trPr>
        <w:tc>
          <w:tcPr>
            <w:tcW w:type="dxa" w:w="223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Known boundary</w:t>
            </w:r>
          </w:p>
        </w:tc>
        <w:tc>
          <w:tcPr>
            <w:tcW w:type="dxa" w:w="468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Single control-plane, local PV/MinIO, no cloud/IaC, no external secret manager</w:t>
            </w:r>
          </w:p>
        </w:tc>
        <w:tc>
          <w:tcPr>
            <w:tcW w:type="dxa" w:w="316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Explicitly not claimed</w:t>
            </w:r>
          </w:p>
        </w:tc>
      </w:tr>
    </w:tbl>
    <w:p>
      <w:pPr>
        <w:spacing w:after="0"/>
      </w:pPr>
    </w:p>
    <w:p>
      <w:pPr>
        <w:pStyle w:val="Heading2"/>
        <w:keepNext/>
      </w:pPr>
      <w:r>
        <w:rPr>
          <w:rFonts w:ascii="Avenir Next" w:hAnsi="Avenir Next" w:eastAsia="Avenir Next"/>
          <w:b/>
          <w:color w:val="0B1F33"/>
          <w:sz w:val="24"/>
          <w:lang w:val="en-US"/>
        </w:rPr>
        <w:t>Professional positioning</w:t>
      </w:r>
    </w:p>
    <w:p>
      <w:pPr>
        <w:keepNext w:val="0"/>
        <w:spacing w:before="0" w:after="60" w:line="252" w:lineRule="auto"/>
      </w:pPr>
      <w:r>
        <w:rPr>
          <w:rFonts w:ascii="Palatino" w:hAnsi="Palatino" w:eastAsia="Palatino"/>
          <w:color w:val="071B2E"/>
          <w:sz w:val="17"/>
          <w:lang w:val="en-US"/>
        </w:rPr>
        <w:t>Under strict industry review, the evidence supports an advanced student-level / strong junior backend-platform profile. Several practices—acknowledgement-to-durable-state reconciliation, restore-path verification, failure-mode separation, negative-result preservation, and supply-chain provenance—show early mid-level reasoning. Production mid-level ownership still requires cloud delivery, multi-zone failure domains, real incidents and traffic, external secrets/workload identity, production SLO/error-budget operation, cost controls, and third-party integration ownership.</w:t>
      </w:r>
    </w:p>
    <w:p>
      <w:pPr>
        <w:pStyle w:val="Heading1"/>
        <w:pBdr>
          <w:bottom w:val="single" w:sz="5" w:space="4" w:color="D9E5FF"/>
        </w:pBdr>
      </w:pPr>
      <w:r>
        <w:rPr>
          <w:rFonts w:ascii="Avenir Next" w:hAnsi="Avenir Next" w:eastAsia="Avenir Next"/>
          <w:b/>
          <w:color w:val="071B2E"/>
          <w:sz w:val="34"/>
          <w:lang w:val="en-US"/>
        </w:rPr>
        <w:t>2. Current Verified Engineering Baseline</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tblHeader w:val="true"/>
          <w:cantSplit/>
        </w:trPr>
        <w:tc>
          <w:tcPr>
            <w:tcW w:type="dxa" w:w="2448"/>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Verification</w:t>
            </w:r>
          </w:p>
        </w:tc>
        <w:tc>
          <w:tcPr>
            <w:tcW w:type="dxa" w:w="7632"/>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Current result</w:t>
            </w:r>
          </w:p>
        </w:tc>
      </w:tr>
      <w:tr>
        <w:trPr>
          <w:cantSplit/>
        </w:trPr>
        <w:tc>
          <w:tcPr>
            <w:tcW w:type="dxa" w:w="24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Release</w:t>
            </w:r>
          </w:p>
        </w:tc>
        <w:tc>
          <w:tcPr>
            <w:tcW w:type="dxa" w:w="76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v1.9.0-phase7-supply-chain</w:t>
            </w:r>
          </w:p>
        </w:tc>
      </w:tr>
      <w:tr>
        <w:trPr>
          <w:cantSplit/>
        </w:trPr>
        <w:tc>
          <w:tcPr>
            <w:tcW w:type="dxa" w:w="24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Main commit</w:t>
            </w:r>
          </w:p>
        </w:tc>
        <w:tc>
          <w:tcPr>
            <w:tcW w:type="dxa" w:w="763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6230e8c</w:t>
            </w:r>
          </w:p>
        </w:tc>
      </w:tr>
      <w:tr>
        <w:trPr>
          <w:cantSplit/>
        </w:trPr>
        <w:tc>
          <w:tcPr>
            <w:tcW w:type="dxa" w:w="24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Automated tests</w:t>
            </w:r>
          </w:p>
        </w:tc>
        <w:tc>
          <w:tcPr>
            <w:tcW w:type="dxa" w:w="76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146 passed / 0 failed / 0 errors / 0 skipped</w:t>
            </w:r>
          </w:p>
        </w:tc>
      </w:tr>
      <w:tr>
        <w:trPr>
          <w:cantSplit/>
        </w:trPr>
        <w:tc>
          <w:tcPr>
            <w:tcW w:type="dxa" w:w="24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Application</w:t>
            </w:r>
          </w:p>
        </w:tc>
        <w:tc>
          <w:tcPr>
            <w:tcW w:type="dxa" w:w="763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 Spring Boot replicas; HPA 3-8</w:t>
            </w:r>
          </w:p>
        </w:tc>
      </w:tr>
      <w:tr>
        <w:trPr>
          <w:cantSplit/>
        </w:trPr>
        <w:tc>
          <w:tcPr>
            <w:tcW w:type="dxa" w:w="24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Kubernetes</w:t>
            </w:r>
          </w:p>
        </w:tc>
        <w:tc>
          <w:tcPr>
            <w:tcW w:type="dxa" w:w="76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1 kind control-plane + 3 workers; v1.36.1</w:t>
            </w:r>
          </w:p>
        </w:tc>
      </w:tr>
      <w:tr>
        <w:trPr>
          <w:cantSplit/>
        </w:trPr>
        <w:tc>
          <w:tcPr>
            <w:tcW w:type="dxa" w:w="24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PostgreSQL</w:t>
            </w:r>
          </w:p>
        </w:tc>
        <w:tc>
          <w:tcPr>
            <w:tcW w:type="dxa" w:w="763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PostgreSQL 17; CloudNativePG; 3 instances; synchronous failover + restore verified</w:t>
            </w:r>
          </w:p>
        </w:tc>
      </w:tr>
      <w:tr>
        <w:trPr>
          <w:cantSplit/>
        </w:trPr>
        <w:tc>
          <w:tcPr>
            <w:tcW w:type="dxa" w:w="24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Kafka</w:t>
            </w:r>
          </w:p>
        </w:tc>
        <w:tc>
          <w:tcPr>
            <w:tcW w:type="dxa" w:w="76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Kafka 4.1.2; 3 KRaft broker/controllers; RF=3/min ISR=2 validation topic</w:t>
            </w:r>
          </w:p>
        </w:tc>
      </w:tr>
      <w:tr>
        <w:trPr>
          <w:cantSplit/>
        </w:trPr>
        <w:tc>
          <w:tcPr>
            <w:tcW w:type="dxa" w:w="24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Redis</w:t>
            </w:r>
          </w:p>
        </w:tc>
        <w:tc>
          <w:tcPr>
            <w:tcW w:type="dxa" w:w="763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 data nodes + 3 Sentinels; automatic master failover verified</w:t>
            </w:r>
          </w:p>
        </w:tc>
      </w:tr>
      <w:tr>
        <w:trPr>
          <w:cantSplit/>
        </w:trPr>
        <w:tc>
          <w:tcPr>
            <w:tcW w:type="dxa" w:w="24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Flyway</w:t>
            </w:r>
          </w:p>
        </w:tc>
        <w:tc>
          <w:tcPr>
            <w:tcW w:type="dxa" w:w="76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V1-V11 validated</w:t>
            </w:r>
          </w:p>
        </w:tc>
      </w:tr>
      <w:tr>
        <w:trPr>
          <w:cantSplit/>
        </w:trPr>
        <w:tc>
          <w:tcPr>
            <w:tcW w:type="dxa" w:w="24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Supply chain</w:t>
            </w:r>
          </w:p>
        </w:tc>
        <w:tc>
          <w:tcPr>
            <w:tcW w:type="dxa" w:w="763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CycloneDX SBOM, Trivy, GHCR digest, Cosign OIDC, provenance attestation</w:t>
            </w:r>
          </w:p>
        </w:tc>
      </w:tr>
    </w:tbl>
    <w:p>
      <w:pPr>
        <w:spacing w:after="0"/>
      </w:pPr>
    </w:p>
    <w:tbl>
      <w:tblPr>
        <w:tblW w:type="auto" w:w="0"/>
        <w:jc w:val="center"/>
        <w:tblLayout w:type="fixed"/>
        <w:tblLook w:firstColumn="1" w:firstRow="1" w:lastColumn="0" w:lastRow="0" w:noHBand="0" w:noVBand="1" w:val="04A0"/>
        <w:tblBorders>
          <w:top w:val="single" w:sz="8" w:space="0" w:color="0A66FF"/>
          <w:left w:val="single" w:sz="8" w:space="0" w:color="0A66FF"/>
          <w:bottom w:val="single" w:sz="8" w:space="0" w:color="0A66FF"/>
          <w:right w:val="single" w:sz="8" w:space="0" w:color="0A66FF"/>
          <w:insideH w:val="single" w:sz="8" w:space="0" w:color="0A66FF"/>
          <w:insideV w:val="single" w:sz="8" w:space="0" w:color="0A66FF"/>
        </w:tblBorders>
      </w:tblPr>
      <w:tblGrid>
        <w:gridCol w:w="10570"/>
      </w:tblGrid>
      <w:tr>
        <w:trPr>
          <w:cantSplit/>
        </w:trPr>
        <w:tc>
          <w:tcPr>
            <w:tcW w:type="dxa" w:w="10080"/>
            <w:shd w:fill="E2E4E8"/>
            <w:tcMar>
              <w:top w:w="35" w:type="dxa"/>
              <w:start w:w="65" w:type="dxa"/>
              <w:bottom w:w="35" w:type="dxa"/>
              <w:end w:w="65" w:type="dxa"/>
            </w:tcMar>
            <w:tcBorders>
              <w:top w:val="single" w:sz="8" w:color="0A66FF" w:space="0"/>
              <w:left w:val="single" w:sz="8" w:color="0A66FF" w:space="0"/>
              <w:bottom w:val="single" w:sz="8" w:color="0A66FF" w:space="0"/>
              <w:right w:val="single" w:sz="8" w:color="0A66FF" w:space="0"/>
              <w:insideH w:val="single" w:sz="8" w:space="0" w:color="0A66FF"/>
              <w:insideV w:val="single" w:sz="8" w:space="0" w:color="0A66FF"/>
            </w:tcBorders>
          </w:tcPr>
          <w:p>
            <w:pPr>
              <w:keepNext w:val="0"/>
              <w:spacing w:before="0" w:after="0" w:line="240" w:lineRule="auto"/>
              <w:jc w:val="left"/>
            </w:pPr>
            <w:r>
              <w:rPr>
                <w:rFonts w:ascii="Avenir Next" w:hAnsi="Avenir Next" w:eastAsia="Avenir Next"/>
                <w:b/>
                <w:color w:val="0A66FF"/>
                <w:sz w:val="16"/>
                <w:lang w:val="en-US"/>
              </w:rPr>
              <w:t xml:space="preserve">Coverage boundary  </w:t>
            </w:r>
            <w:r>
              <w:rPr>
                <w:rFonts w:ascii="Palatino" w:hAnsi="Palatino" w:eastAsia="Palatino"/>
                <w:b w:val="0"/>
                <w:color w:val="071B2E"/>
                <w:sz w:val="16"/>
                <w:lang w:val="en-US"/>
              </w:rPr>
              <w:t>The previously recorded JaCoCo snapshot was 89.78% instruction / 73.63% branch. It predates later HA and supply-chain phases and should not be presented as a release-current coverage percentage until regenerated.</w:t>
            </w:r>
          </w:p>
        </w:tc>
      </w:tr>
    </w:tbl>
    <w:p>
      <w:pPr>
        <w:spacing w:after="0"/>
      </w:pPr>
    </w:p>
    <w:p>
      <w:pPr>
        <w:pStyle w:val="Heading1"/>
        <w:pBdr>
          <w:bottom w:val="single" w:sz="5" w:space="4" w:color="D9E5FF"/>
        </w:pBdr>
      </w:pPr>
      <w:r>
        <w:rPr>
          <w:rFonts w:ascii="Avenir Next" w:hAnsi="Avenir Next" w:eastAsia="Avenir Next"/>
          <w:b/>
          <w:color w:val="071B2E"/>
          <w:sz w:val="34"/>
          <w:lang w:val="en-US"/>
        </w:rPr>
        <w:t>3. Current System Architecture and Availability Boundary</w:t>
      </w:r>
    </w:p>
    <w:p>
      <w:pPr>
        <w:keepNext/>
        <w:spacing w:after="0" w:before="20"/>
        <w:jc w:val="center"/>
      </w:pPr>
      <w:r>
        <w:rPr>
          <w:rFonts w:ascii="Palatino" w:hAnsi="Palatino" w:eastAsia="Palatino"/>
          <w:color w:val="071B2E"/>
          <w:sz w:val="17"/>
          <w:lang w:val="en-US"/>
        </w:rPr>
        <w:drawing>
          <wp:inline xmlns:a="http://schemas.openxmlformats.org/drawingml/2006/main" xmlns:pic="http://schemas.openxmlformats.org/drawingml/2006/picture">
            <wp:extent cx="6263640" cy="3703320"/>
            <wp:docPr id="1" name="Picture 1"/>
            <wp:cNvGraphicFramePr>
              <a:graphicFrameLocks noChangeAspect="1"/>
            </wp:cNvGraphicFramePr>
            <a:graphic>
              <a:graphicData uri="http://schemas.openxmlformats.org/drawingml/2006/picture">
                <pic:pic>
                  <pic:nvPicPr>
                    <pic:cNvPr id="0" name="System architecture" title="System architecture" descr="Two controlled paths converge on the runtime: Git and CI produce a signed immutable digest for a Kubernetes Deployment, while client HTTP enters through a Kubernetes Service. Three Spring Boot replicas coordinate domain transactions with PostgreSQL, Redis, and the transactional Outbox; Outbox records publish to Kafka, idempotent consumers, and persisted DLT governance. PostgreSQL also connects to WAL archive, physical backup, and independent restore. Application telemetry flows to Prometheus, Grafana, Tempo, and Loki."/>
                    <pic:cNvPicPr/>
                  </pic:nvPicPr>
                  <pic:blipFill>
                    <a:blip r:embed="rId11"/>
                    <a:stretch>
                      <a:fillRect/>
                    </a:stretch>
                  </pic:blipFill>
                  <pic:spPr>
                    <a:xfrm>
                      <a:off x="0" y="0"/>
                      <a:ext cx="6263640" cy="3703320"/>
                    </a:xfrm>
                    <a:prstGeom prst="rect"/>
                  </pic:spPr>
                </pic:pic>
              </a:graphicData>
            </a:graphic>
          </wp:inline>
        </w:drawing>
      </w:r>
    </w:p>
    <w:p>
      <w:pPr>
        <w:pStyle w:val="CaptionCustom"/>
        <w:keepLines/>
        <w:jc w:val="center"/>
      </w:pPr>
      <w:r>
        <w:rPr>
          <w:rFonts w:ascii="Palatino" w:hAnsi="Palatino" w:eastAsia="Palatino"/>
          <w:i/>
          <w:color w:val="0B1F33"/>
          <w:sz w:val="15"/>
          <w:lang w:val="en-US"/>
        </w:rPr>
        <w:t>Figure 1 | Current architecture: replicated application tier, locally verified stateful HA, durable event pipeline, observability, and supply-chain promotion</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3523"/>
        <w:gridCol w:w="3523"/>
        <w:gridCol w:w="3523"/>
      </w:tblGrid>
      <w:tr>
        <w:trPr>
          <w:tblHeader w:val="true"/>
          <w:cantSplit/>
        </w:trPr>
        <w:tc>
          <w:tcPr>
            <w:tcW w:type="dxa" w:w="1872"/>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5"/>
                <w:lang w:val="en-US"/>
              </w:rPr>
              <w:t>Layer</w:t>
            </w:r>
          </w:p>
        </w:tc>
        <w:tc>
          <w:tcPr>
            <w:tcW w:type="dxa" w:w="4680"/>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5"/>
                <w:lang w:val="en-US"/>
              </w:rPr>
              <w:t>Current verified topology</w:t>
            </w:r>
          </w:p>
        </w:tc>
        <w:tc>
          <w:tcPr>
            <w:tcW w:type="dxa" w:w="3528"/>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5"/>
                <w:lang w:val="en-US"/>
              </w:rPr>
              <w:t>Production boundary</w:t>
            </w:r>
          </w:p>
        </w:tc>
      </w:tr>
      <w:tr>
        <w:trPr>
          <w:cantSplit/>
        </w:trPr>
        <w:tc>
          <w:tcPr>
            <w:tcW w:type="dxa" w:w="18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Application</w:t>
            </w:r>
          </w:p>
        </w:tc>
        <w:tc>
          <w:tcPr>
            <w:tcW w:type="dxa" w:w="468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3 replicas; HPA 3-8; PDB; multi-worker recovery</w:t>
            </w:r>
          </w:p>
        </w:tc>
        <w:tc>
          <w:tcPr>
            <w:tcW w:type="dxa" w:w="352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Abrupt worker loss still exposed transient transport failures</w:t>
            </w:r>
          </w:p>
        </w:tc>
      </w:tr>
      <w:tr>
        <w:trPr>
          <w:cantSplit/>
        </w:trPr>
        <w:tc>
          <w:tcPr>
            <w:tcW w:type="dxa" w:w="18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PostgreSQL</w:t>
            </w:r>
          </w:p>
        </w:tc>
        <w:tc>
          <w:tcPr>
            <w:tcW w:type="dxa" w:w="468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3 CloudNativePG instances; synchronous failover; physical backup/restore</w:t>
            </w:r>
          </w:p>
        </w:tc>
        <w:tc>
          <w:tcPr>
            <w:tcW w:type="dxa" w:w="352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Local PV + local object store; no multi-zone DR proof</w:t>
            </w:r>
          </w:p>
        </w:tc>
      </w:tr>
      <w:tr>
        <w:trPr>
          <w:cantSplit/>
        </w:trPr>
        <w:tc>
          <w:tcPr>
            <w:tcW w:type="dxa" w:w="18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Kafka</w:t>
            </w:r>
          </w:p>
        </w:tc>
        <w:tc>
          <w:tcPr>
            <w:tcW w:type="dxa" w:w="468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3 KRaft broker/controllers; replicated topics; min ISR controls</w:t>
            </w:r>
          </w:p>
        </w:tc>
        <w:tc>
          <w:tcPr>
            <w:tcW w:type="dxa" w:w="352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No correlated two-node or cross-region proof</w:t>
            </w:r>
          </w:p>
        </w:tc>
      </w:tr>
      <w:tr>
        <w:trPr>
          <w:cantSplit/>
        </w:trPr>
        <w:tc>
          <w:tcPr>
            <w:tcW w:type="dxa" w:w="18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Redis</w:t>
            </w:r>
          </w:p>
        </w:tc>
        <w:tc>
          <w:tcPr>
            <w:tcW w:type="dxa" w:w="468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1 master + 2 replicas; 3 Sentinels</w:t>
            </w:r>
          </w:p>
        </w:tc>
        <w:tc>
          <w:tcPr>
            <w:tcW w:type="dxa" w:w="352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Async replication; no general zero-RPO guarantee</w:t>
            </w:r>
          </w:p>
        </w:tc>
      </w:tr>
      <w:tr>
        <w:trPr>
          <w:cantSplit/>
        </w:trPr>
        <w:tc>
          <w:tcPr>
            <w:tcW w:type="dxa" w:w="18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Kubernetes</w:t>
            </w:r>
          </w:p>
        </w:tc>
        <w:tc>
          <w:tcPr>
            <w:tcW w:type="dxa" w:w="468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1 control-plane + 3 workers in kind</w:t>
            </w:r>
          </w:p>
        </w:tc>
        <w:tc>
          <w:tcPr>
            <w:tcW w:type="dxa" w:w="352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Control-plane SPOF; local CNI/dataplane only</w:t>
            </w:r>
          </w:p>
        </w:tc>
      </w:tr>
      <w:tr>
        <w:trPr>
          <w:cantSplit/>
        </w:trPr>
        <w:tc>
          <w:tcPr>
            <w:tcW w:type="dxa" w:w="18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Supply chain</w:t>
            </w:r>
          </w:p>
        </w:tc>
        <w:tc>
          <w:tcPr>
            <w:tcW w:type="dxa" w:w="468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Signed/attested immutable image workflow</w:t>
            </w:r>
          </w:p>
        </w:tc>
        <w:tc>
          <w:tcPr>
            <w:tcW w:type="dxa" w:w="352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No admission-time signature enforcement yet</w:t>
            </w:r>
          </w:p>
        </w:tc>
      </w:tr>
    </w:tbl>
    <w:p>
      <w:pPr>
        <w:spacing w:after="0"/>
      </w:pPr>
    </w:p>
    <w:tbl>
      <w:tblPr>
        <w:tblW w:type="auto" w:w="0"/>
        <w:jc w:val="center"/>
        <w:tblLayout w:type="fixed"/>
        <w:tblLook w:firstColumn="1" w:firstRow="1" w:lastColumn="0" w:lastRow="0" w:noHBand="0" w:noVBand="1" w:val="04A0"/>
        <w:tblBorders>
          <w:top w:val="single" w:sz="8" w:space="0" w:color="0057B8"/>
          <w:left w:val="single" w:sz="8" w:space="0" w:color="0057B8"/>
          <w:bottom w:val="single" w:sz="8" w:space="0" w:color="0057B8"/>
          <w:right w:val="single" w:sz="8" w:space="0" w:color="0057B8"/>
          <w:insideH w:val="single" w:sz="8" w:space="0" w:color="0057B8"/>
          <w:insideV w:val="single" w:sz="8" w:space="0" w:color="0057B8"/>
        </w:tblBorders>
      </w:tblPr>
      <w:tblGrid>
        <w:gridCol w:w="10570"/>
      </w:tblGrid>
      <w:tr>
        <w:trPr>
          <w:cantSplit/>
        </w:trPr>
        <w:tc>
          <w:tcPr>
            <w:tcW w:type="dxa" w:w="10080"/>
            <w:shd w:fill="F4F5F7"/>
            <w:tcMar>
              <w:top w:w="35" w:type="dxa"/>
              <w:start w:w="65" w:type="dxa"/>
              <w:bottom w:w="35" w:type="dxa"/>
              <w:end w:w="65" w:type="dxa"/>
            </w:tcMar>
            <w:tcBorders>
              <w:top w:val="single" w:sz="8" w:color="0057B8" w:space="0"/>
              <w:left w:val="single" w:sz="8" w:color="0057B8" w:space="0"/>
              <w:bottom w:val="single" w:sz="8" w:color="0057B8" w:space="0"/>
              <w:right w:val="single" w:sz="8" w:color="0057B8" w:space="0"/>
              <w:insideH w:val="single" w:sz="8" w:space="0" w:color="0057B8"/>
              <w:insideV w:val="single" w:sz="8" w:space="0" w:color="0057B8"/>
            </w:tcBorders>
          </w:tcPr>
          <w:p>
            <w:pPr>
              <w:keepNext w:val="0"/>
              <w:spacing w:before="0" w:after="0" w:line="240" w:lineRule="auto"/>
              <w:jc w:val="left"/>
            </w:pPr>
            <w:r>
              <w:rPr>
                <w:rFonts w:ascii="Avenir Next" w:hAnsi="Avenir Next" w:eastAsia="Avenir Next"/>
                <w:b/>
                <w:color w:val="0057B8"/>
                <w:sz w:val="16"/>
                <w:lang w:val="en-US"/>
              </w:rPr>
              <w:t xml:space="preserve">Accurate description  </w:t>
            </w:r>
            <w:r>
              <w:rPr>
                <w:rFonts w:ascii="Palatino" w:hAnsi="Palatino" w:eastAsia="Palatino"/>
                <w:b w:val="0"/>
                <w:color w:val="071B2E"/>
                <w:sz w:val="16"/>
                <w:lang w:val="en-US"/>
              </w:rPr>
              <w:t>A distributed event-driven backend with locally verified application replication and tested single-node failure recovery for its main stateful dependencies. It is not yet a production-proven multi-zone platform.</w:t>
            </w:r>
          </w:p>
        </w:tc>
      </w:tr>
    </w:tbl>
    <w:p>
      <w:pPr>
        <w:spacing w:after="0"/>
      </w:pPr>
    </w:p>
    <w:p>
      <w:pPr>
        <w:pStyle w:val="Heading1"/>
        <w:pBdr>
          <w:bottom w:val="single" w:sz="5" w:space="4" w:color="D9E5FF"/>
        </w:pBdr>
      </w:pPr>
      <w:r>
        <w:rPr>
          <w:rFonts w:ascii="Avenir Next" w:hAnsi="Avenir Next" w:eastAsia="Avenir Next"/>
          <w:b/>
          <w:color w:val="071B2E"/>
          <w:sz w:val="34"/>
          <w:lang w:val="en-US"/>
        </w:rPr>
        <w:t>4. Transaction Correctness, Idempotency, and Durable Event Delivery</w:t>
      </w:r>
    </w:p>
    <w:p>
      <w:pPr>
        <w:pStyle w:val="Heading2"/>
        <w:keepNext/>
      </w:pPr>
      <w:r>
        <w:rPr>
          <w:rFonts w:ascii="Avenir Next" w:hAnsi="Avenir Next" w:eastAsia="Avenir Next"/>
          <w:b/>
          <w:color w:val="0B1F33"/>
          <w:sz w:val="24"/>
          <w:lang w:val="en-US"/>
        </w:rPr>
        <w:t>4.1 Commerce invariants</w:t>
      </w:r>
    </w:p>
    <w:p>
      <w:pPr>
        <w:pStyle w:val="ListBullet"/>
        <w:keepNext w:val="0"/>
        <w:spacing w:before="0" w:after="32" w:line="245" w:lineRule="auto"/>
        <w:ind w:left="259" w:hanging="173"/>
      </w:pPr>
      <w:r>
        <w:rPr>
          <w:rFonts w:ascii="Palatino" w:hAnsi="Palatino" w:eastAsia="Palatino"/>
          <w:b w:val="0"/>
          <w:color w:val="071B2E"/>
          <w:sz w:val="17"/>
          <w:lang w:val="en-US"/>
        </w:rPr>
        <w:t>Product detail reads use Redis; product mutations evict cached detail entries.</w:t>
      </w:r>
    </w:p>
    <w:p>
      <w:pPr>
        <w:pStyle w:val="ListBullet"/>
        <w:keepNext w:val="0"/>
        <w:spacing w:before="0" w:after="32" w:line="245" w:lineRule="auto"/>
        <w:ind w:left="259" w:hanging="173"/>
      </w:pPr>
      <w:r>
        <w:rPr>
          <w:rFonts w:ascii="Palatino" w:hAnsi="Palatino" w:eastAsia="Palatino"/>
          <w:b w:val="0"/>
          <w:color w:val="071B2E"/>
          <w:sz w:val="17"/>
          <w:lang w:val="en-US"/>
        </w:rPr>
        <w:t>Product stock uses optimistic locking through JPA @Version.</w:t>
      </w:r>
    </w:p>
    <w:p>
      <w:pPr>
        <w:pStyle w:val="ListBullet"/>
        <w:keepNext w:val="0"/>
        <w:spacing w:before="0" w:after="32" w:line="245" w:lineRule="auto"/>
        <w:ind w:left="259" w:hanging="173"/>
      </w:pPr>
      <w:r>
        <w:rPr>
          <w:rFonts w:ascii="Palatino" w:hAnsi="Palatino" w:eastAsia="Palatino"/>
          <w:b w:val="0"/>
          <w:color w:val="071B2E"/>
          <w:sz w:val="17"/>
          <w:lang w:val="en-US"/>
        </w:rPr>
        <w:t>A cart is not inventory reservation; checkout revalidates and deducts stock inside the order transaction.</w:t>
      </w:r>
    </w:p>
    <w:p>
      <w:pPr>
        <w:pStyle w:val="ListBullet"/>
        <w:keepNext w:val="0"/>
        <w:spacing w:before="0" w:after="32" w:line="245" w:lineRule="auto"/>
        <w:ind w:left="259" w:hanging="173"/>
      </w:pPr>
      <w:r>
        <w:rPr>
          <w:rFonts w:ascii="Palatino" w:hAnsi="Palatino" w:eastAsia="Palatino"/>
          <w:b w:val="0"/>
          <w:color w:val="071B2E"/>
          <w:sz w:val="17"/>
          <w:lang w:val="en-US"/>
        </w:rPr>
        <w:t>Order-item name, unit price, and subtotal snapshots preserve purchase-time evidence.</w:t>
      </w:r>
    </w:p>
    <w:p>
      <w:pPr>
        <w:pStyle w:val="ListBullet"/>
        <w:keepNext w:val="0"/>
        <w:spacing w:before="0" w:after="32" w:line="245" w:lineRule="auto"/>
        <w:ind w:left="259" w:hanging="173"/>
      </w:pPr>
      <w:r>
        <w:rPr>
          <w:rFonts w:ascii="Palatino" w:hAnsi="Palatino" w:eastAsia="Palatino"/>
          <w:b w:val="0"/>
          <w:color w:val="071B2E"/>
          <w:sz w:val="17"/>
          <w:lang w:val="en-US"/>
        </w:rPr>
        <w:t>Order creation, stock deduction, cart deletion, and ORDER_CREATED Outbox insertion commit atomically.</w:t>
      </w:r>
    </w:p>
    <w:p>
      <w:pPr>
        <w:pStyle w:val="ListBullet"/>
        <w:keepNext w:val="0"/>
        <w:spacing w:before="0" w:after="32" w:line="245" w:lineRule="auto"/>
        <w:ind w:left="259" w:hanging="173"/>
      </w:pPr>
      <w:r>
        <w:rPr>
          <w:rFonts w:ascii="Palatino" w:hAnsi="Palatino" w:eastAsia="Palatino"/>
          <w:b w:val="0"/>
          <w:color w:val="071B2E"/>
          <w:sz w:val="17"/>
          <w:lang w:val="en-US"/>
        </w:rPr>
        <w:t>Cancellation accepts only PENDING, restores stock, and shares the same pessimistic order lock used by payment.</w:t>
      </w:r>
    </w:p>
    <w:p>
      <w:pPr>
        <w:pStyle w:val="Heading2"/>
        <w:keepNext/>
      </w:pPr>
      <w:r>
        <w:rPr>
          <w:rFonts w:ascii="Avenir Next" w:hAnsi="Avenir Next" w:eastAsia="Avenir Next"/>
          <w:b/>
          <w:color w:val="0B1F33"/>
          <w:sz w:val="24"/>
          <w:lang w:val="en-US"/>
        </w:rPr>
        <w:t>4.2 Payment idempotency</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10570"/>
      </w:tblGrid>
      <w:tr>
        <w:trPr>
          <w:cantSplit/>
          <w:tblHeader w:val="true"/>
        </w:trPr>
        <w:tc>
          <w:tcPr>
            <w:tcW w:type="dxa" w:w="9864"/>
            <w:shd w:fill="0B1F33"/>
            <w:tcMar>
              <w:top w:w="35" w:type="dxa"/>
              <w:start w:w="65" w:type="dxa"/>
              <w:bottom w:w="35" w:type="dxa"/>
              <w:end w:w="65" w:type="dxa"/>
            </w:tcMar>
            <w:tcBorders>
              <w:top w:val="single" w:sz="5" w:space="0" w:color="B8BDC7"/>
              <w:left w:val="single" w:sz="5" w:color="B8BDC7" w:space="0"/>
              <w:bottom w:val="single" w:sz="5" w:space="0" w:color="B8BDC7"/>
              <w:right w:val="single" w:sz="5" w:space="0" w:color="B8BDC7"/>
              <w:insideH w:val="single" w:sz="5" w:space="0" w:color="B8BDC7"/>
              <w:insideV w:val="single" w:sz="5" w:space="0" w:color="B8BDC7"/>
            </w:tcBorders>
          </w:tcPr>
          <w:p>
            <w:pPr>
              <w:keepNext w:val="0"/>
              <w:spacing w:before="0" w:after="0" w:line="240" w:lineRule="auto"/>
            </w:pPr>
            <w:r>
              <w:rPr>
                <w:rFonts w:ascii="Avenir Next" w:hAnsi="Avenir Next" w:eastAsia="Avenir Next"/>
                <w:b/>
                <w:color w:val="FFFFFF"/>
                <w:sz w:val="16"/>
                <w:lang w:val="en-US"/>
              </w:rPr>
              <w:t>Idempotency-Key + request path</w:t>
            </w:r>
            <w:r>
              <w:rPr>
                <w:rFonts w:ascii="Avenir Next" w:hAnsi="Avenir Next" w:eastAsia="Avenir Next"/>
                <w:b/>
                <w:color w:val="FFFFFF"/>
                <w:sz w:val="15"/>
                <w:lang w:val="en-US"/>
              </w:rPr>
              <w:br/>
            </w:r>
            <w:r>
              <w:rPr>
                <w:rFonts w:ascii="Avenir Next" w:hAnsi="Avenir Next" w:eastAsia="Avenir Next"/>
                <w:b/>
                <w:color w:val="FFFFFF"/>
                <w:sz w:val="16"/>
                <w:lang w:val="en-US"/>
              </w:rPr>
              <w:t xml:space="preserve">  -&gt; SHA-256 request fingerprint</w:t>
            </w:r>
            <w:r>
              <w:rPr>
                <w:rFonts w:ascii="Avenir Next" w:hAnsi="Avenir Next" w:eastAsia="Avenir Next"/>
                <w:b/>
                <w:color w:val="FFFFFF"/>
                <w:sz w:val="15"/>
                <w:lang w:val="en-US"/>
              </w:rPr>
              <w:br/>
            </w:r>
            <w:r>
              <w:rPr>
                <w:rFonts w:ascii="Avenir Next" w:hAnsi="Avenir Next" w:eastAsia="Avenir Next"/>
                <w:b/>
                <w:color w:val="FFFFFF"/>
                <w:sz w:val="16"/>
                <w:lang w:val="en-US"/>
              </w:rPr>
              <w:t xml:space="preserve">  -&gt; SELECT order FOR UPDATE</w:t>
            </w:r>
            <w:r>
              <w:rPr>
                <w:rFonts w:ascii="Avenir Next" w:hAnsi="Avenir Next" w:eastAsia="Avenir Next"/>
                <w:b/>
                <w:color w:val="FFFFFF"/>
                <w:sz w:val="15"/>
                <w:lang w:val="en-US"/>
              </w:rPr>
              <w:br/>
            </w:r>
            <w:r>
              <w:rPr>
                <w:rFonts w:ascii="Avenir Next" w:hAnsi="Avenir Next" w:eastAsia="Avenir Next"/>
                <w:b/>
                <w:color w:val="FFFFFF"/>
                <w:sz w:val="16"/>
                <w:lang w:val="en-US"/>
              </w:rPr>
              <w:t xml:space="preserve">  -&gt; replay lookup again under lock</w:t>
            </w:r>
            <w:r>
              <w:rPr>
                <w:rFonts w:ascii="Avenir Next" w:hAnsi="Avenir Next" w:eastAsia="Avenir Next"/>
                <w:b/>
                <w:color w:val="FFFFFF"/>
                <w:sz w:val="15"/>
                <w:lang w:val="en-US"/>
              </w:rPr>
              <w:br/>
            </w:r>
            <w:r>
              <w:rPr>
                <w:rFonts w:ascii="Avenir Next" w:hAnsi="Avenir Next" w:eastAsia="Avenir Next"/>
                <w:b/>
                <w:color w:val="FFFFFF"/>
                <w:sz w:val="16"/>
                <w:lang w:val="en-US"/>
              </w:rPr>
              <w:t xml:space="preserve">  -&gt; validate PENDING + no existing payment</w:t>
            </w:r>
            <w:r>
              <w:rPr>
                <w:rFonts w:ascii="Avenir Next" w:hAnsi="Avenir Next" w:eastAsia="Avenir Next"/>
                <w:b/>
                <w:color w:val="FFFFFF"/>
                <w:sz w:val="15"/>
                <w:lang w:val="en-US"/>
              </w:rPr>
              <w:br/>
            </w:r>
            <w:r>
              <w:rPr>
                <w:rFonts w:ascii="Avenir Next" w:hAnsi="Avenir Next" w:eastAsia="Avenir Next"/>
                <w:b/>
                <w:color w:val="FFFFFF"/>
                <w:sz w:val="16"/>
                <w:lang w:val="en-US"/>
              </w:rPr>
              <w:t xml:space="preserve">  -&gt; persist payment + replay metadata + response snapshot</w:t>
            </w:r>
            <w:r>
              <w:rPr>
                <w:rFonts w:ascii="Avenir Next" w:hAnsi="Avenir Next" w:eastAsia="Avenir Next"/>
                <w:b/>
                <w:color w:val="FFFFFF"/>
                <w:sz w:val="15"/>
                <w:lang w:val="en-US"/>
              </w:rPr>
              <w:br/>
            </w:r>
            <w:r>
              <w:rPr>
                <w:rFonts w:ascii="Avenir Next" w:hAnsi="Avenir Next" w:eastAsia="Avenir Next"/>
                <w:b/>
                <w:color w:val="FFFFFF"/>
                <w:sz w:val="16"/>
                <w:lang w:val="en-US"/>
              </w:rPr>
              <w:t xml:space="preserve">  -&gt; order = PAID + PAYMENT_PAID Outbox event</w:t>
            </w:r>
            <w:r>
              <w:rPr>
                <w:rFonts w:ascii="Avenir Next" w:hAnsi="Avenir Next" w:eastAsia="Avenir Next"/>
                <w:b/>
                <w:color w:val="FFFFFF"/>
                <w:sz w:val="15"/>
                <w:lang w:val="en-US"/>
              </w:rPr>
              <w:br/>
            </w:r>
            <w:r>
              <w:rPr>
                <w:rFonts w:ascii="Avenir Next" w:hAnsi="Avenir Next" w:eastAsia="Avenir Next"/>
                <w:b/>
                <w:color w:val="FFFFFF"/>
                <w:sz w:val="16"/>
                <w:lang w:val="en-US"/>
              </w:rPr>
              <w:t xml:space="preserve">  -&gt; one PostgreSQL commit</w:t>
            </w:r>
          </w:p>
        </w:tc>
      </w:tr>
    </w:tbl>
    <w:p>
      <w:pPr>
        <w:spacing w:after="0"/>
      </w:pPr>
    </w:p>
    <w:p>
      <w:pPr>
        <w:keepNext w:val="0"/>
        <w:spacing w:before="0" w:after="60" w:line="252" w:lineRule="auto"/>
      </w:pPr>
      <w:r>
        <w:rPr>
          <w:rFonts w:ascii="Palatino" w:hAnsi="Palatino" w:eastAsia="Palatino"/>
          <w:b w:val="0"/>
          <w:color w:val="071B2E"/>
          <w:sz w:val="17"/>
          <w:lang w:val="en-US"/>
        </w:rPr>
        <w:t>Database constraints protect one payment per order and one replay identity per (idempotency_key, request_path). Reusing the same key with a different request fingerprint is rejected.</w:t>
      </w:r>
    </w:p>
    <w:p>
      <w:pPr>
        <w:pStyle w:val="Heading2"/>
        <w:keepNext/>
      </w:pPr>
      <w:r>
        <w:rPr>
          <w:rFonts w:ascii="Avenir Next" w:hAnsi="Avenir Next" w:eastAsia="Avenir Next"/>
          <w:b/>
          <w:color w:val="0B1F33"/>
          <w:sz w:val="24"/>
          <w:lang w:val="en-US"/>
        </w:rPr>
        <w:t>4.3 Transactional Outbox and consumer safety</w:t>
      </w:r>
    </w:p>
    <w:p>
      <w:pPr>
        <w:keepNext/>
        <w:spacing w:after="0" w:before="20"/>
        <w:jc w:val="center"/>
      </w:pPr>
      <w:r>
        <w:rPr>
          <w:rFonts w:ascii="Palatino" w:hAnsi="Palatino" w:eastAsia="Palatino"/>
          <w:color w:val="071B2E"/>
          <w:sz w:val="17"/>
          <w:lang w:val="en-US"/>
        </w:rPr>
        <w:drawing>
          <wp:inline xmlns:a="http://schemas.openxmlformats.org/drawingml/2006/main" xmlns:pic="http://schemas.openxmlformats.org/drawingml/2006/picture">
            <wp:extent cx="6217920" cy="1417320"/>
            <wp:docPr id="2" name="Picture 2"/>
            <wp:cNvGraphicFramePr>
              <a:graphicFrameLocks noChangeAspect="1"/>
            </wp:cNvGraphicFramePr>
            <a:graphic>
              <a:graphicData uri="http://schemas.openxmlformats.org/drawingml/2006/picture">
                <pic:pic>
                  <pic:nvPicPr>
                    <pic:cNvPr id="0" name="Transactional Outbox lifecycle" title="Transactional Outbox lifecycle" descr="PENDING records are claimed with SKIP LOCKED into PROCESSING with an owner and lease. Kafka acknowledgement advances to PUBLISHED. Send failure with attempts remaining schedules retry and returns to PENDING when due. Lease expiry also returns to PENDING. Maximum attempts advance to FAILED; an approved ADMIN replay returns the record to PENDING."/>
                    <pic:cNvPicPr/>
                  </pic:nvPicPr>
                  <pic:blipFill>
                    <a:blip r:embed="rId12"/>
                    <a:stretch>
                      <a:fillRect/>
                    </a:stretch>
                  </pic:blipFill>
                  <pic:spPr>
                    <a:xfrm>
                      <a:off x="0" y="0"/>
                      <a:ext cx="6217920" cy="1417320"/>
                    </a:xfrm>
                    <a:prstGeom prst="rect"/>
                  </pic:spPr>
                </pic:pic>
              </a:graphicData>
            </a:graphic>
          </wp:inline>
        </w:drawing>
      </w:r>
    </w:p>
    <w:p>
      <w:pPr>
        <w:pStyle w:val="CaptionCustom"/>
        <w:keepLines/>
        <w:jc w:val="center"/>
      </w:pPr>
      <w:r>
        <w:rPr>
          <w:rFonts w:ascii="Palatino" w:hAnsi="Palatino" w:eastAsia="Palatino"/>
          <w:i/>
          <w:color w:val="0B1F33"/>
          <w:sz w:val="15"/>
          <w:lang w:val="en-US"/>
        </w:rPr>
        <w:t>Figure 2 | Durable Outbox lifecycle: non-blocking multi-replica claim, ownership lease, retry scheduling, terminal failure, and controlled replay</w:t>
      </w:r>
    </w:p>
    <w:p>
      <w:pPr>
        <w:keepNext w:val="0"/>
        <w:spacing w:before="0" w:after="60" w:line="252" w:lineRule="auto"/>
      </w:pPr>
      <w:r>
        <w:rPr>
          <w:rFonts w:ascii="Palatino" w:hAnsi="Palatino" w:eastAsia="Palatino"/>
          <w:b w:val="0"/>
          <w:color w:val="071B2E"/>
          <w:sz w:val="17"/>
          <w:lang w:val="en-US"/>
        </w:rPr>
        <w:t>Business state and event intent share one PostgreSQL transaction. Competing publishers use FOR UPDATE SKIP LOCKED to claim different due rows. Kafka acknowledgement is awaited before PUBLISHED; retry eligibility and terminal failure remain durable database state.</w:t>
      </w:r>
    </w:p>
    <w:tbl>
      <w:tblPr>
        <w:tblW w:type="auto" w:w="0"/>
        <w:jc w:val="center"/>
        <w:tblLayout w:type="fixed"/>
        <w:tblLook w:firstColumn="1" w:firstRow="1" w:lastColumn="0" w:lastRow="0" w:noHBand="0" w:noVBand="1" w:val="04A0"/>
        <w:tblBorders>
          <w:top w:val="single" w:sz="8" w:space="0" w:color="0A66FF"/>
          <w:left w:val="single" w:sz="8" w:space="0" w:color="0A66FF"/>
          <w:bottom w:val="single" w:sz="8" w:space="0" w:color="0A66FF"/>
          <w:right w:val="single" w:sz="8" w:space="0" w:color="0A66FF"/>
          <w:insideH w:val="single" w:sz="8" w:space="0" w:color="0A66FF"/>
          <w:insideV w:val="single" w:sz="8" w:space="0" w:color="0A66FF"/>
        </w:tblBorders>
      </w:tblPr>
      <w:tblGrid>
        <w:gridCol w:w="10570"/>
      </w:tblGrid>
      <w:tr>
        <w:trPr>
          <w:cantSplit/>
        </w:trPr>
        <w:tc>
          <w:tcPr>
            <w:tcW w:type="dxa" w:w="10080"/>
            <w:shd w:fill="E2E4E8"/>
            <w:tcMar>
              <w:top w:w="35" w:type="dxa"/>
              <w:start w:w="65" w:type="dxa"/>
              <w:bottom w:w="35" w:type="dxa"/>
              <w:end w:w="65" w:type="dxa"/>
            </w:tcMar>
            <w:tcBorders>
              <w:top w:val="single" w:sz="8" w:color="0A66FF" w:space="0"/>
              <w:left w:val="single" w:sz="8" w:color="0A66FF" w:space="0"/>
              <w:bottom w:val="single" w:sz="8" w:color="0A66FF" w:space="0"/>
              <w:right w:val="single" w:sz="8" w:color="0A66FF" w:space="0"/>
              <w:insideH w:val="single" w:sz="8" w:space="0" w:color="0A66FF"/>
              <w:insideV w:val="single" w:sz="8" w:space="0" w:color="0A66FF"/>
            </w:tcBorders>
          </w:tcPr>
          <w:p>
            <w:pPr>
              <w:keepNext w:val="0"/>
              <w:spacing w:before="0" w:after="0" w:line="240" w:lineRule="auto"/>
              <w:jc w:val="left"/>
            </w:pPr>
            <w:r>
              <w:rPr>
                <w:rFonts w:ascii="Avenir Next" w:hAnsi="Avenir Next" w:eastAsia="Avenir Next"/>
                <w:b/>
                <w:color w:val="0A66FF"/>
                <w:sz w:val="16"/>
                <w:lang w:val="en-US"/>
              </w:rPr>
              <w:t xml:space="preserve">Concurrency interpretation  </w:t>
            </w:r>
            <w:r>
              <w:rPr>
                <w:rFonts w:ascii="Palatino" w:hAnsi="Palatino" w:eastAsia="Palatino"/>
                <w:b w:val="0"/>
                <w:color w:val="071B2E"/>
                <w:sz w:val="16"/>
                <w:lang w:val="en-US"/>
              </w:rPr>
              <w:t>The Phase 3 drill observed 90 events, 30/30/30 claims across three application replicas, 90 Kafka records, and no observed duplicates/missing records. This verifies cooperative non-overlapping work under that workload; it is not a global exactly-once or fairness guarantee.</w:t>
            </w:r>
          </w:p>
        </w:tc>
      </w:tr>
    </w:tbl>
    <w:p>
      <w:pPr>
        <w:spacing w:after="0"/>
      </w:pPr>
    </w:p>
    <w:p>
      <w:pPr>
        <w:keepNext w:val="0"/>
        <w:spacing w:before="0" w:after="60" w:line="252" w:lineRule="auto"/>
      </w:pPr>
      <w:r>
        <w:rPr>
          <w:rFonts w:ascii="Palatino" w:hAnsi="Palatino" w:eastAsia="Palatino"/>
          <w:b w:val="0"/>
          <w:color w:val="071B2E"/>
          <w:sz w:val="17"/>
          <w:lang w:val="en-US"/>
        </w:rPr>
        <w:t>Kafka consumers persist (event_id, consumer_name) and the business side effect in one transaction. Duplicate delivery becomes a unique-conflict skip; a failed side effect rolls back the marker so retry remains safe. Terminal records enter persisted DLT governance with quarantine, replay reservation, audit history, and lease recovery.</w:t>
      </w:r>
    </w:p>
    <w:p>
      <w:pPr>
        <w:pStyle w:val="Heading1"/>
        <w:pBdr>
          <w:bottom w:val="single" w:sz="5" w:space="4" w:color="D9E5FF"/>
        </w:pBdr>
      </w:pPr>
      <w:r>
        <w:rPr>
          <w:rFonts w:ascii="Avenir Next" w:hAnsi="Avenir Next" w:eastAsia="Avenir Next"/>
          <w:b/>
          <w:color w:val="071B2E"/>
          <w:sz w:val="34"/>
          <w:lang w:val="en-US"/>
        </w:rPr>
        <w:t>5. Kubernetes Application-Tier Availability</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3523"/>
        <w:gridCol w:w="3523"/>
        <w:gridCol w:w="3523"/>
      </w:tblGrid>
      <w:tr>
        <w:trPr>
          <w:tblHeader w:val="true"/>
          <w:cantSplit/>
        </w:trPr>
        <w:tc>
          <w:tcPr>
            <w:tcW w:type="dxa" w:w="201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Control</w:t>
            </w:r>
          </w:p>
        </w:tc>
        <w:tc>
          <w:tcPr>
            <w:tcW w:type="dxa" w:w="3672"/>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Final configuration</w:t>
            </w:r>
          </w:p>
        </w:tc>
        <w:tc>
          <w:tcPr>
            <w:tcW w:type="dxa" w:w="4392"/>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Engineering intent</w:t>
            </w:r>
          </w:p>
        </w:tc>
      </w:tr>
      <w:tr>
        <w:trPr>
          <w:cantSplit/>
        </w:trPr>
        <w:tc>
          <w:tcPr>
            <w:tcW w:type="dxa" w:w="20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Replicas</w:t>
            </w:r>
          </w:p>
        </w:tc>
        <w:tc>
          <w:tcPr>
            <w:tcW w:type="dxa" w:w="36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w:t>
            </w:r>
          </w:p>
        </w:tc>
        <w:tc>
          <w:tcPr>
            <w:tcW w:type="dxa" w:w="439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baseline capacity across workers</w:t>
            </w:r>
          </w:p>
        </w:tc>
      </w:tr>
      <w:tr>
        <w:trPr>
          <w:cantSplit/>
        </w:trPr>
        <w:tc>
          <w:tcPr>
            <w:tcW w:type="dxa" w:w="20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HPA</w:t>
            </w:r>
          </w:p>
        </w:tc>
        <w:tc>
          <w:tcPr>
            <w:tcW w:type="dxa" w:w="36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CPU target 60%; min 3 / max 8</w:t>
            </w:r>
          </w:p>
        </w:tc>
        <w:tc>
          <w:tcPr>
            <w:tcW w:type="dxa" w:w="439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verified scale-out and scale-down</w:t>
            </w:r>
          </w:p>
        </w:tc>
      </w:tr>
      <w:tr>
        <w:trPr>
          <w:cantSplit/>
        </w:trPr>
        <w:tc>
          <w:tcPr>
            <w:tcW w:type="dxa" w:w="20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Rolling update</w:t>
            </w:r>
          </w:p>
        </w:tc>
        <w:tc>
          <w:tcPr>
            <w:tcW w:type="dxa" w:w="36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maxUnavailable=0; maxSurge=1</w:t>
            </w:r>
          </w:p>
        </w:tc>
        <w:tc>
          <w:tcPr>
            <w:tcW w:type="dxa" w:w="439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preserve serving capacity during planned release</w:t>
            </w:r>
          </w:p>
        </w:tc>
      </w:tr>
      <w:tr>
        <w:trPr>
          <w:cantSplit/>
        </w:trPr>
        <w:tc>
          <w:tcPr>
            <w:tcW w:type="dxa" w:w="20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PDB</w:t>
            </w:r>
          </w:p>
        </w:tc>
        <w:tc>
          <w:tcPr>
            <w:tcW w:type="dxa" w:w="36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minAvailable=2</w:t>
            </w:r>
          </w:p>
        </w:tc>
        <w:tc>
          <w:tcPr>
            <w:tcW w:type="dxa" w:w="439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protect voluntary eviction</w:t>
            </w:r>
          </w:p>
        </w:tc>
      </w:tr>
      <w:tr>
        <w:trPr>
          <w:cantSplit/>
        </w:trPr>
        <w:tc>
          <w:tcPr>
            <w:tcW w:type="dxa" w:w="20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Topology</w:t>
            </w:r>
          </w:p>
        </w:tc>
        <w:tc>
          <w:tcPr>
            <w:tcW w:type="dxa" w:w="36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maxSkew=1; ScheduleAnyway + preferred anti-affinity</w:t>
            </w:r>
          </w:p>
        </w:tc>
        <w:tc>
          <w:tcPr>
            <w:tcW w:type="dxa" w:w="439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prefer separation without blocking degraded recovery</w:t>
            </w:r>
          </w:p>
        </w:tc>
      </w:tr>
      <w:tr>
        <w:trPr>
          <w:cantSplit/>
        </w:trPr>
        <w:tc>
          <w:tcPr>
            <w:tcW w:type="dxa" w:w="20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NoExecute tolerations</w:t>
            </w:r>
          </w:p>
        </w:tc>
        <w:tc>
          <w:tcPr>
            <w:tcW w:type="dxa" w:w="36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NotReady/Unreachable 30s</w:t>
            </w:r>
          </w:p>
        </w:tc>
        <w:tc>
          <w:tcPr>
            <w:tcW w:type="dxa" w:w="439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shorten replacement delay for local failure testing</w:t>
            </w:r>
          </w:p>
        </w:tc>
      </w:tr>
    </w:tbl>
    <w:p>
      <w:pPr>
        <w:spacing w:after="0"/>
      </w:pPr>
    </w:p>
    <w:p>
      <w:pPr>
        <w:pStyle w:val="Heading2"/>
        <w:keepNext/>
      </w:pPr>
      <w:r>
        <w:rPr>
          <w:rFonts w:ascii="Avenir Next" w:hAnsi="Avenir Next" w:eastAsia="Avenir Next"/>
          <w:b/>
          <w:color w:val="0B1F33"/>
          <w:sz w:val="24"/>
          <w:lang w:val="en-US"/>
        </w:rPr>
        <w:t>Hard worker failure: client-visible behavior</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tblHeader w:val="true"/>
          <w:cantSplit/>
        </w:trPr>
        <w:tc>
          <w:tcPr>
            <w:tcW w:type="dxa" w:w="5760"/>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Observation</w:t>
            </w:r>
          </w:p>
        </w:tc>
        <w:tc>
          <w:tcPr>
            <w:tcW w:type="dxa" w:w="4320"/>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Result</w:t>
            </w:r>
          </w:p>
        </w:tc>
      </w:tr>
      <w:tr>
        <w:trPr>
          <w:cantSplit/>
        </w:trPr>
        <w:tc>
          <w:tcPr>
            <w:tcW w:type="dxa" w:w="57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Total completed trace attempts</w:t>
            </w:r>
          </w:p>
        </w:tc>
        <w:tc>
          <w:tcPr>
            <w:tcW w:type="dxa" w:w="43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458</w:t>
            </w:r>
          </w:p>
        </w:tc>
      </w:tr>
      <w:tr>
        <w:trPr>
          <w:cantSplit/>
        </w:trPr>
        <w:tc>
          <w:tcPr>
            <w:tcW w:type="dxa" w:w="57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HTTP 200</w:t>
            </w:r>
          </w:p>
        </w:tc>
        <w:tc>
          <w:tcPr>
            <w:tcW w:type="dxa" w:w="43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424</w:t>
            </w:r>
          </w:p>
        </w:tc>
      </w:tr>
      <w:tr>
        <w:trPr>
          <w:cantSplit/>
        </w:trPr>
        <w:tc>
          <w:tcPr>
            <w:tcW w:type="dxa" w:w="57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Transport failures (HTTP 000)</w:t>
            </w:r>
          </w:p>
        </w:tc>
        <w:tc>
          <w:tcPr>
            <w:tcW w:type="dxa" w:w="43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34</w:t>
            </w:r>
          </w:p>
        </w:tc>
      </w:tr>
      <w:tr>
        <w:trPr>
          <w:cantSplit/>
        </w:trPr>
        <w:tc>
          <w:tcPr>
            <w:tcW w:type="dxa" w:w="57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Application-generated HTTP 5xx</w:t>
            </w:r>
          </w:p>
        </w:tc>
        <w:tc>
          <w:tcPr>
            <w:tcW w:type="dxa" w:w="43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0</w:t>
            </w:r>
          </w:p>
        </w:tc>
      </w:tr>
      <w:tr>
        <w:trPr>
          <w:cantSplit/>
        </w:trPr>
        <w:tc>
          <w:tcPr>
            <w:tcW w:type="dxa" w:w="57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Last observed transport failure</w:t>
            </w:r>
          </w:p>
        </w:tc>
        <w:tc>
          <w:tcPr>
            <w:tcW w:type="dxa" w:w="43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~T+40s</w:t>
            </w:r>
          </w:p>
        </w:tc>
      </w:tr>
      <w:tr>
        <w:trPr>
          <w:cantSplit/>
        </w:trPr>
        <w:tc>
          <w:tcPr>
            <w:tcW w:type="dxa" w:w="57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Node Ready -&gt; Unknown</w:t>
            </w:r>
          </w:p>
        </w:tc>
        <w:tc>
          <w:tcPr>
            <w:tcW w:type="dxa" w:w="43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~T+48s</w:t>
            </w:r>
          </w:p>
        </w:tc>
      </w:tr>
      <w:tr>
        <w:trPr>
          <w:cantSplit/>
        </w:trPr>
        <w:tc>
          <w:tcPr>
            <w:tcW w:type="dxa" w:w="57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Replacement Pod created</w:t>
            </w:r>
          </w:p>
        </w:tc>
        <w:tc>
          <w:tcPr>
            <w:tcW w:type="dxa" w:w="43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~T+78s</w:t>
            </w:r>
          </w:p>
        </w:tc>
      </w:tr>
      <w:tr>
        <w:trPr>
          <w:cantSplit/>
        </w:trPr>
        <w:tc>
          <w:tcPr>
            <w:tcW w:type="dxa" w:w="57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Replacement Ready / EndpointSlice convergence</w:t>
            </w:r>
          </w:p>
        </w:tc>
        <w:tc>
          <w:tcPr>
            <w:tcW w:type="dxa" w:w="43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~T+94s</w:t>
            </w:r>
          </w:p>
        </w:tc>
      </w:tr>
      <w:tr>
        <w:trPr>
          <w:cantSplit/>
        </w:trPr>
        <w:tc>
          <w:tcPr>
            <w:tcW w:type="dxa" w:w="57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Final Deployment</w:t>
            </w:r>
          </w:p>
        </w:tc>
        <w:tc>
          <w:tcPr>
            <w:tcW w:type="dxa" w:w="43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3/3 Ready</w:t>
            </w:r>
          </w:p>
        </w:tc>
      </w:tr>
    </w:tbl>
    <w:p>
      <w:pPr>
        <w:spacing w:after="0"/>
      </w:pPr>
    </w:p>
    <w:tbl>
      <w:tblPr>
        <w:tblW w:type="auto" w:w="0"/>
        <w:jc w:val="center"/>
        <w:tblLayout w:type="fixed"/>
        <w:tblLook w:firstColumn="1" w:firstRow="1" w:lastColumn="0" w:lastRow="0" w:noHBand="0" w:noVBand="1" w:val="04A0"/>
        <w:tblBorders>
          <w:top w:val="single" w:sz="8" w:space="0" w:color="0057B8"/>
          <w:left w:val="single" w:sz="8" w:space="0" w:color="0057B8"/>
          <w:bottom w:val="single" w:sz="8" w:space="0" w:color="0057B8"/>
          <w:right w:val="single" w:sz="8" w:space="0" w:color="0057B8"/>
          <w:insideH w:val="single" w:sz="8" w:space="0" w:color="0057B8"/>
          <w:insideV w:val="single" w:sz="8" w:space="0" w:color="0057B8"/>
        </w:tblBorders>
      </w:tblPr>
      <w:tblGrid>
        <w:gridCol w:w="10570"/>
      </w:tblGrid>
      <w:tr>
        <w:trPr>
          <w:cantSplit/>
        </w:trPr>
        <w:tc>
          <w:tcPr>
            <w:tcW w:type="dxa" w:w="10080"/>
            <w:shd w:fill="F4F5F7"/>
            <w:tcMar>
              <w:top w:w="35" w:type="dxa"/>
              <w:start w:w="65" w:type="dxa"/>
              <w:bottom w:w="35" w:type="dxa"/>
              <w:end w:w="65" w:type="dxa"/>
            </w:tcMar>
            <w:tcBorders>
              <w:top w:val="single" w:sz="8" w:color="0057B8" w:space="0"/>
              <w:left w:val="single" w:sz="8" w:color="0057B8" w:space="0"/>
              <w:bottom w:val="single" w:sz="8" w:color="0057B8" w:space="0"/>
              <w:right w:val="single" w:sz="8" w:color="0057B8" w:space="0"/>
              <w:insideH w:val="single" w:sz="8" w:space="0" w:color="0057B8"/>
              <w:insideV w:val="single" w:sz="8" w:space="0" w:color="0057B8"/>
            </w:tcBorders>
          </w:tcPr>
          <w:p>
            <w:pPr>
              <w:keepNext w:val="0"/>
              <w:spacing w:before="0" w:after="0" w:line="240" w:lineRule="auto"/>
              <w:jc w:val="left"/>
            </w:pPr>
            <w:r>
              <w:rPr>
                <w:rFonts w:ascii="Avenir Next" w:hAnsi="Avenir Next" w:eastAsia="Avenir Next"/>
                <w:b/>
                <w:color w:val="0057B8"/>
                <w:sz w:val="16"/>
                <w:lang w:val="en-US"/>
              </w:rPr>
              <w:t xml:space="preserve">Engineering conclusion  </w:t>
            </w:r>
            <w:r>
              <w:rPr>
                <w:rFonts w:ascii="Palatino" w:hAnsi="Palatino" w:eastAsia="Palatino"/>
                <w:b w:val="0"/>
                <w:color w:val="071B2E"/>
                <w:sz w:val="16"/>
                <w:lang w:val="en-US"/>
              </w:rPr>
              <w:t>Automatic application recovery: PASS. Zero-downtime continuity under abrupt worker loss: NOT demonstrated. The 424/458 request ratio is not an availability SLI because timeout and successful requests had very different durations.</w:t>
            </w:r>
          </w:p>
        </w:tc>
      </w:tr>
    </w:tbl>
    <w:p>
      <w:pPr>
        <w:spacing w:after="0"/>
      </w:pPr>
    </w:p>
    <w:p>
      <w:pPr>
        <w:pStyle w:val="Heading1"/>
        <w:pBdr>
          <w:bottom w:val="single" w:sz="5" w:space="4" w:color="D9E5FF"/>
        </w:pBdr>
      </w:pPr>
      <w:r>
        <w:rPr>
          <w:rFonts w:ascii="Avenir Next" w:hAnsi="Avenir Next" w:eastAsia="Avenir Next"/>
          <w:b/>
          <w:color w:val="071B2E"/>
          <w:sz w:val="34"/>
          <w:lang w:val="en-US"/>
        </w:rPr>
        <w:t>6. Phase 4 - PostgreSQL High Availability and Disaster Recovery</w:t>
      </w:r>
    </w:p>
    <w:p>
      <w:pPr>
        <w:keepNext/>
        <w:spacing w:after="0" w:before="20"/>
        <w:jc w:val="center"/>
      </w:pPr>
      <w:r>
        <w:rPr>
          <w:rFonts w:ascii="Palatino" w:hAnsi="Palatino" w:eastAsia="Palatino"/>
          <w:color w:val="071B2E"/>
          <w:sz w:val="17"/>
          <w:lang w:val="en-US"/>
        </w:rPr>
        <w:drawing>
          <wp:inline xmlns:a="http://schemas.openxmlformats.org/drawingml/2006/main" xmlns:pic="http://schemas.openxmlformats.org/drawingml/2006/picture">
            <wp:extent cx="6263640" cy="1600200"/>
            <wp:docPr id="3" name="Picture 3"/>
            <wp:cNvGraphicFramePr>
              <a:graphicFrameLocks noChangeAspect="1"/>
            </wp:cNvGraphicFramePr>
            <a:graphic>
              <a:graphicData uri="http://schemas.openxmlformats.org/drawingml/2006/picture">
                <pic:pic>
                  <pic:nvPicPr>
                    <pic:cNvPr id="0" name="PostgreSQL failover and restore" title="PostgreSQL failover and restore" descr="The application reaches CloudNativePG through a stable read-write service. The steady cluster has postgres-ha-1 as primary and postgres-ha-2 and postgres-ha-3 as standbys with synchronous commit and one standby acknowledgement. Hard primary-node loss promotes postgres-ha-2; client-visible write RTO is 51.543 seconds, none of 72 captured acknowledged commits are missing, and the cluster returns to three healthy instances. A separate lane shows continuous WAL archive, physical backup through Barman Cloud to MinIO, and independent restoration of spring_boot_lab with 3,864 rows in approximately 49 seconds."/>
                    <pic:cNvPicPr/>
                  </pic:nvPicPr>
                  <pic:blipFill>
                    <a:blip r:embed="rId13"/>
                    <a:stretch>
                      <a:fillRect/>
                    </a:stretch>
                  </pic:blipFill>
                  <pic:spPr>
                    <a:xfrm>
                      <a:off x="0" y="0"/>
                      <a:ext cx="6263640" cy="1600200"/>
                    </a:xfrm>
                    <a:prstGeom prst="rect"/>
                  </pic:spPr>
                </pic:pic>
              </a:graphicData>
            </a:graphic>
          </wp:inline>
        </w:drawing>
      </w:r>
    </w:p>
    <w:p>
      <w:pPr>
        <w:pStyle w:val="CaptionCustom"/>
        <w:keepLines/>
        <w:jc w:val="center"/>
      </w:pPr>
      <w:r>
        <w:rPr>
          <w:rFonts w:ascii="Palatino" w:hAnsi="Palatino" w:eastAsia="Palatino"/>
          <w:i/>
          <w:color w:val="0B1F33"/>
          <w:sz w:val="15"/>
          <w:lang w:val="en-US"/>
        </w:rPr>
        <w:t>Figure 3 | PostgreSQL resilience: stable RW service, synchronous failover with automatic promotion, WAL archiving, physical backup, and independent restore</w:t>
      </w:r>
    </w:p>
    <w:p>
      <w:pPr>
        <w:pStyle w:val="Heading2"/>
        <w:keepNext/>
      </w:pPr>
      <w:r>
        <w:rPr>
          <w:rFonts w:ascii="Avenir Next" w:hAnsi="Avenir Next" w:eastAsia="Avenir Next"/>
          <w:b/>
          <w:color w:val="0B1F33"/>
          <w:sz w:val="24"/>
          <w:lang w:val="en-US"/>
        </w:rPr>
        <w:t>6.1 Synchronous primary hard-failure verification</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tblHeader w:val="true"/>
          <w:cantSplit/>
        </w:trPr>
        <w:tc>
          <w:tcPr>
            <w:tcW w:type="dxa" w:w="3960"/>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Evidence</w:t>
            </w:r>
          </w:p>
        </w:tc>
        <w:tc>
          <w:tcPr>
            <w:tcW w:type="dxa" w:w="6120"/>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Observed result</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Topology</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CloudNativePG; PostgreSQL 17; 3 instances</w:t>
            </w:r>
          </w:p>
        </w:tc>
      </w:tr>
      <w:tr>
        <w:trPr>
          <w:cantSplit/>
        </w:trPr>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Durability policy</w:t>
            </w:r>
          </w:p>
        </w:tc>
        <w:tc>
          <w:tcPr>
            <w:tcW w:type="dxa" w:w="61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synchronous_commit=on; quorum ANY 1 standby acknowledgement</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Failure</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hard loss of worker hosting postgres-ha-1 primary</w:t>
            </w:r>
          </w:p>
        </w:tc>
      </w:tr>
      <w:tr>
        <w:trPr>
          <w:cantSplit/>
        </w:trPr>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Promoted primary</w:t>
            </w:r>
          </w:p>
        </w:tc>
        <w:tc>
          <w:tcPr>
            <w:tcW w:type="dxa" w:w="61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postgres-ha-2</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Client-visible write RTO</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51.543 seconds</w:t>
            </w:r>
          </w:p>
        </w:tc>
      </w:tr>
      <w:tr>
        <w:trPr>
          <w:cantSplit/>
        </w:trPr>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Failure injection -&gt; first recovered commit</w:t>
            </w:r>
          </w:p>
        </w:tc>
        <w:tc>
          <w:tcPr>
            <w:tcW w:type="dxa" w:w="61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52.468 seconds</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Captured acknowledged commits</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72</w:t>
            </w:r>
          </w:p>
        </w:tc>
      </w:tr>
      <w:tr>
        <w:trPr>
          <w:cantSplit/>
        </w:trPr>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Acknowledged writes missing after failover</w:t>
            </w:r>
          </w:p>
        </w:tc>
        <w:tc>
          <w:tcPr>
            <w:tcW w:type="dxa" w:w="61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0</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Final state</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3/3 healthy instances</w:t>
            </w:r>
          </w:p>
        </w:tc>
      </w:tr>
    </w:tbl>
    <w:p>
      <w:pPr>
        <w:spacing w:after="0"/>
      </w:pPr>
    </w:p>
    <w:tbl>
      <w:tblPr>
        <w:tblW w:type="auto" w:w="0"/>
        <w:jc w:val="center"/>
        <w:tblLayout w:type="fixed"/>
        <w:tblLook w:firstColumn="1" w:firstRow="1" w:lastColumn="0" w:lastRow="0" w:noHBand="0" w:noVBand="1" w:val="04A0"/>
        <w:tblBorders>
          <w:top w:val="single" w:sz="8" w:space="0" w:color="0057B8"/>
          <w:left w:val="single" w:sz="8" w:space="0" w:color="0057B8"/>
          <w:bottom w:val="single" w:sz="8" w:space="0" w:color="0057B8"/>
          <w:right w:val="single" w:sz="8" w:space="0" w:color="0057B8"/>
          <w:insideH w:val="single" w:sz="8" w:space="0" w:color="0057B8"/>
          <w:insideV w:val="single" w:sz="8" w:space="0" w:color="0057B8"/>
        </w:tblBorders>
      </w:tblPr>
      <w:tblGrid>
        <w:gridCol w:w="10570"/>
      </w:tblGrid>
      <w:tr>
        <w:trPr>
          <w:cantSplit/>
        </w:trPr>
        <w:tc>
          <w:tcPr>
            <w:tcW w:type="dxa" w:w="10080"/>
            <w:shd w:fill="F4F5F7"/>
            <w:tcMar>
              <w:top w:w="35" w:type="dxa"/>
              <w:start w:w="65" w:type="dxa"/>
              <w:bottom w:w="35" w:type="dxa"/>
              <w:end w:w="65" w:type="dxa"/>
            </w:tcMar>
            <w:tcBorders>
              <w:top w:val="single" w:sz="8" w:color="0057B8" w:space="0"/>
              <w:left w:val="single" w:sz="8" w:color="0057B8" w:space="0"/>
              <w:bottom w:val="single" w:sz="8" w:color="0057B8" w:space="0"/>
              <w:right w:val="single" w:sz="8" w:color="0057B8" w:space="0"/>
              <w:insideH w:val="single" w:sz="8" w:space="0" w:color="0057B8"/>
              <w:insideV w:val="single" w:sz="8" w:space="0" w:color="0057B8"/>
            </w:tcBorders>
          </w:tcPr>
          <w:p>
            <w:pPr>
              <w:keepNext w:val="0"/>
              <w:spacing w:before="0" w:after="0" w:line="240" w:lineRule="auto"/>
              <w:jc w:val="left"/>
            </w:pPr>
            <w:r>
              <w:rPr>
                <w:rFonts w:ascii="Avenir Next" w:hAnsi="Avenir Next" w:eastAsia="Avenir Next"/>
                <w:b/>
                <w:color w:val="0057B8"/>
                <w:sz w:val="16"/>
                <w:lang w:val="en-US"/>
              </w:rPr>
              <w:t xml:space="preserve">RPO wording  </w:t>
            </w:r>
            <w:r>
              <w:rPr>
                <w:rFonts w:ascii="Palatino" w:hAnsi="Palatino" w:eastAsia="Palatino"/>
                <w:b w:val="0"/>
                <w:color w:val="071B2E"/>
                <w:sz w:val="16"/>
                <w:lang w:val="en-US"/>
              </w:rPr>
              <w:t>Observed RPO = 0 acknowledged transactions lost is scoped only to writes for which the client captured a successful COMMITTED acknowledgement in this experiment. It is not a universal zero-loss guarantee.</w:t>
            </w:r>
          </w:p>
        </w:tc>
      </w:tr>
    </w:tbl>
    <w:p>
      <w:pPr>
        <w:spacing w:after="0"/>
      </w:pPr>
    </w:p>
    <w:p>
      <w:pPr>
        <w:pStyle w:val="Heading2"/>
        <w:keepNext/>
      </w:pPr>
      <w:r>
        <w:rPr>
          <w:rFonts w:ascii="Avenir Next" w:hAnsi="Avenir Next" w:eastAsia="Avenir Next"/>
          <w:b/>
          <w:color w:val="0B1F33"/>
          <w:sz w:val="24"/>
          <w:lang w:val="en-US"/>
        </w:rPr>
        <w:t>6.2 Backup and independent restore</w:t>
      </w:r>
    </w:p>
    <w:p>
      <w:pPr>
        <w:pStyle w:val="ListBullet"/>
        <w:keepNext w:val="0"/>
        <w:spacing w:before="0" w:after="32" w:line="245" w:lineRule="auto"/>
        <w:ind w:left="259" w:hanging="173"/>
      </w:pPr>
      <w:r>
        <w:rPr>
          <w:rFonts w:ascii="Palatino" w:hAnsi="Palatino" w:eastAsia="Palatino"/>
          <w:b w:val="0"/>
          <w:color w:val="071B2E"/>
          <w:sz w:val="17"/>
          <w:lang w:val="en-US"/>
        </w:rPr>
        <w:t>CloudNativePG Barman Cloud plugin integrated with an S3-compatible MinIO object store.</w:t>
      </w:r>
    </w:p>
    <w:p>
      <w:pPr>
        <w:pStyle w:val="ListBullet"/>
        <w:keepNext w:val="0"/>
        <w:spacing w:before="0" w:after="32" w:line="245" w:lineRule="auto"/>
        <w:ind w:left="259" w:hanging="173"/>
      </w:pPr>
      <w:r>
        <w:rPr>
          <w:rFonts w:ascii="Palatino" w:hAnsi="Palatino" w:eastAsia="Palatino"/>
          <w:b w:val="0"/>
          <w:color w:val="071B2E"/>
          <w:sz w:val="17"/>
          <w:lang w:val="en-US"/>
        </w:rPr>
        <w:t>Continuous WAL archiving and a forced WAL switch were verified.</w:t>
      </w:r>
    </w:p>
    <w:p>
      <w:pPr>
        <w:pStyle w:val="ListBullet"/>
        <w:keepNext w:val="0"/>
        <w:spacing w:before="0" w:after="32" w:line="245" w:lineRule="auto"/>
        <w:ind w:left="259" w:hanging="173"/>
      </w:pPr>
      <w:r>
        <w:rPr>
          <w:rFonts w:ascii="Palatino" w:hAnsi="Palatino" w:eastAsia="Palatino"/>
          <w:b w:val="0"/>
          <w:color w:val="071B2E"/>
          <w:sz w:val="17"/>
          <w:lang w:val="en-US"/>
        </w:rPr>
        <w:t>An online physical base backup completed; catalog and artifacts were present in object storage.</w:t>
      </w:r>
    </w:p>
    <w:p>
      <w:pPr>
        <w:pStyle w:val="ListBullet"/>
        <w:keepNext w:val="0"/>
        <w:spacing w:before="0" w:after="32" w:line="245" w:lineRule="auto"/>
        <w:ind w:left="259" w:hanging="173"/>
      </w:pPr>
      <w:r>
        <w:rPr>
          <w:rFonts w:ascii="Palatino" w:hAnsi="Palatino" w:eastAsia="Palatino"/>
          <w:b w:val="0"/>
          <w:color w:val="071B2E"/>
          <w:sz w:val="17"/>
          <w:lang w:val="en-US"/>
        </w:rPr>
        <w:t>An independent postgres-ha-restore cluster was bootstrapped from the backup.</w:t>
      </w:r>
    </w:p>
    <w:p>
      <w:pPr>
        <w:pStyle w:val="ListBullet"/>
        <w:keepNext w:val="0"/>
        <w:spacing w:before="0" w:after="32" w:line="245" w:lineRule="auto"/>
        <w:ind w:left="259" w:hanging="173"/>
      </w:pPr>
      <w:r>
        <w:rPr>
          <w:rFonts w:ascii="Palatino" w:hAnsi="Palatino" w:eastAsia="Palatino"/>
          <w:b w:val="0"/>
          <w:color w:val="071B2E"/>
          <w:sz w:val="17"/>
          <w:lang w:val="en-US"/>
        </w:rPr>
        <w:t>The restored spring_boot_lab database was queryable and phase4_primary_failover_probe contained 3,864 rows.</w:t>
      </w:r>
    </w:p>
    <w:p>
      <w:pPr>
        <w:pStyle w:val="ListBullet"/>
        <w:keepNext w:val="0"/>
        <w:spacing w:before="0" w:after="32" w:line="245" w:lineRule="auto"/>
        <w:ind w:left="259" w:hanging="173"/>
      </w:pPr>
      <w:r>
        <w:rPr>
          <w:rFonts w:ascii="Palatino" w:hAnsi="Palatino" w:eastAsia="Palatino"/>
          <w:b w:val="0"/>
          <w:color w:val="071B2E"/>
          <w:sz w:val="17"/>
          <w:lang w:val="en-US"/>
        </w:rPr>
        <w:t>Observed local restore-cluster creation to healthy state was approximately 49 seconds.</w:t>
      </w:r>
    </w:p>
    <w:tbl>
      <w:tblPr>
        <w:tblW w:type="auto" w:w="0"/>
        <w:jc w:val="center"/>
        <w:tblLayout w:type="fixed"/>
        <w:tblLook w:firstColumn="1" w:firstRow="1" w:lastColumn="0" w:lastRow="0" w:noHBand="0" w:noVBand="1" w:val="04A0"/>
        <w:tblBorders>
          <w:top w:val="single" w:sz="8" w:space="0" w:color="0A66FF"/>
          <w:left w:val="single" w:sz="8" w:space="0" w:color="0A66FF"/>
          <w:bottom w:val="single" w:sz="8" w:space="0" w:color="0A66FF"/>
          <w:right w:val="single" w:sz="8" w:space="0" w:color="0A66FF"/>
          <w:insideH w:val="single" w:sz="8" w:space="0" w:color="0A66FF"/>
          <w:insideV w:val="single" w:sz="8" w:space="0" w:color="0A66FF"/>
        </w:tblBorders>
      </w:tblPr>
      <w:tblGrid>
        <w:gridCol w:w="10570"/>
      </w:tblGrid>
      <w:tr>
        <w:trPr>
          <w:cantSplit/>
        </w:trPr>
        <w:tc>
          <w:tcPr>
            <w:tcW w:type="dxa" w:w="10080"/>
            <w:shd w:fill="E2E4E8"/>
            <w:tcMar>
              <w:top w:w="35" w:type="dxa"/>
              <w:start w:w="65" w:type="dxa"/>
              <w:bottom w:w="35" w:type="dxa"/>
              <w:end w:w="65" w:type="dxa"/>
            </w:tcMar>
            <w:tcBorders>
              <w:top w:val="single" w:sz="8" w:color="0A66FF" w:space="0"/>
              <w:left w:val="single" w:sz="8" w:color="0A66FF" w:space="0"/>
              <w:bottom w:val="single" w:sz="8" w:color="0A66FF" w:space="0"/>
              <w:right w:val="single" w:sz="8" w:color="0A66FF" w:space="0"/>
              <w:insideH w:val="single" w:sz="8" w:space="0" w:color="0A66FF"/>
              <w:insideV w:val="single" w:sz="8" w:space="0" w:color="0A66FF"/>
            </w:tcBorders>
          </w:tcPr>
          <w:p>
            <w:pPr>
              <w:keepNext w:val="0"/>
              <w:spacing w:before="0" w:after="0" w:line="240" w:lineRule="auto"/>
              <w:jc w:val="left"/>
            </w:pPr>
            <w:r>
              <w:rPr>
                <w:rFonts w:ascii="Avenir Next" w:hAnsi="Avenir Next" w:eastAsia="Avenir Next"/>
                <w:b/>
                <w:color w:val="0A66FF"/>
                <w:sz w:val="16"/>
                <w:lang w:val="en-US"/>
              </w:rPr>
              <w:t xml:space="preserve">Diagnostic value  </w:t>
            </w:r>
            <w:r>
              <w:rPr>
                <w:rFonts w:ascii="Palatino" w:hAnsi="Palatino" w:eastAsia="Palatino"/>
                <w:b w:val="0"/>
                <w:color w:val="071B2E"/>
                <w:sz w:val="16"/>
                <w:lang w:val="en-US"/>
              </w:rPr>
              <w:t>The first recovery attempt failed because the restore source resolved the wrong backup server name. The corrected configuration then restored successfully. Preserving that failure is important: backup creation alone is not evidence of recoverability.</w:t>
            </w:r>
          </w:p>
        </w:tc>
      </w:tr>
    </w:tbl>
    <w:p>
      <w:pPr>
        <w:spacing w:after="0"/>
      </w:pPr>
    </w:p>
    <w:p>
      <w:pPr>
        <w:pStyle w:val="Heading1"/>
        <w:pBdr>
          <w:bottom w:val="single" w:sz="5" w:space="4" w:color="D9E5FF"/>
        </w:pBdr>
      </w:pPr>
      <w:r>
        <w:rPr>
          <w:rFonts w:ascii="Avenir Next" w:hAnsi="Avenir Next" w:eastAsia="Avenir Next"/>
          <w:b/>
          <w:color w:val="071B2E"/>
          <w:sz w:val="34"/>
          <w:lang w:val="en-US"/>
        </w:rPr>
        <w:t>7. Phase 5 - Kafka KRaft High Availability</w:t>
      </w:r>
    </w:p>
    <w:p>
      <w:pPr>
        <w:keepNext/>
        <w:spacing w:after="0" w:before="20"/>
        <w:jc w:val="center"/>
      </w:pPr>
      <w:r>
        <w:rPr>
          <w:rFonts w:ascii="Palatino" w:hAnsi="Palatino" w:eastAsia="Palatino"/>
          <w:color w:val="071B2E"/>
          <w:sz w:val="17"/>
          <w:lang w:val="en-US"/>
        </w:rPr>
        <w:drawing>
          <wp:inline xmlns:a="http://schemas.openxmlformats.org/drawingml/2006/main" xmlns:pic="http://schemas.openxmlformats.org/drawingml/2006/picture">
            <wp:extent cx="6263640" cy="1371600"/>
            <wp:docPr id="4" name="Picture 4"/>
            <wp:cNvGraphicFramePr>
              <a:graphicFrameLocks noChangeAspect="1"/>
            </wp:cNvGraphicFramePr>
            <a:graphic>
              <a:graphicData uri="http://schemas.openxmlformats.org/drawingml/2006/picture">
                <pic:pic>
                  <pic:nvPicPr>
                    <pic:cNvPr id="0" name="Kafka broker failure and reconciliation" title="Kafka broker failure and reconciliation" descr="Continuous producer traffic enters a six-partition validation topic with replication factor three and minimum in-sync replicas two on a three-node KRaft cluster. Hard loss of one broker preserves quorum, moves leaders, and temporarily reduces affected ISR to two. Metadata refresh and retry recover transient NOT_LEADER_OR_FOLLOWER responses; all six partitions return to ISR three and follower lag zero. Reconciliation compares 3,733 captured acknowledgement records and 3,733 unique values against 6,337 consumed records, with zero captured acknowledgement values missing."/>
                    <pic:cNvPicPr/>
                  </pic:nvPicPr>
                  <pic:blipFill>
                    <a:blip r:embed="rId14"/>
                    <a:stretch>
                      <a:fillRect/>
                    </a:stretch>
                  </pic:blipFill>
                  <pic:spPr>
                    <a:xfrm>
                      <a:off x="0" y="0"/>
                      <a:ext cx="6263640" cy="1371600"/>
                    </a:xfrm>
                    <a:prstGeom prst="rect"/>
                  </pic:spPr>
                </pic:pic>
              </a:graphicData>
            </a:graphic>
          </wp:inline>
        </w:drawing>
      </w:r>
    </w:p>
    <w:p>
      <w:pPr>
        <w:pStyle w:val="CaptionCustom"/>
        <w:keepLines/>
        <w:jc w:val="center"/>
      </w:pPr>
      <w:r>
        <w:rPr>
          <w:rFonts w:ascii="Palatino" w:hAnsi="Palatino" w:eastAsia="Palatino"/>
          <w:i/>
          <w:color w:val="0B1F33"/>
          <w:sz w:val="15"/>
          <w:lang w:val="en-US"/>
        </w:rPr>
        <w:t>Figure 4 | Kafka single broker/node failure: KRaft quorum survival, leader movement, producer metadata retry, broker rejoin, and ISR convergence</w:t>
      </w:r>
    </w:p>
    <w:p>
      <w:pPr>
        <w:pStyle w:val="Heading2"/>
        <w:keepNext/>
      </w:pPr>
      <w:r>
        <w:rPr>
          <w:rFonts w:ascii="Avenir Next" w:hAnsi="Avenir Next" w:eastAsia="Avenir Next"/>
          <w:b/>
          <w:color w:val="0B1F33"/>
          <w:sz w:val="24"/>
          <w:lang w:val="en-US"/>
        </w:rPr>
        <w:t>7.1 HA configuration and failure behavior</w:t>
      </w:r>
    </w:p>
    <w:p>
      <w:pPr>
        <w:pStyle w:val="ListBullet"/>
        <w:keepNext w:val="0"/>
        <w:spacing w:before="0" w:after="32" w:line="245" w:lineRule="auto"/>
        <w:ind w:left="259" w:hanging="173"/>
      </w:pPr>
      <w:r>
        <w:rPr>
          <w:rFonts w:ascii="Palatino" w:hAnsi="Palatino" w:eastAsia="Palatino"/>
          <w:b w:val="0"/>
          <w:color w:val="071B2E"/>
          <w:sz w:val="17"/>
          <w:lang w:val="en-US"/>
        </w:rPr>
        <w:t>3 Kafka 4.1.2 nodes, each running broker + controller roles, distributed across worker nodes.</w:t>
      </w:r>
    </w:p>
    <w:p>
      <w:pPr>
        <w:pStyle w:val="ListBullet"/>
        <w:keepNext w:val="0"/>
        <w:spacing w:before="0" w:after="32" w:line="245" w:lineRule="auto"/>
        <w:ind w:left="259" w:hanging="173"/>
      </w:pPr>
      <w:r>
        <w:rPr>
          <w:rFonts w:ascii="Palatino" w:hAnsi="Palatino" w:eastAsia="Palatino"/>
          <w:b w:val="0"/>
          <w:color w:val="071B2E"/>
          <w:sz w:val="17"/>
          <w:lang w:val="en-US"/>
        </w:rPr>
        <w:t>Validation topic: 6 partitions, replication factor 3, min.insync.replicas=2.</w:t>
      </w:r>
    </w:p>
    <w:p>
      <w:pPr>
        <w:pStyle w:val="ListBullet"/>
        <w:keepNext w:val="0"/>
        <w:spacing w:before="0" w:after="32" w:line="245" w:lineRule="auto"/>
        <w:ind w:left="259" w:hanging="173"/>
      </w:pPr>
      <w:r>
        <w:rPr>
          <w:rFonts w:ascii="Palatino" w:hAnsi="Palatino" w:eastAsia="Palatino"/>
          <w:b w:val="0"/>
          <w:color w:val="071B2E"/>
          <w:sz w:val="17"/>
          <w:lang w:val="en-US"/>
        </w:rPr>
        <w:t>One broker/node was removed during continuous producer traffic.</w:t>
      </w:r>
    </w:p>
    <w:p>
      <w:pPr>
        <w:pStyle w:val="ListBullet"/>
        <w:keepNext w:val="0"/>
        <w:spacing w:before="0" w:after="32" w:line="245" w:lineRule="auto"/>
        <w:ind w:left="259" w:hanging="173"/>
      </w:pPr>
      <w:r>
        <w:rPr>
          <w:rFonts w:ascii="Palatino" w:hAnsi="Palatino" w:eastAsia="Palatino"/>
          <w:b w:val="0"/>
          <w:color w:val="071B2E"/>
          <w:sz w:val="17"/>
          <w:lang w:val="en-US"/>
        </w:rPr>
        <w:t>KRaft quorum survived; controller and partition leadership moved to surviving brokers.</w:t>
      </w:r>
    </w:p>
    <w:p>
      <w:pPr>
        <w:pStyle w:val="ListBullet"/>
        <w:keepNext w:val="0"/>
        <w:spacing w:before="0" w:after="32" w:line="245" w:lineRule="auto"/>
        <w:ind w:left="259" w:hanging="173"/>
      </w:pPr>
      <w:r>
        <w:rPr>
          <w:rFonts w:ascii="Palatino" w:hAnsi="Palatino" w:eastAsia="Palatino"/>
          <w:b w:val="0"/>
          <w:color w:val="071B2E"/>
          <w:sz w:val="17"/>
          <w:lang w:val="en-US"/>
        </w:rPr>
        <w:t>Affected partitions operated with ISR=2; producer observed transient NOT_LEADER_OR_FOLLOWER responses and recovered via metadata refresh/retry.</w:t>
      </w:r>
    </w:p>
    <w:p>
      <w:pPr>
        <w:pStyle w:val="ListBullet"/>
        <w:keepNext w:val="0"/>
        <w:spacing w:before="0" w:after="32" w:line="245" w:lineRule="auto"/>
        <w:ind w:left="259" w:hanging="173"/>
      </w:pPr>
      <w:r>
        <w:rPr>
          <w:rFonts w:ascii="Palatino" w:hAnsi="Palatino" w:eastAsia="Palatino"/>
          <w:b w:val="0"/>
          <w:color w:val="071B2E"/>
          <w:sz w:val="17"/>
          <w:lang w:val="en-US"/>
        </w:rPr>
        <w:t>After recovery, all 6 partitions returned to ISR=3 and final KRaft follower lag returned to zero.</w:t>
      </w:r>
    </w:p>
    <w:p>
      <w:pPr>
        <w:pStyle w:val="Heading2"/>
        <w:keepNext/>
      </w:pPr>
      <w:r>
        <w:rPr>
          <w:rFonts w:ascii="Avenir Next" w:hAnsi="Avenir Next" w:eastAsia="Avenir Next"/>
          <w:b/>
          <w:color w:val="0B1F33"/>
          <w:sz w:val="24"/>
          <w:lang w:val="en-US"/>
        </w:rPr>
        <w:t>7.2 Message durability reconciliation</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tblHeader w:val="true"/>
          <w:cantSplit/>
        </w:trPr>
        <w:tc>
          <w:tcPr>
            <w:tcW w:type="dxa" w:w="633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Evidence</w:t>
            </w:r>
          </w:p>
        </w:tc>
        <w:tc>
          <w:tcPr>
            <w:tcW w:type="dxa" w:w="3744"/>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Result</w:t>
            </w:r>
          </w:p>
        </w:tc>
      </w:tr>
      <w:tr>
        <w:trPr>
          <w:cantSplit/>
        </w:trPr>
        <w:tc>
          <w:tcPr>
            <w:tcW w:type="dxa" w:w="633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Captured producer ACK records</w:t>
            </w:r>
          </w:p>
        </w:tc>
        <w:tc>
          <w:tcPr>
            <w:tcW w:type="dxa" w:w="3744"/>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3,733</w:t>
            </w:r>
          </w:p>
        </w:tc>
      </w:tr>
      <w:tr>
        <w:trPr>
          <w:cantSplit/>
        </w:trPr>
        <w:tc>
          <w:tcPr>
            <w:tcW w:type="dxa" w:w="633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Unique captured ACK values</w:t>
            </w:r>
          </w:p>
        </w:tc>
        <w:tc>
          <w:tcPr>
            <w:tcW w:type="dxa" w:w="3744"/>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3,733</w:t>
            </w:r>
          </w:p>
        </w:tc>
      </w:tr>
      <w:tr>
        <w:trPr>
          <w:cantSplit/>
        </w:trPr>
        <w:tc>
          <w:tcPr>
            <w:tcW w:type="dxa" w:w="633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Records consumed after recovery</w:t>
            </w:r>
          </w:p>
        </w:tc>
        <w:tc>
          <w:tcPr>
            <w:tcW w:type="dxa" w:w="3744"/>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6,337</w:t>
            </w:r>
          </w:p>
        </w:tc>
      </w:tr>
      <w:tr>
        <w:trPr>
          <w:cantSplit/>
        </w:trPr>
        <w:tc>
          <w:tcPr>
            <w:tcW w:type="dxa" w:w="633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Captured ACK values missing from Kafka</w:t>
            </w:r>
          </w:p>
        </w:tc>
        <w:tc>
          <w:tcPr>
            <w:tcW w:type="dxa" w:w="3744"/>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0</w:t>
            </w:r>
          </w:p>
        </w:tc>
      </w:tr>
    </w:tbl>
    <w:p>
      <w:pPr>
        <w:spacing w:after="0"/>
      </w:pPr>
    </w:p>
    <w:tbl>
      <w:tblPr>
        <w:tblW w:type="auto" w:w="0"/>
        <w:jc w:val="center"/>
        <w:tblLayout w:type="fixed"/>
        <w:tblLook w:firstColumn="1" w:firstRow="1" w:lastColumn="0" w:lastRow="0" w:noHBand="0" w:noVBand="1" w:val="04A0"/>
        <w:tblBorders>
          <w:top w:val="single" w:sz="8" w:space="0" w:color="0057B8"/>
          <w:left w:val="single" w:sz="8" w:space="0" w:color="0057B8"/>
          <w:bottom w:val="single" w:sz="8" w:space="0" w:color="0057B8"/>
          <w:right w:val="single" w:sz="8" w:space="0" w:color="0057B8"/>
          <w:insideH w:val="single" w:sz="8" w:space="0" w:color="0057B8"/>
          <w:insideV w:val="single" w:sz="8" w:space="0" w:color="0057B8"/>
        </w:tblBorders>
      </w:tblPr>
      <w:tblGrid>
        <w:gridCol w:w="10570"/>
      </w:tblGrid>
      <w:tr>
        <w:trPr>
          <w:cantSplit/>
        </w:trPr>
        <w:tc>
          <w:tcPr>
            <w:tcW w:type="dxa" w:w="10080"/>
            <w:shd w:fill="F4F5F7"/>
            <w:tcMar>
              <w:top w:w="35" w:type="dxa"/>
              <w:start w:w="65" w:type="dxa"/>
              <w:bottom w:w="35" w:type="dxa"/>
              <w:end w:w="65" w:type="dxa"/>
            </w:tcMar>
            <w:tcBorders>
              <w:top w:val="single" w:sz="8" w:color="0057B8" w:space="0"/>
              <w:left w:val="single" w:sz="8" w:color="0057B8" w:space="0"/>
              <w:bottom w:val="single" w:sz="8" w:color="0057B8" w:space="0"/>
              <w:right w:val="single" w:sz="8" w:color="0057B8" w:space="0"/>
              <w:insideH w:val="single" w:sz="8" w:space="0" w:color="0057B8"/>
              <w:insideV w:val="single" w:sz="8" w:space="0" w:color="0057B8"/>
            </w:tcBorders>
          </w:tcPr>
          <w:p>
            <w:pPr>
              <w:keepNext w:val="0"/>
              <w:spacing w:before="0" w:after="0" w:line="240" w:lineRule="auto"/>
              <w:jc w:val="left"/>
            </w:pPr>
            <w:r>
              <w:rPr>
                <w:rFonts w:ascii="Avenir Next" w:hAnsi="Avenir Next" w:eastAsia="Avenir Next"/>
                <w:b/>
                <w:color w:val="0057B8"/>
                <w:sz w:val="16"/>
                <w:lang w:val="en-US"/>
              </w:rPr>
              <w:t xml:space="preserve">Durability conclusion  </w:t>
            </w:r>
            <w:r>
              <w:rPr>
                <w:rFonts w:ascii="Palatino" w:hAnsi="Palatino" w:eastAsia="Palatino"/>
                <w:b w:val="0"/>
                <w:color w:val="071B2E"/>
                <w:sz w:val="16"/>
                <w:lang w:val="en-US"/>
              </w:rPr>
              <w:t>Observed RPO = 0 acknowledged messages lost for the captured acknowledgement set. Additional Kafka records were produced beyond the point-in-time ACK log capture and are not treated as duplicates or inconsistencies.</w:t>
            </w:r>
          </w:p>
        </w:tc>
      </w:tr>
    </w:tbl>
    <w:p>
      <w:pPr>
        <w:spacing w:after="0"/>
      </w:pPr>
    </w:p>
    <w:p>
      <w:pPr>
        <w:pStyle w:val="Heading1"/>
        <w:pBdr>
          <w:bottom w:val="single" w:sz="5" w:space="4" w:color="D9E5FF"/>
        </w:pBdr>
      </w:pPr>
      <w:r>
        <w:rPr>
          <w:rFonts w:ascii="Avenir Next" w:hAnsi="Avenir Next" w:eastAsia="Avenir Next"/>
          <w:b/>
          <w:color w:val="071B2E"/>
          <w:sz w:val="34"/>
          <w:lang w:val="en-US"/>
        </w:rPr>
        <w:t>8. Phase 6 - Redis Sentinel High Availability</w:t>
      </w:r>
    </w:p>
    <w:p>
      <w:pPr>
        <w:keepNext/>
        <w:spacing w:after="0" w:before="20"/>
        <w:jc w:val="center"/>
      </w:pPr>
      <w:r>
        <w:rPr>
          <w:rFonts w:ascii="Palatino" w:hAnsi="Palatino" w:eastAsia="Palatino"/>
          <w:color w:val="071B2E"/>
          <w:sz w:val="17"/>
          <w:lang w:val="en-US"/>
        </w:rPr>
        <w:drawing>
          <wp:inline xmlns:a="http://schemas.openxmlformats.org/drawingml/2006/main" xmlns:pic="http://schemas.openxmlformats.org/drawingml/2006/picture">
            <wp:extent cx="6263640" cy="1234440"/>
            <wp:docPr id="5" name="Picture 5"/>
            <wp:cNvGraphicFramePr>
              <a:graphicFrameLocks noChangeAspect="1"/>
            </wp:cNvGraphicFramePr>
            <a:graphic>
              <a:graphicData uri="http://schemas.openxmlformats.org/drawingml/2006/picture">
                <pic:pic>
                  <pic:nvPicPr>
                    <pic:cNvPr id="0" name="Redis Sentinel failover" title="Redis Sentinel failover" descr="Spring Boot Lettuce discovers the master through three Sentinels with quorum two. The steady topology has redis-0 master with redis-1 and redis-2 replicas using asynchronous replication. Hard master-node loss promotes redis-1, observed at approximately T plus 18 seconds. Post-promotion writes succeed; the former master rejoins as a replica and the final topology is one master plus two replicas. The diagram preserves the boundary that asynchronous replication does not establish a general zero-RPO guarantee."/>
                    <pic:cNvPicPr/>
                  </pic:nvPicPr>
                  <pic:blipFill>
                    <a:blip r:embed="rId15"/>
                    <a:stretch>
                      <a:fillRect/>
                    </a:stretch>
                  </pic:blipFill>
                  <pic:spPr>
                    <a:xfrm>
                      <a:off x="0" y="0"/>
                      <a:ext cx="6263640" cy="1234440"/>
                    </a:xfrm>
                    <a:prstGeom prst="rect"/>
                  </pic:spPr>
                </pic:pic>
              </a:graphicData>
            </a:graphic>
          </wp:inline>
        </w:drawing>
      </w:r>
    </w:p>
    <w:p>
      <w:pPr>
        <w:pStyle w:val="CaptionCustom"/>
        <w:keepLines/>
        <w:jc w:val="center"/>
      </w:pPr>
      <w:r>
        <w:rPr>
          <w:rFonts w:ascii="Palatino" w:hAnsi="Palatino" w:eastAsia="Palatino"/>
          <w:i/>
          <w:color w:val="0B1F33"/>
          <w:sz w:val="15"/>
          <w:lang w:val="en-US"/>
        </w:rPr>
        <w:t>Figure 5 | Redis master-node failure: Sentinel quorum, replica promotion, client discovery, post-promotion writes, and topology convergence after node recovery</w:t>
      </w:r>
    </w:p>
    <w:p>
      <w:pPr>
        <w:pStyle w:val="Heading2"/>
        <w:keepNext/>
      </w:pPr>
      <w:r>
        <w:rPr>
          <w:rFonts w:ascii="Avenir Next" w:hAnsi="Avenir Next" w:eastAsia="Avenir Next"/>
          <w:b/>
          <w:color w:val="0B1F33"/>
          <w:sz w:val="24"/>
          <w:lang w:val="en-US"/>
        </w:rPr>
        <w:t>8.1 Topology and failure result</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tblHeader w:val="true"/>
          <w:cantSplit/>
        </w:trPr>
        <w:tc>
          <w:tcPr>
            <w:tcW w:type="dxa" w:w="3960"/>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Control / evidence</w:t>
            </w:r>
          </w:p>
        </w:tc>
        <w:tc>
          <w:tcPr>
            <w:tcW w:type="dxa" w:w="6120"/>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Observed result</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Redis data tier</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 nodes; steady state 1 master + 2 replicas</w:t>
            </w:r>
          </w:p>
        </w:tc>
      </w:tr>
      <w:tr>
        <w:trPr>
          <w:cantSplit/>
        </w:trPr>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Sentinel</w:t>
            </w:r>
          </w:p>
        </w:tc>
        <w:tc>
          <w:tcPr>
            <w:tcW w:type="dxa" w:w="61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 instances; quorum=2</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Client discovery</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Spring Boot/Lettuce uses Sentinel master discovery</w:t>
            </w:r>
          </w:p>
        </w:tc>
      </w:tr>
      <w:tr>
        <w:trPr>
          <w:cantSplit/>
        </w:trPr>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Failure</w:t>
            </w:r>
          </w:p>
        </w:tc>
        <w:tc>
          <w:tcPr>
            <w:tcW w:type="dxa" w:w="61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hard loss of worker hosting active master</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New master</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redis-1; observed by approximately T+18s from recorded node stop</w:t>
            </w:r>
          </w:p>
        </w:tc>
      </w:tr>
      <w:tr>
        <w:trPr>
          <w:cantSplit/>
        </w:trPr>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Pre-failure data</w:t>
            </w:r>
          </w:p>
        </w:tc>
        <w:tc>
          <w:tcPr>
            <w:tcW w:type="dxa" w:w="61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readable after promotion</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Post-promotion writes</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successful</w:t>
            </w:r>
          </w:p>
        </w:tc>
      </w:tr>
      <w:tr>
        <w:trPr>
          <w:cantSplit/>
        </w:trPr>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Recovery</w:t>
            </w:r>
          </w:p>
        </w:tc>
        <w:tc>
          <w:tcPr>
            <w:tcW w:type="dxa" w:w="612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former master rejoined as replica; final 1 master + 2 replicas</w:t>
            </w:r>
          </w:p>
        </w:tc>
      </w:tr>
      <w:tr>
        <w:trPr>
          <w:cantSplit/>
        </w:trPr>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Application logs</w:t>
            </w:r>
          </w:p>
        </w:tc>
        <w:tc>
          <w:tcPr>
            <w:tcW w:type="dxa" w:w="612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no targeted Redis/Lettuce failover error found in collected window</w:t>
            </w:r>
          </w:p>
        </w:tc>
      </w:tr>
    </w:tbl>
    <w:p>
      <w:pPr>
        <w:spacing w:after="0"/>
      </w:pPr>
    </w:p>
    <w:tbl>
      <w:tblPr>
        <w:tblW w:type="auto" w:w="0"/>
        <w:jc w:val="center"/>
        <w:tblLayout w:type="fixed"/>
        <w:tblLook w:firstColumn="1" w:firstRow="1" w:lastColumn="0" w:lastRow="0" w:noHBand="0" w:noVBand="1" w:val="04A0"/>
        <w:tblBorders>
          <w:top w:val="single" w:sz="8" w:space="0" w:color="0A66FF"/>
          <w:left w:val="single" w:sz="8" w:space="0" w:color="0A66FF"/>
          <w:bottom w:val="single" w:sz="8" w:space="0" w:color="0A66FF"/>
          <w:right w:val="single" w:sz="8" w:space="0" w:color="0A66FF"/>
          <w:insideH w:val="single" w:sz="8" w:space="0" w:color="0A66FF"/>
          <w:insideV w:val="single" w:sz="8" w:space="0" w:color="0A66FF"/>
        </w:tblBorders>
      </w:tblPr>
      <w:tblGrid>
        <w:gridCol w:w="10570"/>
      </w:tblGrid>
      <w:tr>
        <w:trPr>
          <w:cantSplit/>
        </w:trPr>
        <w:tc>
          <w:tcPr>
            <w:tcW w:type="dxa" w:w="10080"/>
            <w:shd w:fill="E2E4E8"/>
            <w:tcMar>
              <w:top w:w="35" w:type="dxa"/>
              <w:start w:w="65" w:type="dxa"/>
              <w:bottom w:w="35" w:type="dxa"/>
              <w:end w:w="65" w:type="dxa"/>
            </w:tcMar>
            <w:tcBorders>
              <w:top w:val="single" w:sz="8" w:color="0A66FF" w:space="0"/>
              <w:left w:val="single" w:sz="8" w:color="0A66FF" w:space="0"/>
              <w:bottom w:val="single" w:sz="8" w:color="0A66FF" w:space="0"/>
              <w:right w:val="single" w:sz="8" w:color="0A66FF" w:space="0"/>
              <w:insideH w:val="single" w:sz="8" w:space="0" w:color="0A66FF"/>
              <w:insideV w:val="single" w:sz="8" w:space="0" w:color="0A66FF"/>
            </w:tcBorders>
          </w:tcPr>
          <w:p>
            <w:pPr>
              <w:keepNext w:val="0"/>
              <w:spacing w:before="0" w:after="0" w:line="240" w:lineRule="auto"/>
              <w:jc w:val="left"/>
            </w:pPr>
            <w:r>
              <w:rPr>
                <w:rFonts w:ascii="Avenir Next" w:hAnsi="Avenir Next" w:eastAsia="Avenir Next"/>
                <w:b/>
                <w:color w:val="0A66FF"/>
                <w:sz w:val="16"/>
                <w:lang w:val="en-US"/>
              </w:rPr>
              <w:t xml:space="preserve">Replication boundary  </w:t>
            </w:r>
            <w:r>
              <w:rPr>
                <w:rFonts w:ascii="Palatino" w:hAnsi="Palatino" w:eastAsia="Palatino"/>
                <w:b w:val="0"/>
                <w:color w:val="071B2E"/>
                <w:sz w:val="16"/>
                <w:lang w:val="en-US"/>
              </w:rPr>
              <w:t>Redis replication is asynchronous. The experiment proves survival of the explicitly checked replicated data and successful failover mechanics; it does not establish a general zero-RPO guarantee for arbitrary writes immediately preceding failure.</w:t>
            </w:r>
          </w:p>
        </w:tc>
      </w:tr>
    </w:tbl>
    <w:p>
      <w:pPr>
        <w:spacing w:after="0"/>
      </w:pPr>
    </w:p>
    <w:p>
      <w:pPr>
        <w:pStyle w:val="Heading1"/>
        <w:pBdr>
          <w:bottom w:val="single" w:sz="5" w:space="4" w:color="D9E5FF"/>
        </w:pBdr>
      </w:pPr>
      <w:r>
        <w:rPr>
          <w:rFonts w:ascii="Avenir Next" w:hAnsi="Avenir Next" w:eastAsia="Avenir Next"/>
          <w:b/>
          <w:color w:val="071B2E"/>
          <w:sz w:val="34"/>
          <w:lang w:val="en-US"/>
        </w:rPr>
        <w:t>9. Phase 7 - Software Supply-Chain Security</w:t>
      </w:r>
    </w:p>
    <w:p>
      <w:pPr>
        <w:keepNext/>
        <w:spacing w:after="0" w:before="20"/>
        <w:jc w:val="center"/>
      </w:pPr>
      <w:r>
        <w:rPr>
          <w:rFonts w:ascii="Palatino" w:hAnsi="Palatino" w:eastAsia="Palatino"/>
          <w:color w:val="071B2E"/>
          <w:sz w:val="17"/>
          <w:lang w:val="en-US"/>
        </w:rPr>
        <w:drawing>
          <wp:inline xmlns:a="http://schemas.openxmlformats.org/drawingml/2006/main" xmlns:pic="http://schemas.openxmlformats.org/drawingml/2006/picture">
            <wp:extent cx="6217920" cy="713232"/>
            <wp:docPr id="6" name="Picture 6"/>
            <wp:cNvGraphicFramePr>
              <a:graphicFrameLocks noChangeAspect="1"/>
            </wp:cNvGraphicFramePr>
            <a:graphic>
              <a:graphicData uri="http://schemas.openxmlformats.org/drawingml/2006/picture">
                <pic:pic>
                  <pic:nvPicPr>
                    <pic:cNvPr id="0" name="Software supply-chain path" title="Software supply-chain path" descr="Five ordered control groups show Git commit or pull request with Java 25 regression testing; CycloneDX application SBOM and Trivy filesystem gate; container build and Trivy image gate; GHCR immutable digest with Cosign OIDC signing, provenance, and image SBOM; and a digest-pinned image deployment helper."/>
                    <pic:cNvPicPr/>
                  </pic:nvPicPr>
                  <pic:blipFill>
                    <a:blip r:embed="rId16"/>
                    <a:stretch>
                      <a:fillRect/>
                    </a:stretch>
                  </pic:blipFill>
                  <pic:spPr>
                    <a:xfrm>
                      <a:off x="0" y="0"/>
                      <a:ext cx="6217920" cy="713232"/>
                    </a:xfrm>
                    <a:prstGeom prst="rect"/>
                  </pic:spPr>
                </pic:pic>
              </a:graphicData>
            </a:graphic>
          </wp:inline>
        </w:drawing>
      </w:r>
    </w:p>
    <w:p>
      <w:pPr>
        <w:pStyle w:val="CaptionCustom"/>
        <w:keepLines/>
        <w:jc w:val="center"/>
      </w:pPr>
      <w:r>
        <w:rPr>
          <w:rFonts w:ascii="Palatino" w:hAnsi="Palatino" w:eastAsia="Palatino"/>
          <w:i/>
          <w:color w:val="0B1F33"/>
          <w:sz w:val="15"/>
          <w:lang w:val="en-US"/>
        </w:rPr>
        <w:t>Figure 6 | CI supply-chain path: tests, SBOMs, vulnerability gates, immutable registry digest, keyless signing, provenance, and digest-pinned deployment</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3523"/>
        <w:gridCol w:w="3523"/>
        <w:gridCol w:w="3523"/>
      </w:tblGrid>
      <w:tr>
        <w:trPr>
          <w:tblHeader w:val="true"/>
          <w:cantSplit/>
        </w:trPr>
        <w:tc>
          <w:tcPr>
            <w:tcW w:type="dxa" w:w="1944"/>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5"/>
                <w:lang w:val="en-US"/>
              </w:rPr>
              <w:t>Stage</w:t>
            </w:r>
          </w:p>
        </w:tc>
        <w:tc>
          <w:tcPr>
            <w:tcW w:type="dxa" w:w="417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5"/>
                <w:lang w:val="en-US"/>
              </w:rPr>
              <w:t>Implemented control</w:t>
            </w:r>
          </w:p>
        </w:tc>
        <w:tc>
          <w:tcPr>
            <w:tcW w:type="dxa" w:w="3960"/>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5"/>
                <w:lang w:val="en-US"/>
              </w:rPr>
              <w:t>Security effect</w:t>
            </w:r>
          </w:p>
        </w:tc>
      </w:tr>
      <w:tr>
        <w:trPr>
          <w:cantSplit/>
        </w:trPr>
        <w:tc>
          <w:tcPr>
            <w:tcW w:type="dxa" w:w="1944"/>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Regression</w:t>
            </w:r>
          </w:p>
        </w:tc>
        <w:tc>
          <w:tcPr>
            <w:tcW w:type="dxa" w:w="417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Java 25 Maven test suite</w:t>
            </w:r>
          </w:p>
        </w:tc>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prevents promotion when regression tests fail</w:t>
            </w:r>
          </w:p>
        </w:tc>
      </w:tr>
      <w:tr>
        <w:trPr>
          <w:cantSplit/>
        </w:trPr>
        <w:tc>
          <w:tcPr>
            <w:tcW w:type="dxa" w:w="1944"/>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Dependency inventory</w:t>
            </w:r>
          </w:p>
        </w:tc>
        <w:tc>
          <w:tcPr>
            <w:tcW w:type="dxa" w:w="417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CycloneDX application SBOM</w:t>
            </w:r>
          </w:p>
        </w:tc>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machine-readable dependency evidence</w:t>
            </w:r>
          </w:p>
        </w:tc>
      </w:tr>
      <w:tr>
        <w:trPr>
          <w:cantSplit/>
        </w:trPr>
        <w:tc>
          <w:tcPr>
            <w:tcW w:type="dxa" w:w="1944"/>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Source scan</w:t>
            </w:r>
          </w:p>
        </w:tc>
        <w:tc>
          <w:tcPr>
            <w:tcW w:type="dxa" w:w="417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Trivy filesystem HIGH/CRITICAL gate</w:t>
            </w:r>
          </w:p>
        </w:tc>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blocks known high-severity findings in scanned scope</w:t>
            </w:r>
          </w:p>
        </w:tc>
      </w:tr>
      <w:tr>
        <w:trPr>
          <w:cantSplit/>
        </w:trPr>
        <w:tc>
          <w:tcPr>
            <w:tcW w:type="dxa" w:w="1944"/>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Image scan</w:t>
            </w:r>
          </w:p>
        </w:tc>
        <w:tc>
          <w:tcPr>
            <w:tcW w:type="dxa" w:w="417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Trivy container HIGH/CRITICAL gate</w:t>
            </w:r>
          </w:p>
        </w:tc>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checks deployable artifact</w:t>
            </w:r>
          </w:p>
        </w:tc>
      </w:tr>
      <w:tr>
        <w:trPr>
          <w:cantSplit/>
        </w:trPr>
        <w:tc>
          <w:tcPr>
            <w:tcW w:type="dxa" w:w="1944"/>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Registry</w:t>
            </w:r>
          </w:p>
        </w:tc>
        <w:tc>
          <w:tcPr>
            <w:tcW w:type="dxa" w:w="417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GHCR immutable digest</w:t>
            </w:r>
          </w:p>
        </w:tc>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stable artifact identity</w:t>
            </w:r>
          </w:p>
        </w:tc>
      </w:tr>
      <w:tr>
        <w:trPr>
          <w:cantSplit/>
        </w:trPr>
        <w:tc>
          <w:tcPr>
            <w:tcW w:type="dxa" w:w="1944"/>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Signing</w:t>
            </w:r>
          </w:p>
        </w:tc>
        <w:tc>
          <w:tcPr>
            <w:tcW w:type="dxa" w:w="417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Cosign keyless via GitHub OIDC</w:t>
            </w:r>
          </w:p>
        </w:tc>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no long-lived private signing key in repository</w:t>
            </w:r>
          </w:p>
        </w:tc>
      </w:tr>
      <w:tr>
        <w:trPr>
          <w:cantSplit/>
        </w:trPr>
        <w:tc>
          <w:tcPr>
            <w:tcW w:type="dxa" w:w="1944"/>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Attestation</w:t>
            </w:r>
          </w:p>
        </w:tc>
        <w:tc>
          <w:tcPr>
            <w:tcW w:type="dxa" w:w="417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GitHub build provenance + image SBOM</w:t>
            </w:r>
          </w:p>
        </w:tc>
        <w:tc>
          <w:tcPr>
            <w:tcW w:type="dxa" w:w="3960"/>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links artifact digest to build evidence</w:t>
            </w:r>
          </w:p>
        </w:tc>
      </w:tr>
      <w:tr>
        <w:trPr>
          <w:cantSplit/>
        </w:trPr>
        <w:tc>
          <w:tcPr>
            <w:tcW w:type="dxa" w:w="1944"/>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Promotion</w:t>
            </w:r>
          </w:p>
        </w:tc>
        <w:tc>
          <w:tcPr>
            <w:tcW w:type="dxa" w:w="417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digest deployment helper</w:t>
            </w:r>
          </w:p>
        </w:tc>
        <w:tc>
          <w:tcPr>
            <w:tcW w:type="dxa" w:w="3960"/>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5"/>
                <w:lang w:val="en-US"/>
              </w:rPr>
              <w:t>supports image@sha256:... references</w:t>
            </w:r>
          </w:p>
        </w:tc>
      </w:tr>
    </w:tbl>
    <w:p>
      <w:pPr>
        <w:spacing w:after="0"/>
      </w:pPr>
    </w:p>
    <w:p>
      <w:pPr>
        <w:keepNext w:val="0"/>
        <w:spacing w:before="0" w:after="60" w:line="252" w:lineRule="auto"/>
      </w:pPr>
      <w:r>
        <w:rPr>
          <w:rFonts w:ascii="Palatino" w:hAnsi="Palatino" w:eastAsia="Palatino"/>
          <w:b w:val="0"/>
          <w:color w:val="071B2E"/>
          <w:sz w:val="17"/>
          <w:lang w:val="en-US"/>
        </w:rPr>
        <w:t>PR #33 completed with CI, CodeQL, and the Supply Chain Security workflow passing before merge.</w:t>
      </w:r>
    </w:p>
    <w:tbl>
      <w:tblPr>
        <w:tblW w:type="auto" w:w="0"/>
        <w:jc w:val="center"/>
        <w:tblLayout w:type="fixed"/>
        <w:tblLook w:firstColumn="1" w:firstRow="1" w:lastColumn="0" w:lastRow="0" w:noHBand="0" w:noVBand="1" w:val="04A0"/>
        <w:tblBorders>
          <w:top w:val="single" w:sz="8" w:space="0" w:color="0A66FF"/>
          <w:left w:val="single" w:sz="8" w:space="0" w:color="0A66FF"/>
          <w:bottom w:val="single" w:sz="8" w:space="0" w:color="0A66FF"/>
          <w:right w:val="single" w:sz="8" w:space="0" w:color="0A66FF"/>
          <w:insideH w:val="single" w:sz="8" w:space="0" w:color="0A66FF"/>
          <w:insideV w:val="single" w:sz="8" w:space="0" w:color="0A66FF"/>
        </w:tblBorders>
      </w:tblPr>
      <w:tblGrid>
        <w:gridCol w:w="10570"/>
      </w:tblGrid>
      <w:tr>
        <w:trPr>
          <w:cantSplit/>
        </w:trPr>
        <w:tc>
          <w:tcPr>
            <w:tcW w:type="dxa" w:w="10080"/>
            <w:shd w:fill="E2E4E8"/>
            <w:tcMar>
              <w:top w:w="35" w:type="dxa"/>
              <w:start w:w="65" w:type="dxa"/>
              <w:bottom w:w="35" w:type="dxa"/>
              <w:end w:w="65" w:type="dxa"/>
            </w:tcMar>
            <w:tcBorders>
              <w:top w:val="single" w:sz="8" w:color="0A66FF" w:space="0"/>
              <w:left w:val="single" w:sz="8" w:color="0A66FF" w:space="0"/>
              <w:bottom w:val="single" w:sz="8" w:color="0A66FF" w:space="0"/>
              <w:right w:val="single" w:sz="8" w:color="0A66FF" w:space="0"/>
              <w:insideH w:val="single" w:sz="8" w:space="0" w:color="0A66FF"/>
              <w:insideV w:val="single" w:sz="8" w:space="0" w:color="0A66FF"/>
            </w:tcBorders>
          </w:tcPr>
          <w:p>
            <w:pPr>
              <w:keepNext w:val="0"/>
              <w:spacing w:before="0" w:after="0" w:line="240" w:lineRule="auto"/>
              <w:jc w:val="left"/>
            </w:pPr>
            <w:r>
              <w:rPr>
                <w:rFonts w:ascii="Avenir Next" w:hAnsi="Avenir Next" w:eastAsia="Avenir Next"/>
                <w:b/>
                <w:color w:val="0A66FF"/>
                <w:sz w:val="16"/>
                <w:lang w:val="en-US"/>
              </w:rPr>
              <w:t xml:space="preserve">Supply-chain boundary  </w:t>
            </w:r>
            <w:r>
              <w:rPr>
                <w:rFonts w:ascii="Palatino" w:hAnsi="Palatino" w:eastAsia="Palatino"/>
                <w:b w:val="0"/>
                <w:color w:val="071B2E"/>
                <w:sz w:val="16"/>
                <w:lang w:val="en-US"/>
              </w:rPr>
              <w:t>The project does not yet enforce signed-image admission inside Kubernetes, runtime signature verification, organization-wide signing policy, cloud workload identity validation, registry retention guarantees, reproducible builds, or full SLSA Build Level 3.</w:t>
            </w:r>
          </w:p>
        </w:tc>
      </w:tr>
    </w:tbl>
    <w:p>
      <w:pPr>
        <w:spacing w:after="0"/>
      </w:pPr>
    </w:p>
    <w:p>
      <w:pPr>
        <w:pStyle w:val="Heading1"/>
        <w:pBdr>
          <w:bottom w:val="single" w:sz="5" w:space="4" w:color="D9E5FF"/>
        </w:pBdr>
      </w:pPr>
      <w:r>
        <w:rPr>
          <w:rFonts w:ascii="Avenir Next" w:hAnsi="Avenir Next" w:eastAsia="Avenir Next"/>
          <w:b/>
          <w:color w:val="071B2E"/>
          <w:sz w:val="34"/>
          <w:lang w:val="en-US"/>
        </w:rPr>
        <w:t>10. Security, Observability, and Operational Controls</w:t>
      </w:r>
    </w:p>
    <w:p>
      <w:pPr>
        <w:pStyle w:val="Heading2"/>
        <w:keepNext/>
      </w:pPr>
      <w:r>
        <w:rPr>
          <w:rFonts w:ascii="Avenir Next" w:hAnsi="Avenir Next" w:eastAsia="Avenir Next"/>
          <w:b/>
          <w:color w:val="0B1F33"/>
          <w:sz w:val="24"/>
          <w:lang w:val="en-US"/>
        </w:rPr>
        <w:t>10.1 Identity and authorization</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3523"/>
        <w:gridCol w:w="3523"/>
        <w:gridCol w:w="3523"/>
      </w:tblGrid>
      <w:tr>
        <w:trPr>
          <w:tblHeader w:val="true"/>
          <w:cantSplit/>
        </w:trPr>
        <w:tc>
          <w:tcPr>
            <w:tcW w:type="dxa" w:w="201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Control</w:t>
            </w:r>
          </w:p>
        </w:tc>
        <w:tc>
          <w:tcPr>
            <w:tcW w:type="dxa" w:w="4248"/>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Implementation</w:t>
            </w:r>
          </w:p>
        </w:tc>
        <w:tc>
          <w:tcPr>
            <w:tcW w:type="dxa" w:w="381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Engineering effect</w:t>
            </w:r>
          </w:p>
        </w:tc>
      </w:tr>
      <w:tr>
        <w:trPr>
          <w:cantSplit/>
        </w:trPr>
        <w:tc>
          <w:tcPr>
            <w:tcW w:type="dxa" w:w="20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Access token</w:t>
            </w:r>
          </w:p>
        </w:tc>
        <w:tc>
          <w:tcPr>
            <w:tcW w:type="dxa" w:w="42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HMAC JWT; short TTL</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stateless short-lived authentication</w:t>
            </w:r>
          </w:p>
        </w:tc>
      </w:tr>
      <w:tr>
        <w:trPr>
          <w:cantSplit/>
        </w:trPr>
        <w:tc>
          <w:tcPr>
            <w:tcW w:type="dxa" w:w="20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Refresh token</w:t>
            </w:r>
          </w:p>
        </w:tc>
        <w:tc>
          <w:tcPr>
            <w:tcW w:type="dxa" w:w="42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opaque SecureRandom secret; SHA-256 hash stored</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database does not retain reusable raw token</w:t>
            </w:r>
          </w:p>
        </w:tc>
      </w:tr>
      <w:tr>
        <w:trPr>
          <w:cantSplit/>
        </w:trPr>
        <w:tc>
          <w:tcPr>
            <w:tcW w:type="dxa" w:w="20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Rotation</w:t>
            </w:r>
          </w:p>
        </w:tc>
        <w:tc>
          <w:tcPr>
            <w:tcW w:type="dxa" w:w="42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replacement token + revoked predecessor</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old refresh token invalid after rotation</w:t>
            </w:r>
          </w:p>
        </w:tc>
      </w:tr>
      <w:tr>
        <w:trPr>
          <w:cantSplit/>
        </w:trPr>
        <w:tc>
          <w:tcPr>
            <w:tcW w:type="dxa" w:w="20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Sessions</w:t>
            </w:r>
          </w:p>
        </w:tc>
        <w:tc>
          <w:tcPr>
            <w:tcW w:type="dxa" w:w="42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stable UUID + device/IP/time metadata</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multi-device visibility and revocation</w:t>
            </w:r>
          </w:p>
        </w:tc>
      </w:tr>
      <w:tr>
        <w:trPr>
          <w:cantSplit/>
        </w:trPr>
        <w:tc>
          <w:tcPr>
            <w:tcW w:type="dxa" w:w="20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Authorization</w:t>
            </w:r>
          </w:p>
        </w:tc>
        <w:tc>
          <w:tcPr>
            <w:tcW w:type="dxa" w:w="42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ADMIN / owner policies + deny-by-default</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closed anonymous and cross-user boundaries</w:t>
            </w:r>
          </w:p>
        </w:tc>
      </w:tr>
      <w:tr>
        <w:trPr>
          <w:cantSplit/>
        </w:trPr>
        <w:tc>
          <w:tcPr>
            <w:tcW w:type="dxa" w:w="20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Audit</w:t>
            </w:r>
          </w:p>
        </w:tc>
        <w:tc>
          <w:tcPr>
            <w:tcW w:type="dxa" w:w="42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database audit + auth action/outcome metrics</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rejected-login evidence persists</w:t>
            </w:r>
          </w:p>
        </w:tc>
      </w:tr>
    </w:tbl>
    <w:p>
      <w:pPr>
        <w:spacing w:after="0"/>
      </w:pPr>
    </w:p>
    <w:p>
      <w:pPr>
        <w:pStyle w:val="Heading2"/>
        <w:keepNext/>
      </w:pPr>
      <w:r>
        <w:rPr>
          <w:rFonts w:ascii="Avenir Next" w:hAnsi="Avenir Next" w:eastAsia="Avenir Next"/>
          <w:b/>
          <w:color w:val="0B1F33"/>
          <w:sz w:val="24"/>
          <w:lang w:val="en-US"/>
        </w:rPr>
        <w:t>10.2 Correlation, telemetry, and service objectives</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3523"/>
        <w:gridCol w:w="3523"/>
        <w:gridCol w:w="3523"/>
      </w:tblGrid>
      <w:tr>
        <w:trPr>
          <w:tblHeader w:val="true"/>
          <w:cantSplit/>
        </w:trPr>
        <w:tc>
          <w:tcPr>
            <w:tcW w:type="dxa" w:w="201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Signal</w:t>
            </w:r>
          </w:p>
        </w:tc>
        <w:tc>
          <w:tcPr>
            <w:tcW w:type="dxa" w:w="4248"/>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Implementation</w:t>
            </w:r>
          </w:p>
        </w:tc>
        <w:tc>
          <w:tcPr>
            <w:tcW w:type="dxa" w:w="381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Operational use</w:t>
            </w:r>
          </w:p>
        </w:tc>
      </w:tr>
      <w:tr>
        <w:trPr>
          <w:cantSplit/>
        </w:trPr>
        <w:tc>
          <w:tcPr>
            <w:tcW w:type="dxa" w:w="20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Correlation</w:t>
            </w:r>
          </w:p>
        </w:tc>
        <w:tc>
          <w:tcPr>
            <w:tcW w:type="dxa" w:w="42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HTTP -&gt; MDC -&gt; Outbox -&gt; Kafka -&gt; DLT</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follow one transaction across boundaries</w:t>
            </w:r>
          </w:p>
        </w:tc>
      </w:tr>
      <w:tr>
        <w:trPr>
          <w:cantSplit/>
        </w:trPr>
        <w:tc>
          <w:tcPr>
            <w:tcW w:type="dxa" w:w="20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HTTP</w:t>
            </w:r>
          </w:p>
        </w:tc>
        <w:tc>
          <w:tcPr>
            <w:tcW w:type="dxa" w:w="42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Actuator + Micrometer histograms</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latency, error, burn-rate diagnosis</w:t>
            </w:r>
          </w:p>
        </w:tc>
      </w:tr>
      <w:tr>
        <w:trPr>
          <w:cantSplit/>
        </w:trPr>
        <w:tc>
          <w:tcPr>
            <w:tcW w:type="dxa" w:w="20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Outbox / DLT</w:t>
            </w:r>
          </w:p>
        </w:tc>
        <w:tc>
          <w:tcPr>
            <w:tcW w:type="dxa" w:w="42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state gauges + counters</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backlog, retry, replay, terminal failure</w:t>
            </w:r>
          </w:p>
        </w:tc>
      </w:tr>
      <w:tr>
        <w:trPr>
          <w:cantSplit/>
        </w:trPr>
        <w:tc>
          <w:tcPr>
            <w:tcW w:type="dxa" w:w="20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Traces</w:t>
            </w:r>
          </w:p>
        </w:tc>
        <w:tc>
          <w:tcPr>
            <w:tcW w:type="dxa" w:w="42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OpenTelemetry Collector -&gt; Tempo</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distributed timing and trace search</w:t>
            </w:r>
          </w:p>
        </w:tc>
      </w:tr>
      <w:tr>
        <w:trPr>
          <w:cantSplit/>
        </w:trPr>
        <w:tc>
          <w:tcPr>
            <w:tcW w:type="dxa" w:w="20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Logs</w:t>
            </w:r>
          </w:p>
        </w:tc>
        <w:tc>
          <w:tcPr>
            <w:tcW w:type="dxa" w:w="42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JSON -&gt; Alloy -&gt; Loki</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structured incident query and correlation</w:t>
            </w:r>
          </w:p>
        </w:tc>
      </w:tr>
      <w:tr>
        <w:trPr>
          <w:cantSplit/>
        </w:trPr>
        <w:tc>
          <w:tcPr>
            <w:tcW w:type="dxa" w:w="20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Alerts</w:t>
            </w:r>
          </w:p>
        </w:tc>
        <w:tc>
          <w:tcPr>
            <w:tcW w:type="dxa" w:w="42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Prometheus rules -&gt; Alertmanager</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runbook-linked operational response</w:t>
            </w:r>
          </w:p>
        </w:tc>
      </w:tr>
    </w:tbl>
    <w:p>
      <w:pPr>
        <w:spacing w:after="0"/>
      </w:pPr>
    </w:p>
    <w:tbl>
      <w:tblPr>
        <w:tblW w:type="auto" w:w="0"/>
        <w:jc w:val="center"/>
        <w:tblLayout w:type="fixed"/>
        <w:tblLook w:firstColumn="1" w:firstRow="1" w:lastColumn="0" w:lastRow="0" w:noHBand="0" w:noVBand="1" w:val="04A0"/>
        <w:tblBorders>
          <w:top w:val="single" w:sz="8" w:space="0" w:color="0A66FF"/>
          <w:left w:val="single" w:sz="8" w:space="0" w:color="0A66FF"/>
          <w:bottom w:val="single" w:sz="8" w:space="0" w:color="0A66FF"/>
          <w:right w:val="single" w:sz="8" w:space="0" w:color="0A66FF"/>
          <w:insideH w:val="single" w:sz="8" w:space="0" w:color="0A66FF"/>
          <w:insideV w:val="single" w:sz="8" w:space="0" w:color="0A66FF"/>
        </w:tblBorders>
      </w:tblPr>
      <w:tblGrid>
        <w:gridCol w:w="10570"/>
      </w:tblGrid>
      <w:tr>
        <w:trPr>
          <w:cantSplit/>
        </w:trPr>
        <w:tc>
          <w:tcPr>
            <w:tcW w:type="dxa" w:w="10080"/>
            <w:shd w:fill="E2E4E8"/>
            <w:tcMar>
              <w:top w:w="35" w:type="dxa"/>
              <w:start w:w="65" w:type="dxa"/>
              <w:bottom w:w="35" w:type="dxa"/>
              <w:end w:w="65" w:type="dxa"/>
            </w:tcMar>
            <w:tcBorders>
              <w:top w:val="single" w:sz="8" w:color="0A66FF" w:space="0"/>
              <w:left w:val="single" w:sz="8" w:color="0A66FF" w:space="0"/>
              <w:bottom w:val="single" w:sz="8" w:color="0A66FF" w:space="0"/>
              <w:right w:val="single" w:sz="8" w:color="0A66FF" w:space="0"/>
              <w:insideH w:val="single" w:sz="8" w:space="0" w:color="0A66FF"/>
              <w:insideV w:val="single" w:sz="8" w:space="0" w:color="0A66FF"/>
            </w:tcBorders>
          </w:tcPr>
          <w:p>
            <w:pPr>
              <w:keepNext w:val="0"/>
              <w:spacing w:before="0" w:after="0" w:line="240" w:lineRule="auto"/>
              <w:jc w:val="left"/>
            </w:pPr>
            <w:r>
              <w:rPr>
                <w:rFonts w:ascii="Avenir Next" w:hAnsi="Avenir Next" w:eastAsia="Avenir Next"/>
                <w:b/>
                <w:color w:val="0A66FF"/>
                <w:sz w:val="16"/>
                <w:lang w:val="en-US"/>
              </w:rPr>
              <w:t xml:space="preserve">SLO boundary  </w:t>
            </w:r>
            <w:r>
              <w:rPr>
                <w:rFonts w:ascii="Palatino" w:hAnsi="Palatino" w:eastAsia="Palatino"/>
                <w:b w:val="0"/>
                <w:color w:val="071B2E"/>
                <w:sz w:val="16"/>
                <w:lang w:val="en-US"/>
              </w:rPr>
              <w:t>Availability and latency objectives are engineering definitions, not historical production attainment. Production SLIs still require time-weighted external measurement through the ingress/load-balancer path.</w:t>
            </w:r>
          </w:p>
        </w:tc>
      </w:tr>
    </w:tbl>
    <w:p>
      <w:pPr>
        <w:spacing w:after="0"/>
      </w:pPr>
    </w:p>
    <w:p>
      <w:pPr>
        <w:pStyle w:val="Heading1"/>
        <w:pBdr>
          <w:bottom w:val="single" w:sz="5" w:space="4" w:color="D9E5FF"/>
        </w:pBdr>
      </w:pPr>
      <w:r>
        <w:rPr>
          <w:rFonts w:ascii="Avenir Next" w:hAnsi="Avenir Next" w:eastAsia="Avenir Next"/>
          <w:b/>
          <w:color w:val="071B2E"/>
          <w:sz w:val="34"/>
          <w:lang w:val="en-US"/>
        </w:rPr>
        <w:t>11. Testing, Performance Evidence, and Release Governance</w:t>
      </w:r>
    </w:p>
    <w:p>
      <w:pPr>
        <w:pStyle w:val="Heading2"/>
        <w:keepNext/>
      </w:pPr>
      <w:r>
        <w:rPr>
          <w:rFonts w:ascii="Avenir Next" w:hAnsi="Avenir Next" w:eastAsia="Avenir Next"/>
          <w:b/>
          <w:color w:val="0B1F33"/>
          <w:sz w:val="24"/>
          <w:lang w:val="en-US"/>
        </w:rPr>
        <w:t>11.1 Automated verification</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tblHeader w:val="true"/>
          <w:cantSplit/>
        </w:trPr>
        <w:tc>
          <w:tcPr>
            <w:tcW w:type="dxa" w:w="3744"/>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Quality metric</w:t>
            </w:r>
          </w:p>
        </w:tc>
        <w:tc>
          <w:tcPr>
            <w:tcW w:type="dxa" w:w="633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Result</w:t>
            </w:r>
          </w:p>
        </w:tc>
      </w:tr>
      <w:tr>
        <w:trPr>
          <w:cantSplit/>
        </w:trPr>
        <w:tc>
          <w:tcPr>
            <w:tcW w:type="dxa" w:w="3744"/>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Automated tests</w:t>
            </w:r>
          </w:p>
        </w:tc>
        <w:tc>
          <w:tcPr>
            <w:tcW w:type="dxa" w:w="633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146 passed / 0 failed / 0 errors / 0 skipped</w:t>
            </w:r>
          </w:p>
        </w:tc>
      </w:tr>
      <w:tr>
        <w:trPr>
          <w:cantSplit/>
        </w:trPr>
        <w:tc>
          <w:tcPr>
            <w:tcW w:type="dxa" w:w="3744"/>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Historical instruction coverage snapshot</w:t>
            </w:r>
          </w:p>
        </w:tc>
        <w:tc>
          <w:tcPr>
            <w:tcW w:type="dxa" w:w="633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89.78% - not release-current</w:t>
            </w:r>
          </w:p>
        </w:tc>
      </w:tr>
      <w:tr>
        <w:trPr>
          <w:cantSplit/>
        </w:trPr>
        <w:tc>
          <w:tcPr>
            <w:tcW w:type="dxa" w:w="3744"/>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Historical branch coverage snapshot</w:t>
            </w:r>
          </w:p>
        </w:tc>
        <w:tc>
          <w:tcPr>
            <w:tcW w:type="dxa" w:w="633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73.63% - not release-current</w:t>
            </w:r>
          </w:p>
        </w:tc>
      </w:tr>
      <w:tr>
        <w:trPr>
          <w:cantSplit/>
        </w:trPr>
        <w:tc>
          <w:tcPr>
            <w:tcW w:type="dxa" w:w="3744"/>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Merge gates</w:t>
            </w:r>
          </w:p>
        </w:tc>
        <w:tc>
          <w:tcPr>
            <w:tcW w:type="dxa" w:w="633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GitHub Actions CI + CodeQL; Supply Chain Security on relevant changes</w:t>
            </w:r>
          </w:p>
        </w:tc>
      </w:tr>
      <w:tr>
        <w:trPr>
          <w:cantSplit/>
        </w:trPr>
        <w:tc>
          <w:tcPr>
            <w:tcW w:type="dxa" w:w="3744"/>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Schema governance</w:t>
            </w:r>
          </w:p>
        </w:tc>
        <w:tc>
          <w:tcPr>
            <w:tcW w:type="dxa" w:w="633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Flyway V1-V11; Hibernate ddl-auto=validate</w:t>
            </w:r>
          </w:p>
        </w:tc>
      </w:tr>
    </w:tbl>
    <w:p>
      <w:pPr>
        <w:spacing w:after="0"/>
      </w:pPr>
    </w:p>
    <w:p>
      <w:pPr>
        <w:pStyle w:val="Heading2"/>
        <w:keepNext/>
      </w:pPr>
      <w:r>
        <w:rPr>
          <w:rFonts w:ascii="Avenir Next" w:hAnsi="Avenir Next" w:eastAsia="Avenir Next"/>
          <w:b/>
          <w:color w:val="0B1F33"/>
          <w:sz w:val="24"/>
          <w:lang w:val="en-US"/>
        </w:rPr>
        <w:t>11.2 Local performance profiles</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tblHeader w:val="true"/>
          <w:cantSplit/>
        </w:trPr>
        <w:tc>
          <w:tcPr>
            <w:tcW w:type="dxa" w:w="2592"/>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Profile</w:t>
            </w:r>
          </w:p>
        </w:tc>
        <w:tc>
          <w:tcPr>
            <w:tcW w:type="dxa" w:w="7488"/>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Evidence</w:t>
            </w:r>
          </w:p>
        </w:tc>
      </w:tr>
      <w:tr>
        <w:trPr>
          <w:cantSplit/>
        </w:trPr>
        <w:tc>
          <w:tcPr>
            <w:tcW w:type="dxa" w:w="259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Catalog read</w:t>
            </w:r>
          </w:p>
        </w:tc>
        <w:tc>
          <w:tcPr>
            <w:tcW w:type="dxa" w:w="748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9,544 requests; 79.44 req/s; avg 9.92ms; P95 17.93ms; P99 20.12ms; 0% failed</w:t>
            </w:r>
          </w:p>
        </w:tc>
      </w:tr>
      <w:tr>
        <w:trPr>
          <w:cantSplit/>
        </w:trPr>
        <w:tc>
          <w:tcPr>
            <w:tcW w:type="dxa" w:w="259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High-rate soak</w:t>
            </w:r>
          </w:p>
        </w:tc>
        <w:tc>
          <w:tcPr>
            <w:tcW w:type="dxa" w:w="748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5 min @ 2,500 req/s; 750,000 requests; 2,499.91 req/s; P95 0.84ms; P99 1.11ms; 0.07% client failures; no observed app 5xx</w:t>
            </w:r>
          </w:p>
        </w:tc>
      </w:tr>
      <w:tr>
        <w:trPr>
          <w:cantSplit/>
        </w:trPr>
        <w:tc>
          <w:tcPr>
            <w:tcW w:type="dxa" w:w="259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Payment idempotency</w:t>
            </w:r>
          </w:p>
        </w:tc>
        <w:tc>
          <w:tcPr>
            <w:tcW w:type="dxa" w:w="748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30 concurrent requests; 100% HTTP success; 1 payment row; 1 idempotency row; 0 duplicates</w:t>
            </w:r>
          </w:p>
        </w:tc>
      </w:tr>
    </w:tbl>
    <w:p>
      <w:pPr>
        <w:spacing w:after="0"/>
      </w:pPr>
    </w:p>
    <w:tbl>
      <w:tblPr>
        <w:tblW w:type="auto" w:w="0"/>
        <w:jc w:val="center"/>
        <w:tblLayout w:type="fixed"/>
        <w:tblLook w:firstColumn="1" w:firstRow="1" w:lastColumn="0" w:lastRow="0" w:noHBand="0" w:noVBand="1" w:val="04A0"/>
        <w:tblBorders>
          <w:top w:val="single" w:sz="8" w:space="0" w:color="0A66FF"/>
          <w:left w:val="single" w:sz="8" w:space="0" w:color="0A66FF"/>
          <w:bottom w:val="single" w:sz="8" w:space="0" w:color="0A66FF"/>
          <w:right w:val="single" w:sz="8" w:space="0" w:color="0A66FF"/>
          <w:insideH w:val="single" w:sz="8" w:space="0" w:color="0A66FF"/>
          <w:insideV w:val="single" w:sz="8" w:space="0" w:color="0A66FF"/>
        </w:tblBorders>
      </w:tblPr>
      <w:tblGrid>
        <w:gridCol w:w="10570"/>
      </w:tblGrid>
      <w:tr>
        <w:trPr>
          <w:cantSplit/>
        </w:trPr>
        <w:tc>
          <w:tcPr>
            <w:tcW w:type="dxa" w:w="10080"/>
            <w:shd w:fill="E2E4E8"/>
            <w:tcMar>
              <w:top w:w="35" w:type="dxa"/>
              <w:start w:w="65" w:type="dxa"/>
              <w:bottom w:w="35" w:type="dxa"/>
              <w:end w:w="65" w:type="dxa"/>
            </w:tcMar>
            <w:tcBorders>
              <w:top w:val="single" w:sz="8" w:color="0A66FF" w:space="0"/>
              <w:left w:val="single" w:sz="8" w:color="0A66FF" w:space="0"/>
              <w:bottom w:val="single" w:sz="8" w:color="0A66FF" w:space="0"/>
              <w:right w:val="single" w:sz="8" w:color="0A66FF" w:space="0"/>
              <w:insideH w:val="single" w:sz="8" w:space="0" w:color="0A66FF"/>
              <w:insideV w:val="single" w:sz="8" w:space="0" w:color="0A66FF"/>
            </w:tcBorders>
          </w:tcPr>
          <w:p>
            <w:pPr>
              <w:keepNext w:val="0"/>
              <w:spacing w:before="0" w:after="0" w:line="240" w:lineRule="auto"/>
              <w:jc w:val="left"/>
            </w:pPr>
            <w:r>
              <w:rPr>
                <w:rFonts w:ascii="Avenir Next" w:hAnsi="Avenir Next" w:eastAsia="Avenir Next"/>
                <w:b/>
                <w:color w:val="0A66FF"/>
                <w:sz w:val="16"/>
                <w:lang w:val="en-US"/>
              </w:rPr>
              <w:t xml:space="preserve">Benchmark boundary  </w:t>
            </w:r>
            <w:r>
              <w:rPr>
                <w:rFonts w:ascii="Palatino" w:hAnsi="Palatino" w:eastAsia="Palatino"/>
                <w:b w:val="0"/>
                <w:color w:val="071B2E"/>
                <w:sz w:val="16"/>
                <w:lang w:val="en-US"/>
              </w:rPr>
              <w:t>These are reproducible local profiles, not production capacity or SLA guarantees. The next performance work should emphasize write-heavy and event-heavy load, retry storms, recovery throughput, long-duration failure testing, and stateful failover under sustained load.</w:t>
            </w:r>
          </w:p>
        </w:tc>
      </w:tr>
    </w:tbl>
    <w:p>
      <w:pPr>
        <w:spacing w:after="0"/>
      </w:pPr>
    </w:p>
    <w:p>
      <w:pPr>
        <w:pStyle w:val="Heading2"/>
        <w:keepNext/>
      </w:pPr>
      <w:r>
        <w:rPr>
          <w:rFonts w:ascii="Avenir Next" w:hAnsi="Avenir Next" w:eastAsia="Avenir Next"/>
          <w:b/>
          <w:color w:val="0B1F33"/>
          <w:sz w:val="24"/>
          <w:lang w:val="en-US"/>
        </w:rPr>
        <w:t>11.3 Release progression</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tblHeader w:val="true"/>
          <w:cantSplit/>
        </w:trPr>
        <w:tc>
          <w:tcPr>
            <w:tcW w:type="dxa" w:w="3672"/>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Release</w:t>
            </w:r>
          </w:p>
        </w:tc>
        <w:tc>
          <w:tcPr>
            <w:tcW w:type="dxa" w:w="6408"/>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Milestone</w:t>
            </w:r>
          </w:p>
        </w:tc>
      </w:tr>
      <w:tr>
        <w:trPr>
          <w:cantSplit/>
        </w:trPr>
        <w:tc>
          <w:tcPr>
            <w:tcW w:type="dxa" w:w="36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v1.1.0-phase1-hardening</w:t>
            </w:r>
          </w:p>
        </w:tc>
        <w:tc>
          <w:tcPr>
            <w:tcW w:type="dxa" w:w="64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application hardening</w:t>
            </w:r>
          </w:p>
        </w:tc>
      </w:tr>
      <w:tr>
        <w:trPr>
          <w:cantSplit/>
        </w:trPr>
        <w:tc>
          <w:tcPr>
            <w:tcW w:type="dxa" w:w="36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v1.2.0-phase2-observability</w:t>
            </w:r>
          </w:p>
        </w:tc>
        <w:tc>
          <w:tcPr>
            <w:tcW w:type="dxa" w:w="64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observability stack</w:t>
            </w:r>
          </w:p>
        </w:tc>
      </w:tr>
      <w:tr>
        <w:trPr>
          <w:cantSplit/>
        </w:trPr>
        <w:tc>
          <w:tcPr>
            <w:tcW w:type="dxa" w:w="36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v1.3.0-phase21-reliability</w:t>
            </w:r>
          </w:p>
        </w:tc>
        <w:tc>
          <w:tcPr>
            <w:tcW w:type="dxa" w:w="64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reliability controls</w:t>
            </w:r>
          </w:p>
        </w:tc>
      </w:tr>
      <w:tr>
        <w:trPr>
          <w:cantSplit/>
        </w:trPr>
        <w:tc>
          <w:tcPr>
            <w:tcW w:type="dxa" w:w="36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v1.4.0-phase3-kubernetes</w:t>
            </w:r>
          </w:p>
        </w:tc>
        <w:tc>
          <w:tcPr>
            <w:tcW w:type="dxa" w:w="64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Kubernetes multi-replica baseline</w:t>
            </w:r>
          </w:p>
        </w:tc>
      </w:tr>
      <w:tr>
        <w:trPr>
          <w:cantSplit/>
        </w:trPr>
        <w:tc>
          <w:tcPr>
            <w:tcW w:type="dxa" w:w="36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v1.5.0-phase33-multinode-ha</w:t>
            </w:r>
          </w:p>
        </w:tc>
        <w:tc>
          <w:tcPr>
            <w:tcW w:type="dxa" w:w="64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multi-node application recovery</w:t>
            </w:r>
          </w:p>
        </w:tc>
      </w:tr>
      <w:tr>
        <w:trPr>
          <w:cantSplit/>
        </w:trPr>
        <w:tc>
          <w:tcPr>
            <w:tcW w:type="dxa" w:w="36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v1.6.0-phase4-postgresql-dr</w:t>
            </w:r>
          </w:p>
        </w:tc>
        <w:tc>
          <w:tcPr>
            <w:tcW w:type="dxa" w:w="64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PostgreSQL HA + physical backup/restore</w:t>
            </w:r>
          </w:p>
        </w:tc>
      </w:tr>
      <w:tr>
        <w:trPr>
          <w:cantSplit/>
        </w:trPr>
        <w:tc>
          <w:tcPr>
            <w:tcW w:type="dxa" w:w="36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v1.7.0-phase5-kafka-ha</w:t>
            </w:r>
          </w:p>
        </w:tc>
        <w:tc>
          <w:tcPr>
            <w:tcW w:type="dxa" w:w="64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Kafka KRaft broker-failure validation</w:t>
            </w:r>
          </w:p>
        </w:tc>
      </w:tr>
      <w:tr>
        <w:trPr>
          <w:cantSplit/>
        </w:trPr>
        <w:tc>
          <w:tcPr>
            <w:tcW w:type="dxa" w:w="367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v1.8.0-phase6-redis-ha</w:t>
            </w:r>
          </w:p>
        </w:tc>
        <w:tc>
          <w:tcPr>
            <w:tcW w:type="dxa" w:w="64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Redis Sentinel failover validation</w:t>
            </w:r>
          </w:p>
        </w:tc>
      </w:tr>
      <w:tr>
        <w:trPr>
          <w:cantSplit/>
        </w:trPr>
        <w:tc>
          <w:tcPr>
            <w:tcW w:type="dxa" w:w="367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v1.9.0-phase7-supply-chain</w:t>
            </w:r>
          </w:p>
        </w:tc>
        <w:tc>
          <w:tcPr>
            <w:tcW w:type="dxa" w:w="64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software supply-chain security</w:t>
            </w:r>
          </w:p>
        </w:tc>
      </w:tr>
    </w:tbl>
    <w:p>
      <w:pPr>
        <w:spacing w:after="0"/>
      </w:pPr>
    </w:p>
    <w:p>
      <w:pPr>
        <w:pStyle w:val="Heading1"/>
        <w:pBdr>
          <w:bottom w:val="single" w:sz="5" w:space="4" w:color="D9E5FF"/>
        </w:pBdr>
      </w:pPr>
      <w:r>
        <w:rPr>
          <w:rFonts w:ascii="Avenir Next" w:hAnsi="Avenir Next" w:eastAsia="Avenir Next"/>
          <w:b/>
          <w:color w:val="071B2E"/>
          <w:sz w:val="34"/>
          <w:lang w:val="en-US"/>
        </w:rPr>
        <w:t>12. Production Risk Register</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3523"/>
        <w:gridCol w:w="3523"/>
        <w:gridCol w:w="3523"/>
      </w:tblGrid>
      <w:tr>
        <w:trPr>
          <w:tblHeader w:val="true"/>
          <w:cantSplit/>
        </w:trPr>
        <w:tc>
          <w:tcPr>
            <w:tcW w:type="dxa" w:w="1008"/>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4"/>
                <w:lang w:val="en-US"/>
              </w:rPr>
              <w:t>Priority</w:t>
            </w:r>
          </w:p>
        </w:tc>
        <w:tc>
          <w:tcPr>
            <w:tcW w:type="dxa" w:w="381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4"/>
                <w:lang w:val="en-US"/>
              </w:rPr>
              <w:t>Boundary</w:t>
            </w:r>
          </w:p>
        </w:tc>
        <w:tc>
          <w:tcPr>
            <w:tcW w:type="dxa" w:w="5256"/>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4"/>
                <w:lang w:val="en-US"/>
              </w:rPr>
              <w:t>Required next step</w:t>
            </w:r>
          </w:p>
        </w:tc>
      </w:tr>
      <w:tr>
        <w:trPr>
          <w:cantSplit/>
        </w:trPr>
        <w:tc>
          <w:tcPr>
            <w:tcW w:type="dxa" w:w="10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P0</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Secrets remain local/environment-oriented</w:t>
            </w:r>
          </w:p>
        </w:tc>
        <w:tc>
          <w:tcPr>
            <w:tcW w:type="dxa" w:w="525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external secret manager, workload identity, rotation, end-to-end secret scanning</w:t>
            </w:r>
          </w:p>
        </w:tc>
      </w:tr>
      <w:tr>
        <w:trPr>
          <w:cantSplit/>
        </w:trPr>
        <w:tc>
          <w:tcPr>
            <w:tcW w:type="dxa" w:w="10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P0</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Stateful HA validated only on local kind/storage</w:t>
            </w:r>
          </w:p>
        </w:tc>
        <w:tc>
          <w:tcPr>
            <w:tcW w:type="dxa" w:w="525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cloud/managed failure domains, off-host object storage, repeated RPO/RTO drills</w:t>
            </w:r>
          </w:p>
        </w:tc>
      </w:tr>
      <w:tr>
        <w:trPr>
          <w:cantSplit/>
        </w:trPr>
        <w:tc>
          <w:tcPr>
            <w:tcW w:type="dxa" w:w="10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P1</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Single kind control-plane</w:t>
            </w:r>
          </w:p>
        </w:tc>
        <w:tc>
          <w:tcPr>
            <w:tcW w:type="dxa" w:w="525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managed or multi-control-plane Kubernetes</w:t>
            </w:r>
          </w:p>
        </w:tc>
      </w:tr>
      <w:tr>
        <w:trPr>
          <w:cantSplit/>
        </w:trPr>
        <w:tc>
          <w:tcPr>
            <w:tcW w:type="dxa" w:w="10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P1</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No verified cloud/IaC delivery</w:t>
            </w:r>
          </w:p>
        </w:tc>
        <w:tc>
          <w:tcPr>
            <w:tcW w:type="dxa" w:w="525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Terraform/Pulumi, IAM, networking, TLS, ingress/LB, DNS, rollback</w:t>
            </w:r>
          </w:p>
        </w:tc>
      </w:tr>
      <w:tr>
        <w:trPr>
          <w:cantSplit/>
        </w:trPr>
        <w:tc>
          <w:tcPr>
            <w:tcW w:type="dxa" w:w="10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P1</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Hard worker loss caused transient transport failures</w:t>
            </w:r>
          </w:p>
        </w:tc>
        <w:tc>
          <w:tcPr>
            <w:tcW w:type="dxa" w:w="525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production CNI/LB evaluation, external time-weighted synthetic SLI</w:t>
            </w:r>
          </w:p>
        </w:tc>
      </w:tr>
      <w:tr>
        <w:trPr>
          <w:cantSplit/>
        </w:trPr>
        <w:tc>
          <w:tcPr>
            <w:tcW w:type="dxa" w:w="10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P1</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Redis asynchronous replication</w:t>
            </w:r>
          </w:p>
        </w:tc>
        <w:tc>
          <w:tcPr>
            <w:tcW w:type="dxa" w:w="525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define cache durability semantics and acceptable loss window</w:t>
            </w:r>
          </w:p>
        </w:tc>
      </w:tr>
      <w:tr>
        <w:trPr>
          <w:cantSplit/>
        </w:trPr>
        <w:tc>
          <w:tcPr>
            <w:tcW w:type="dxa" w:w="10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P1</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Supply-chain enforcement stops before cluster admission</w:t>
            </w:r>
          </w:p>
        </w:tc>
        <w:tc>
          <w:tcPr>
            <w:tcW w:type="dxa" w:w="525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signed-image admission and runtime verification policy</w:t>
            </w:r>
          </w:p>
        </w:tc>
      </w:tr>
      <w:tr>
        <w:trPr>
          <w:cantSplit/>
        </w:trPr>
        <w:tc>
          <w:tcPr>
            <w:tcW w:type="dxa" w:w="10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P1</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Payment provider remains simulated</w:t>
            </w:r>
          </w:p>
        </w:tc>
        <w:tc>
          <w:tcPr>
            <w:tcW w:type="dxa" w:w="525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real sandbox adapter, signed webhooks, reconciliation, provider idempotency</w:t>
            </w:r>
          </w:p>
        </w:tc>
      </w:tr>
      <w:tr>
        <w:trPr>
          <w:cantSplit/>
        </w:trPr>
        <w:tc>
          <w:tcPr>
            <w:tcW w:type="dxa" w:w="10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P2</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No rate limiting / lockout / MFA</w:t>
            </w:r>
          </w:p>
        </w:tc>
        <w:tc>
          <w:tcPr>
            <w:tcW w:type="dxa" w:w="525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gateway/app abuse controls and identity hardening</w:t>
            </w:r>
          </w:p>
        </w:tc>
      </w:tr>
      <w:tr>
        <w:trPr>
          <w:cantSplit/>
        </w:trPr>
        <w:tc>
          <w:tcPr>
            <w:tcW w:type="dxa" w:w="10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P2</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Partial retention lifecycle</w:t>
            </w:r>
          </w:p>
        </w:tc>
        <w:tc>
          <w:tcPr>
            <w:tcW w:type="dxa" w:w="525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approved retention and erasure automation</w:t>
            </w:r>
          </w:p>
        </w:tc>
      </w:tr>
      <w:tr>
        <w:trPr>
          <w:cantSplit/>
        </w:trPr>
        <w:tc>
          <w:tcPr>
            <w:tcW w:type="dxa" w:w="100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P2</w:t>
            </w:r>
          </w:p>
        </w:tc>
        <w:tc>
          <w:tcPr>
            <w:tcW w:type="dxa" w:w="381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Telemetry cost/retention untuned</w:t>
            </w:r>
          </w:p>
        </w:tc>
        <w:tc>
          <w:tcPr>
            <w:tcW w:type="dxa" w:w="5256"/>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representative sampling and storage budgets</w:t>
            </w:r>
          </w:p>
        </w:tc>
      </w:tr>
      <w:tr>
        <w:trPr>
          <w:cantSplit/>
        </w:trPr>
        <w:tc>
          <w:tcPr>
            <w:tcW w:type="dxa" w:w="100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P2</w:t>
            </w:r>
          </w:p>
        </w:tc>
        <w:tc>
          <w:tcPr>
            <w:tcW w:type="dxa" w:w="381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Cancel-vs-pay contention evidence limited</w:t>
            </w:r>
          </w:p>
        </w:tc>
        <w:tc>
          <w:tcPr>
            <w:tcW w:type="dxa" w:w="5256"/>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4"/>
                <w:lang w:val="en-US"/>
              </w:rPr>
              <w:t>high-iteration PostgreSQL contention drill</w:t>
            </w:r>
          </w:p>
        </w:tc>
      </w:tr>
    </w:tbl>
    <w:p>
      <w:pPr>
        <w:spacing w:after="0"/>
      </w:pPr>
    </w:p>
    <w:tbl>
      <w:tblPr>
        <w:tblW w:type="auto" w:w="0"/>
        <w:jc w:val="center"/>
        <w:tblLayout w:type="fixed"/>
        <w:tblLook w:firstColumn="1" w:firstRow="1" w:lastColumn="0" w:lastRow="0" w:noHBand="0" w:noVBand="1" w:val="04A0"/>
        <w:tblBorders>
          <w:top w:val="single" w:sz="8" w:space="0" w:color="0A66FF"/>
          <w:left w:val="single" w:sz="8" w:space="0" w:color="0A66FF"/>
          <w:bottom w:val="single" w:sz="8" w:space="0" w:color="0A66FF"/>
          <w:right w:val="single" w:sz="8" w:space="0" w:color="0A66FF"/>
          <w:insideH w:val="single" w:sz="8" w:space="0" w:color="0A66FF"/>
          <w:insideV w:val="single" w:sz="8" w:space="0" w:color="0A66FF"/>
        </w:tblBorders>
      </w:tblPr>
      <w:tblGrid>
        <w:gridCol w:w="10570"/>
      </w:tblGrid>
      <w:tr>
        <w:trPr>
          <w:cantSplit/>
        </w:trPr>
        <w:tc>
          <w:tcPr>
            <w:tcW w:type="dxa" w:w="10080"/>
            <w:shd w:fill="E2E4E8"/>
            <w:tcMar>
              <w:top w:w="35" w:type="dxa"/>
              <w:start w:w="65" w:type="dxa"/>
              <w:bottom w:w="35" w:type="dxa"/>
              <w:end w:w="65" w:type="dxa"/>
            </w:tcMar>
            <w:tcBorders>
              <w:top w:val="single" w:sz="8" w:color="0A66FF" w:space="0"/>
              <w:left w:val="single" w:sz="8" w:color="0A66FF" w:space="0"/>
              <w:bottom w:val="single" w:sz="8" w:color="0A66FF" w:space="0"/>
              <w:right w:val="single" w:sz="8" w:color="0A66FF" w:space="0"/>
              <w:insideH w:val="single" w:sz="8" w:space="0" w:color="0A66FF"/>
              <w:insideV w:val="single" w:sz="8" w:space="0" w:color="0A66FF"/>
            </w:tcBorders>
          </w:tcPr>
          <w:p>
            <w:pPr>
              <w:keepNext w:val="0"/>
              <w:spacing w:before="0" w:after="0" w:line="240" w:lineRule="auto"/>
              <w:jc w:val="left"/>
            </w:pPr>
            <w:r>
              <w:rPr>
                <w:rFonts w:ascii="Avenir Next" w:hAnsi="Avenir Next" w:eastAsia="Avenir Next"/>
                <w:b/>
                <w:color w:val="0A66FF"/>
                <w:sz w:val="16"/>
                <w:lang w:val="en-US"/>
              </w:rPr>
              <w:t xml:space="preserve">Risk interpretation  </w:t>
            </w:r>
            <w:r>
              <w:rPr>
                <w:rFonts w:ascii="Palatino" w:hAnsi="Palatino" w:eastAsia="Palatino"/>
                <w:b w:val="0"/>
                <w:color w:val="071B2E"/>
                <w:sz w:val="16"/>
                <w:lang w:val="en-US"/>
              </w:rPr>
              <w:t>The Phase 4-7 work closes major earlier local HA and artifact-governance gaps, but it should not be reworded as production HA. The remaining work is dominated by real failure domains, cloud delivery, secret identity, external measurement, and operational ownership.</w:t>
            </w:r>
          </w:p>
        </w:tc>
      </w:tr>
    </w:tbl>
    <w:p>
      <w:pPr>
        <w:spacing w:after="0"/>
      </w:pPr>
    </w:p>
    <w:p>
      <w:pPr>
        <w:pStyle w:val="Heading1"/>
        <w:pBdr>
          <w:bottom w:val="single" w:sz="5" w:space="4" w:color="D9E5FF"/>
        </w:pBdr>
      </w:pPr>
      <w:r>
        <w:rPr>
          <w:rFonts w:ascii="Avenir Next" w:hAnsi="Avenir Next" w:eastAsia="Avenir Next"/>
          <w:b/>
          <w:color w:val="071B2E"/>
          <w:sz w:val="34"/>
          <w:lang w:val="en-US"/>
        </w:rPr>
        <w:t>13. Senior Engineering Assessment and Roadmap</w:t>
      </w:r>
    </w:p>
    <w:p>
      <w:pPr>
        <w:pStyle w:val="Heading2"/>
        <w:keepNext/>
      </w:pPr>
      <w:r>
        <w:rPr>
          <w:rFonts w:ascii="Avenir Next" w:hAnsi="Avenir Next" w:eastAsia="Avenir Next"/>
          <w:b/>
          <w:color w:val="0B1F33"/>
          <w:sz w:val="24"/>
          <w:lang w:val="en-US"/>
        </w:rPr>
        <w:t>13.1 What the project demonstrates well</w:t>
      </w:r>
    </w:p>
    <w:p>
      <w:pPr>
        <w:pStyle w:val="ListBullet"/>
        <w:keepNext w:val="0"/>
        <w:spacing w:before="0" w:after="32" w:line="245" w:lineRule="auto"/>
        <w:ind w:left="259" w:hanging="173"/>
      </w:pPr>
      <w:r>
        <w:rPr>
          <w:rFonts w:ascii="Palatino" w:hAnsi="Palatino" w:eastAsia="Palatino"/>
          <w:b w:val="0"/>
          <w:color w:val="071B2E"/>
          <w:sz w:val="17"/>
          <w:lang w:val="en-US"/>
        </w:rPr>
        <w:t>Reliability claims are tied to executed evidence rather than manifest presence.</w:t>
      </w:r>
    </w:p>
    <w:p>
      <w:pPr>
        <w:pStyle w:val="ListBullet"/>
        <w:keepNext w:val="0"/>
        <w:spacing w:before="0" w:after="32" w:line="245" w:lineRule="auto"/>
        <w:ind w:left="259" w:hanging="173"/>
      </w:pPr>
      <w:r>
        <w:rPr>
          <w:rFonts w:ascii="Palatino" w:hAnsi="Palatino" w:eastAsia="Palatino"/>
          <w:b w:val="0"/>
          <w:color w:val="071B2E"/>
          <w:sz w:val="17"/>
          <w:lang w:val="en-US"/>
        </w:rPr>
        <w:t>PostgreSQL and Kafka durability results reconcile client acknowledgements against durable state after recovery.</w:t>
      </w:r>
    </w:p>
    <w:p>
      <w:pPr>
        <w:pStyle w:val="ListBullet"/>
        <w:keepNext w:val="0"/>
        <w:spacing w:before="0" w:after="32" w:line="245" w:lineRule="auto"/>
        <w:ind w:left="259" w:hanging="173"/>
      </w:pPr>
      <w:r>
        <w:rPr>
          <w:rFonts w:ascii="Palatino" w:hAnsi="Palatino" w:eastAsia="Palatino"/>
          <w:b w:val="0"/>
          <w:color w:val="071B2E"/>
          <w:sz w:val="17"/>
          <w:lang w:val="en-US"/>
        </w:rPr>
        <w:t>Backup work validates independent restoration and application data, not only backup-job success.</w:t>
      </w:r>
    </w:p>
    <w:p>
      <w:pPr>
        <w:pStyle w:val="ListBullet"/>
        <w:keepNext w:val="0"/>
        <w:spacing w:before="0" w:after="32" w:line="245" w:lineRule="auto"/>
        <w:ind w:left="259" w:hanging="173"/>
      </w:pPr>
      <w:r>
        <w:rPr>
          <w:rFonts w:ascii="Palatino" w:hAnsi="Palatino" w:eastAsia="Palatino"/>
          <w:b w:val="0"/>
          <w:color w:val="071B2E"/>
          <w:sz w:val="17"/>
          <w:lang w:val="en-US"/>
        </w:rPr>
        <w:t>Redis documentation preserves asynchronous replication limits instead of overstating failover as zero-loss durability.</w:t>
      </w:r>
    </w:p>
    <w:p>
      <w:pPr>
        <w:pStyle w:val="ListBullet"/>
        <w:keepNext w:val="0"/>
        <w:spacing w:before="0" w:after="32" w:line="245" w:lineRule="auto"/>
        <w:ind w:left="259" w:hanging="173"/>
      </w:pPr>
      <w:r>
        <w:rPr>
          <w:rFonts w:ascii="Palatino" w:hAnsi="Palatino" w:eastAsia="Palatino"/>
          <w:b w:val="0"/>
          <w:color w:val="071B2E"/>
          <w:sz w:val="17"/>
          <w:lang w:val="en-US"/>
        </w:rPr>
        <w:t>Transactional Outbox and DLT handling are implemented as durable operational state machines with ownership, leases, retry, terminal failure, replay, and audit.</w:t>
      </w:r>
    </w:p>
    <w:p>
      <w:pPr>
        <w:pStyle w:val="ListBullet"/>
        <w:keepNext w:val="0"/>
        <w:spacing w:before="0" w:after="32" w:line="245" w:lineRule="auto"/>
        <w:ind w:left="259" w:hanging="173"/>
      </w:pPr>
      <w:r>
        <w:rPr>
          <w:rFonts w:ascii="Palatino" w:hAnsi="Palatino" w:eastAsia="Palatino"/>
          <w:b w:val="0"/>
          <w:color w:val="071B2E"/>
          <w:sz w:val="17"/>
          <w:lang w:val="en-US"/>
        </w:rPr>
        <w:t>Kubernetes failure analysis separates client errors, node health, replacement creation, readiness, EndpointSlice convergence, and full capacity.</w:t>
      </w:r>
    </w:p>
    <w:p>
      <w:pPr>
        <w:pStyle w:val="ListBullet"/>
        <w:keepNext w:val="0"/>
        <w:spacing w:before="0" w:after="32" w:line="245" w:lineRule="auto"/>
        <w:ind w:left="259" w:hanging="173"/>
      </w:pPr>
      <w:r>
        <w:rPr>
          <w:rFonts w:ascii="Palatino" w:hAnsi="Palatino" w:eastAsia="Palatino"/>
          <w:b w:val="0"/>
          <w:color w:val="071B2E"/>
          <w:sz w:val="17"/>
          <w:lang w:val="en-US"/>
        </w:rPr>
        <w:t>Supply-chain controls extend the evidence model from runtime behavior to artifact identity, signing, SBOMs, provenance, and immutable promotion.</w:t>
      </w:r>
    </w:p>
    <w:p>
      <w:pPr>
        <w:pStyle w:val="Heading2"/>
        <w:keepNext/>
      </w:pPr>
      <w:r>
        <w:rPr>
          <w:rFonts w:ascii="Avenir Next" w:hAnsi="Avenir Next" w:eastAsia="Avenir Next"/>
          <w:b/>
          <w:color w:val="0B1F33"/>
          <w:sz w:val="24"/>
          <w:lang w:val="en-US"/>
        </w:rPr>
        <w:t>13.2 Current level</w:t>
      </w:r>
    </w:p>
    <w:p>
      <w:pPr>
        <w:keepNext w:val="0"/>
        <w:spacing w:before="0" w:after="60" w:line="252" w:lineRule="auto"/>
      </w:pPr>
      <w:r>
        <w:rPr>
          <w:rFonts w:ascii="Palatino" w:hAnsi="Palatino" w:eastAsia="Palatino"/>
          <w:b w:val="0"/>
          <w:color w:val="071B2E"/>
          <w:sz w:val="17"/>
          <w:lang w:val="en-US"/>
        </w:rPr>
        <w:t>The portfolio supports an advanced student / strong junior backend-platform assessment. Selected reliability practices show early mid-level reasoning, particularly in distributed failure modeling, durable-state reconciliation, recovery validation, and claim-boundary discipline.</w:t>
      </w:r>
    </w:p>
    <w:p>
      <w:pPr>
        <w:keepNext w:val="0"/>
        <w:spacing w:before="0" w:after="60" w:line="252" w:lineRule="auto"/>
      </w:pPr>
      <w:r>
        <w:rPr>
          <w:rFonts w:ascii="Palatino" w:hAnsi="Palatino" w:eastAsia="Palatino"/>
          <w:b w:val="0"/>
          <w:color w:val="071B2E"/>
          <w:sz w:val="17"/>
          <w:lang w:val="en-US"/>
        </w:rPr>
        <w:t>It should not be described as production-proven senior engineering. Missing proof includes managed multi-zone infrastructure, cloud IAM and workload identity, real production incidents and traffic, historical SLO/error-budget ownership, cost controls, and third-party payment integration.</w:t>
      </w:r>
    </w:p>
    <w:p>
      <w:pPr>
        <w:pStyle w:val="Heading2"/>
        <w:keepNext/>
      </w:pPr>
      <w:r>
        <w:rPr>
          <w:rFonts w:ascii="Avenir Next" w:hAnsi="Avenir Next" w:eastAsia="Avenir Next"/>
          <w:b/>
          <w:color w:val="0B1F33"/>
          <w:sz w:val="24"/>
          <w:lang w:val="en-US"/>
        </w:rPr>
        <w:t>13.3 Recommended next sequence</w:t>
      </w:r>
    </w:p>
    <w:p>
      <w:pPr>
        <w:pStyle w:val="ListBullet"/>
        <w:keepNext w:val="0"/>
        <w:spacing w:before="0" w:after="32" w:line="245" w:lineRule="auto"/>
        <w:ind w:left="259" w:hanging="173"/>
      </w:pPr>
      <w:r>
        <w:rPr>
          <w:rFonts w:ascii="Palatino" w:hAnsi="Palatino" w:eastAsia="Palatino"/>
          <w:b w:val="0"/>
          <w:color w:val="071B2E"/>
          <w:sz w:val="17"/>
          <w:lang w:val="en-US"/>
        </w:rPr>
        <w:t>External secrets and workload identity, including rotation and policy validation.</w:t>
      </w:r>
    </w:p>
    <w:p>
      <w:pPr>
        <w:pStyle w:val="ListBullet"/>
        <w:keepNext w:val="0"/>
        <w:spacing w:before="0" w:after="32" w:line="245" w:lineRule="auto"/>
        <w:ind w:left="259" w:hanging="173"/>
      </w:pPr>
      <w:r>
        <w:rPr>
          <w:rFonts w:ascii="Palatino" w:hAnsi="Palatino" w:eastAsia="Palatino"/>
          <w:b w:val="0"/>
          <w:color w:val="071B2E"/>
          <w:sz w:val="17"/>
          <w:lang w:val="en-US"/>
        </w:rPr>
        <w:t>Cloud/IaC deployment on a managed multi-control-plane Kubernetes platform.</w:t>
      </w:r>
    </w:p>
    <w:p>
      <w:pPr>
        <w:pStyle w:val="ListBullet"/>
        <w:keepNext w:val="0"/>
        <w:spacing w:before="0" w:after="32" w:line="245" w:lineRule="auto"/>
        <w:ind w:left="259" w:hanging="173"/>
      </w:pPr>
      <w:r>
        <w:rPr>
          <w:rFonts w:ascii="Palatino" w:hAnsi="Palatino" w:eastAsia="Palatino"/>
          <w:b w:val="0"/>
          <w:color w:val="071B2E"/>
          <w:sz w:val="17"/>
          <w:lang w:val="en-US"/>
        </w:rPr>
        <w:t>Off-host production object storage and repeated measured PostgreSQL/Kafka/Redis recovery objectives.</w:t>
      </w:r>
    </w:p>
    <w:p>
      <w:pPr>
        <w:pStyle w:val="ListBullet"/>
        <w:keepNext w:val="0"/>
        <w:spacing w:before="0" w:after="32" w:line="245" w:lineRule="auto"/>
        <w:ind w:left="259" w:hanging="173"/>
      </w:pPr>
      <w:r>
        <w:rPr>
          <w:rFonts w:ascii="Palatino" w:hAnsi="Palatino" w:eastAsia="Palatino"/>
          <w:b w:val="0"/>
          <w:color w:val="071B2E"/>
          <w:sz w:val="17"/>
          <w:lang w:val="en-US"/>
        </w:rPr>
        <w:t>External synthetic availability/latency measurement through ingress or load balancer.</w:t>
      </w:r>
    </w:p>
    <w:p>
      <w:pPr>
        <w:pStyle w:val="ListBullet"/>
        <w:keepNext w:val="0"/>
        <w:spacing w:before="0" w:after="32" w:line="245" w:lineRule="auto"/>
        <w:ind w:left="259" w:hanging="173"/>
      </w:pPr>
      <w:r>
        <w:rPr>
          <w:rFonts w:ascii="Palatino" w:hAnsi="Palatino" w:eastAsia="Palatino"/>
          <w:b w:val="0"/>
          <w:color w:val="071B2E"/>
          <w:sz w:val="17"/>
          <w:lang w:val="en-US"/>
        </w:rPr>
        <w:t>Admission control for signed images and provenance policy.</w:t>
      </w:r>
    </w:p>
    <w:p>
      <w:pPr>
        <w:pStyle w:val="ListBullet"/>
        <w:keepNext w:val="0"/>
        <w:spacing w:before="0" w:after="32" w:line="245" w:lineRule="auto"/>
        <w:ind w:left="259" w:hanging="173"/>
      </w:pPr>
      <w:r>
        <w:rPr>
          <w:rFonts w:ascii="Palatino" w:hAnsi="Palatino" w:eastAsia="Palatino"/>
          <w:b w:val="0"/>
          <w:color w:val="071B2E"/>
          <w:sz w:val="17"/>
          <w:lang w:val="en-US"/>
        </w:rPr>
        <w:t>Real payment-provider sandbox, webhook signature validation, provider reconciliation, and provider-side idempotency.</w:t>
      </w:r>
    </w:p>
    <w:p>
      <w:pPr>
        <w:pStyle w:val="ListBullet"/>
        <w:keepNext w:val="0"/>
        <w:spacing w:before="0" w:after="32" w:line="245" w:lineRule="auto"/>
        <w:ind w:left="259" w:hanging="173"/>
      </w:pPr>
      <w:r>
        <w:rPr>
          <w:rFonts w:ascii="Palatino" w:hAnsi="Palatino" w:eastAsia="Palatino"/>
          <w:b w:val="0"/>
          <w:color w:val="071B2E"/>
          <w:sz w:val="17"/>
          <w:lang w:val="en-US"/>
        </w:rPr>
        <w:t>Write-heavy/event-heavy soak tests, retry storms, correlated failure drills, and postmortem-style incident evidence.</w:t>
      </w:r>
    </w:p>
    <w:p>
      <w:pPr>
        <w:pStyle w:val="ListBullet"/>
        <w:keepNext w:val="0"/>
        <w:spacing w:before="0" w:after="32" w:line="245" w:lineRule="auto"/>
        <w:ind w:left="259" w:hanging="173"/>
      </w:pPr>
      <w:r>
        <w:rPr>
          <w:rFonts w:ascii="Palatino" w:hAnsi="Palatino" w:eastAsia="Palatino"/>
          <w:b w:val="0"/>
          <w:color w:val="071B2E"/>
          <w:sz w:val="17"/>
          <w:lang w:val="en-US"/>
        </w:rPr>
        <w:t>Regenerate release-current coverage and consolidate a versioned verification report.</w:t>
      </w:r>
    </w:p>
    <w:p>
      <w:pPr>
        <w:pStyle w:val="Heading1"/>
        <w:pBdr>
          <w:bottom w:val="single" w:sz="5" w:space="4" w:color="D9E5FF"/>
        </w:pBdr>
      </w:pPr>
      <w:r>
        <w:rPr>
          <w:rFonts w:ascii="Avenir Next" w:hAnsi="Avenir Next" w:eastAsia="Avenir Next"/>
          <w:b/>
          <w:color w:val="071B2E"/>
          <w:sz w:val="34"/>
          <w:lang w:val="en-US"/>
        </w:rPr>
        <w:t>14. Evidence Index</w:t>
      </w:r>
    </w:p>
    <w:tbl>
      <w:tblPr>
        <w:tblW w:type="auto" w:w="0"/>
        <w:jc w:val="center"/>
        <w:tblLayout w:type="fixed"/>
        <w:tblLook w:firstColumn="1" w:firstRow="1" w:lastColumn="0" w:lastRow="0" w:noHBand="0" w:noVBand="1" w:val="04A0"/>
        <w:tblBorders>
          <w:top w:val="single" w:sz="5" w:space="0" w:color="B8BDC7"/>
          <w:left w:val="single" w:sz="5" w:space="0" w:color="B8BDC7"/>
          <w:bottom w:val="single" w:sz="5" w:space="0" w:color="B8BDC7"/>
          <w:right w:val="single" w:sz="5" w:space="0" w:color="B8BDC7"/>
          <w:insideH w:val="single" w:sz="5" w:space="0" w:color="B8BDC7"/>
          <w:insideV w:val="single" w:sz="5" w:space="0" w:color="B8BDC7"/>
        </w:tblBorders>
      </w:tblPr>
      <w:tblGrid>
        <w:gridCol w:w="5285"/>
        <w:gridCol w:w="5285"/>
      </w:tblGrid>
      <w:tr>
        <w:trPr>
          <w:tblHeader w:val="true"/>
          <w:cantSplit/>
        </w:trPr>
        <w:tc>
          <w:tcPr>
            <w:tcW w:type="dxa" w:w="2232"/>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Milestone</w:t>
            </w:r>
          </w:p>
        </w:tc>
        <w:tc>
          <w:tcPr>
            <w:tcW w:type="dxa" w:w="7848"/>
            <w:shd w:fill="0B1F33"/>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tcPr>
          <w:p>
            <w:pPr>
              <w:keepNext w:val="0"/>
              <w:spacing w:before="0" w:after="0" w:line="240" w:lineRule="auto"/>
              <w:jc w:val="center"/>
            </w:pPr>
            <w:r>
              <w:rPr>
                <w:rFonts w:ascii="Avenir Next" w:hAnsi="Avenir Next" w:eastAsia="Avenir Next"/>
                <w:b/>
                <w:color w:val="FFFFFF"/>
                <w:sz w:val="16"/>
                <w:lang w:val="en-US"/>
              </w:rPr>
              <w:t>Primary evidence</w:t>
            </w:r>
          </w:p>
        </w:tc>
      </w:tr>
      <w:tr>
        <w:trPr>
          <w:cantSplit/>
        </w:trPr>
        <w:tc>
          <w:tcPr>
            <w:tcW w:type="dxa" w:w="22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Phase 3 / 3.3</w:t>
            </w:r>
          </w:p>
        </w:tc>
        <w:tc>
          <w:tcPr>
            <w:tcW w:type="dxa" w:w="78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Kubernetes 3-replica baseline, HPA, PDB, drain, hard worker recovery, multi-replica Outbox</w:t>
            </w:r>
          </w:p>
        </w:tc>
      </w:tr>
      <w:tr>
        <w:trPr>
          <w:cantSplit/>
        </w:trPr>
        <w:tc>
          <w:tcPr>
            <w:tcW w:type="dxa" w:w="223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Phase 4</w:t>
            </w:r>
          </w:p>
        </w:tc>
        <w:tc>
          <w:tcPr>
            <w:tcW w:type="dxa" w:w="78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verification/phase4/ PostgreSQL synchronous failover, RPO reconciliation, WAL archive, backup and independent restore</w:t>
            </w:r>
          </w:p>
        </w:tc>
      </w:tr>
      <w:tr>
        <w:trPr>
          <w:cantSplit/>
        </w:trPr>
        <w:tc>
          <w:tcPr>
            <w:tcW w:type="dxa" w:w="22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Phase 5</w:t>
            </w:r>
          </w:p>
        </w:tc>
        <w:tc>
          <w:tcPr>
            <w:tcW w:type="dxa" w:w="78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verification/phase5/ Kafka KRaft quorum, broker failure, ISR recovery, producer log and message reconciliation</w:t>
            </w:r>
          </w:p>
        </w:tc>
      </w:tr>
      <w:tr>
        <w:trPr>
          <w:cantSplit/>
        </w:trPr>
        <w:tc>
          <w:tcPr>
            <w:tcW w:type="dxa" w:w="2232"/>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Phase 6</w:t>
            </w:r>
          </w:p>
        </w:tc>
        <w:tc>
          <w:tcPr>
            <w:tcW w:type="dxa" w:w="7848"/>
            <w:shd w:fill="F4F5F7"/>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verification/phase6/ Redis Sentinel quorum, master failover, data survival, write-after-promotion and topology convergence</w:t>
            </w:r>
          </w:p>
        </w:tc>
      </w:tr>
      <w:tr>
        <w:trPr>
          <w:cantSplit/>
        </w:trPr>
        <w:tc>
          <w:tcPr>
            <w:tcW w:type="dxa" w:w="2232"/>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Phase 7</w:t>
            </w:r>
          </w:p>
        </w:tc>
        <w:tc>
          <w:tcPr>
            <w:tcW w:type="dxa" w:w="7848"/>
            <w:shd w:fill="FBFBFC"/>
            <w:tcMar>
              <w:top w:w="35" w:type="dxa"/>
              <w:start w:w="65" w:type="dxa"/>
              <w:bottom w:w="35" w:type="dxa"/>
              <w:end w:w="65" w:type="dxa"/>
            </w:tcMar>
            <w:tcBorders>
              <w:top w:val="single" w:sz="5" w:color="B8BDC7" w:space="0"/>
              <w:left w:val="single" w:sz="5" w:color="B8BDC7" w:space="0"/>
              <w:bottom w:val="single" w:sz="5" w:color="B8BDC7" w:space="0"/>
              <w:right w:val="single" w:sz="5" w:color="B8BDC7" w:space="0"/>
              <w:insideH w:val="single" w:sz="5" w:space="0" w:color="B8BDC7"/>
              <w:insideV w:val="single" w:sz="5" w:space="0" w:color="B8BDC7"/>
            </w:tcBorders>
            <w:vAlign w:val="center"/>
          </w:tcPr>
          <w:p>
            <w:pPr>
              <w:keepNext w:val="0"/>
              <w:spacing w:before="0" w:after="0" w:line="240" w:lineRule="auto"/>
              <w:jc w:val="left"/>
            </w:pPr>
            <w:r>
              <w:rPr>
                <w:rFonts w:ascii="Palatino" w:hAnsi="Palatino" w:eastAsia="Palatino"/>
                <w:b w:val="0"/>
                <w:color w:val="071B2E"/>
                <w:sz w:val="16"/>
                <w:lang w:val="en-US"/>
              </w:rPr>
              <w:t>verification/phase7/ plus .github/workflows/supply-chain.yml, SBOM/scan/sign/attestation pipeline and digest deployment helper</w:t>
            </w:r>
          </w:p>
        </w:tc>
      </w:tr>
    </w:tbl>
    <w:p>
      <w:pPr>
        <w:spacing w:after="0"/>
      </w:pPr>
    </w:p>
    <w:sectPr w:rsidR="00FC693F" w:rsidRPr="0006063C" w:rsidSect="00034616">
      <w:headerReference w:type="default" r:id="rId9"/>
      <w:footerReference w:type="default" r:id="rId10"/>
      <w:pgSz w:w="12240" w:h="15840"/>
      <w:pgMar w:top="792" w:right="835" w:bottom="792" w:left="835"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408"/>
      <w:gridCol w:w="3408"/>
      <w:gridCol w:w="3408"/>
    </w:tblGrid>
    <w:tr>
      <w:tc>
        <w:tcPr>
          <w:tcW w:type="dxa" w:w="3408"/>
          <w:tcMar>
            <w:top w:w="0" w:type="dxa"/>
            <w:start w:w="0" w:type="dxa"/>
            <w:bottom w:w="0" w:type="dxa"/>
            <w:end w:w="0" w:type="dxa"/>
          </w:tcMar>
          <w:tcBorders>
            <w:top w:val="nil"/>
            <w:left w:val="nil"/>
            <w:bottom w:val="nil"/>
            <w:right w:val="nil"/>
          </w:tcBorders>
        </w:tcPr>
        <w:p>
          <w:pPr>
            <w:jc w:val="left"/>
          </w:pPr>
          <w:r>
            <w:rPr>
              <w:rFonts w:ascii="Liberation Sans" w:hAnsi="Liberation Sans"/>
              <w:b/>
              <w:color w:val="123B5D"/>
              <w:sz w:val="14"/>
            </w:rPr>
            <w:t>RAVAN CHUANG</w:t>
          </w:r>
        </w:p>
      </w:tc>
      <w:tc>
        <w:tcPr>
          <w:tcW w:type="dxa" w:w="3408"/>
          <w:tcMar>
            <w:top w:w="0" w:type="dxa"/>
            <w:start w:w="0" w:type="dxa"/>
            <w:bottom w:w="0" w:type="dxa"/>
            <w:end w:w="0" w:type="dxa"/>
          </w:tcMar>
          <w:tcBorders>
            <w:top w:val="nil"/>
            <w:left w:val="nil"/>
            <w:bottom w:val="nil"/>
            <w:right w:val="nil"/>
          </w:tcBorders>
        </w:tcPr>
        <w:p>
          <w:pPr>
            <w:jc w:val="center"/>
          </w:pPr>
          <w:r>
            <w:rPr>
              <w:rFonts w:ascii="Liberation Sans" w:hAnsi="Liberation Sans"/>
              <w:color w:val="123B5D"/>
              <w:sz w:val="14"/>
            </w:rPr>
            <w:t>VERIFIED 2026-08-09</w:t>
          </w:r>
        </w:p>
      </w:tc>
      <w:tc>
        <w:tcPr>
          <w:tcW w:type="dxa" w:w="3408"/>
          <w:tcMar>
            <w:top w:w="0" w:type="dxa"/>
            <w:start w:w="0" w:type="dxa"/>
            <w:bottom w:w="0" w:type="dxa"/>
            <w:end w:w="0" w:type="dxa"/>
          </w:tcMar>
          <w:tcBorders>
            <w:top w:val="nil"/>
            <w:left w:val="nil"/>
            <w:bottom w:val="nil"/>
            <w:right w:val="nil"/>
          </w:tcBorders>
        </w:tcPr>
        <w:p>
          <w:pPr>
            <w:jc w:val="right"/>
          </w:pPr>
          <w:r>
            <w:rPr>
              <w:rFonts w:ascii="Liberation Sans" w:hAnsi="Liberation Sans"/>
              <w:color w:val="123B5D"/>
              <w:sz w:val="14"/>
            </w:rPr>
            <w:t xml:space="preserve">Page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0" w:space="4" w:color="0057B8"/>
      </w:pBdr>
    </w:pPr>
    <w:r>
      <w:rPr>
        <w:rFonts w:ascii="Avenir Next" w:hAnsi="Avenir Next" w:eastAsia="Avenir Next"/>
        <w:b/>
        <w:color w:val="0B1F33"/>
        <w:sz w:val="15"/>
        <w:lang w:val="en-US"/>
      </w:rPr>
      <w:t>SPRING BOOT E-COMMERCE BACKEND</w:t>
    </w:r>
    <w:r>
      <w:rPr>
        <w:rFonts w:ascii="Avenir Next" w:hAnsi="Avenir Next" w:eastAsia="Avenir Next"/>
        <w:b/>
        <w:color w:val="0B1F33"/>
        <w:sz w:val="15"/>
        <w:lang w:val="en-US"/>
      </w:rPr>
      <w:t xml:space="preserve">  |  SYSTEM DESIGN &amp; RELIABILITY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52" w:line="245" w:lineRule="auto"/>
    </w:pPr>
    <w:rPr>
      <w:rFonts w:ascii="Palatino" w:hAnsi="Palatino" w:eastAsia="Palatino"/>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venir Next" w:hAnsi="Avenir Next" w:eastAsia="Avenir Next"/>
      <w:b/>
      <w:bCs/>
      <w:color w:val="071B2E"/>
      <w:sz w:val="34"/>
      <w:szCs w:val="28"/>
    </w:rPr>
  </w:style>
  <w:style w:type="paragraph" w:styleId="Heading2">
    <w:name w:val="heading 2"/>
    <w:basedOn w:val="Normal"/>
    <w:next w:val="Normal"/>
    <w:link w:val="Heading2Char"/>
    <w:uiPriority w:val="9"/>
    <w:unhideWhenUsed/>
    <w:qFormat/>
    <w:rsid w:val="00FC693F"/>
    <w:pPr>
      <w:keepNext/>
      <w:keepLines/>
      <w:spacing w:before="100" w:after="48"/>
      <w:outlineLvl w:val="1"/>
    </w:pPr>
    <w:rPr>
      <w:rFonts w:asciiTheme="majorHAnsi" w:eastAsiaTheme="majorEastAsia" w:hAnsiTheme="majorHAnsi" w:cstheme="majorBidi" w:ascii="Avenir Next" w:hAnsi="Avenir Next" w:eastAsia="Avenir Next"/>
      <w:b/>
      <w:bCs/>
      <w:color w:val="0B1F33"/>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Liberation Sans" w:hAnsi="Liberation Sans"/>
      <w:b/>
      <w:bCs/>
      <w:color w:val="2E6F9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80"/>
      <w:contextualSpacing/>
    </w:pPr>
    <w:rPr>
      <w:rFonts w:asciiTheme="majorHAnsi" w:eastAsiaTheme="majorEastAsia" w:hAnsiTheme="majorHAnsi" w:cstheme="majorBidi" w:ascii="Liberation Sans" w:hAnsi="Liberation Sans"/>
      <w:b/>
      <w:color w:val="123B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 w:line="240" w:lineRule="auto"/>
      <w:contextualSpacing/>
    </w:pPr>
    <w:rPr>
      <w:rFonts w:ascii="Palatino" w:hAnsi="Palatino" w:eastAsia="Palatino"/>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pPr>
      <w:keepNext/>
      <w:keepLines/>
      <w:spacing w:before="20" w:after="60"/>
    </w:pPr>
    <w:rPr>
      <w:rFonts w:ascii="Palatino" w:hAnsi="Palatino" w:eastAsia="Palatino"/>
      <w:i/>
      <w:color w:val="0B1F33"/>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Spring Boot E-Commerce Backend — System Design and Engineering Portfolio</dc:title>
  <dc:subject>Evidence-led backend, reliability, and platform engineering portfolio</dc:subject>
  <dc:creator>Ravan Chuang</dc:creator>
  <cp:keywords>Spring Boot, distributed systems, PostgreSQL, Kafka, Redis, Kubernetes, reliability, supply chain</cp:keywords>
  <dc:description>generated by python-docx</dc:description>
  <cp:lastModifiedBy/>
  <cp:revision>1</cp:revision>
  <dcterms:created xsi:type="dcterms:W3CDTF">2013-12-23T23:15:00Z</dcterms:created>
  <dcterms:modified xsi:type="dcterms:W3CDTF">2013-12-23T23:15:00Z</dcterms:modified>
  <cp:category/>
</cp:coreProperties>
</file>