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 w:eastAsia="Calibri"/>
          <w:b/>
          <w:color w:val="2E74B5"/>
          <w:sz w:val="21"/>
        </w:rPr>
        <w:t>SYSTEM DESIGN &amp; RELIABILITY PORTFOLIO  ·  EVIDENCE-LED ENGINEERING REVIEW</w:t>
      </w:r>
    </w:p>
    <w:p>
      <w:pPr>
        <w:spacing w:after="100"/>
      </w:pPr>
      <w:r>
        <w:rPr>
          <w:rFonts w:ascii="Calibri" w:hAnsi="Calibri" w:eastAsia="Calibri"/>
          <w:b/>
          <w:color w:val="102A43"/>
          <w:sz w:val="62"/>
        </w:rPr>
        <w:t>Spring Boot</w:t>
        <w:br/>
        <w:t>E-Commerce Backend</w:t>
      </w:r>
    </w:p>
    <w:p>
      <w:pPr>
        <w:spacing w:after="200"/>
      </w:pPr>
      <w:r>
        <w:rPr>
          <w:rFonts w:ascii="Calibri" w:hAnsi="Calibri" w:eastAsia="Calibri"/>
          <w:i/>
          <w:color w:val="53677D"/>
          <w:sz w:val="27"/>
        </w:rPr>
        <w:t>Transactional correctness, recoverable event delivery, stateful failover, supply-chain provenance, and OCI brownfield Infrastructure as Code</w:t>
      </w:r>
    </w:p>
    <w:p>
      <w:pPr>
        <w:spacing w:after="180"/>
        <w:jc w:val="center"/>
      </w:pPr>
      <w:r>
        <w:rPr>
          <w:rFonts w:ascii="Calibri" w:hAnsi="Calibri" w:eastAsia="Calibri"/>
          <w:b/>
          <w:color w:val="2E74B5"/>
          <w:sz w:val="17"/>
        </w:rPr>
        <w:t>JAVA 25  ·  SPRING BOOT 4.1.0  ·  POSTGRESQL 16/17  ·  REDIS 7  ·  KAFKA 4.1.x  ·  KUBERNETES 1.36.1  ·  TERRAFORM / OCI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F1FB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4"/>
              </w:rPr>
              <w:t>HEAD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F1FB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32"/>
              </w:rPr>
              <w:t>172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F1FB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32"/>
              </w:rPr>
              <w:t>92.55%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F1FB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32"/>
              </w:rPr>
              <w:t>82.75%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53677D"/>
                <w:sz w:val="15"/>
              </w:rPr>
              <w:t>45899b8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53677D"/>
                <w:sz w:val="15"/>
              </w:rPr>
              <w:t>TESTS PASSED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53677D"/>
                <w:sz w:val="15"/>
              </w:rPr>
              <w:t>INSTRUCTION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53677D"/>
                <w:sz w:val="15"/>
              </w:rPr>
              <w:t>BRANCH</w:t>
            </w:r>
          </w:p>
        </w:tc>
      </w:tr>
    </w:tbl>
    <w:p>
      <w:pPr>
        <w:keepLines w:val="0"/>
      </w:pPr>
      <w:r>
        <w:rPr>
          <w:rFonts w:ascii="Calibri" w:hAnsi="Calibri" w:eastAsia="Calibri"/>
          <w:b/>
          <w:color w:val="102A43"/>
        </w:rPr>
        <w:t>Executive position.</w:t>
      </w:r>
      <w:r>
        <w:rPr>
          <w:rFonts w:ascii="Calibri" w:hAnsi="Calibri" w:eastAsia="Calibri"/>
          <w:color w:val="102A43"/>
        </w:rPr>
        <w:t xml:space="preserve"> This is an evidence-led distributed backend portfolio, not a technology checklist. Its strongest engineering quality is the preservation of correctness and recovery boundaries across PostgreSQL transactions, Kafka delivery, failure injection, artifact identity, and cloud infrastructure ownership.</w:t>
      </w:r>
    </w:p>
    <w:p>
      <w:pPr>
        <w:pStyle w:val="Callout"/>
        <w:keepLines/>
        <w:shd w:fill="EAF6ED"/>
        <w:pBdr>
          <w:left w:val="single" w:sz="22" w:space="8" w:color="2E7D32"/>
        </w:pBdr>
        <w:spacing w:after="120"/>
      </w:pPr>
      <w:r>
        <w:rPr>
          <w:rFonts w:ascii="Calibri" w:hAnsi="Calibri" w:eastAsia="Calibri"/>
          <w:b/>
          <w:color w:val="2E7D32"/>
          <w:sz w:val="18"/>
        </w:rPr>
        <w:t xml:space="preserve">VERIFIED APPLICATION BASELINE  </w:t>
      </w:r>
      <w:r>
        <w:rPr>
          <w:rFonts w:ascii="Calibri" w:hAnsi="Calibri" w:eastAsia="Calibri"/>
          <w:color w:val="102A43"/>
          <w:sz w:val="18"/>
        </w:rPr>
        <w:t>At ff5e527, clean-clone ./mvnw clean verify passed on 2026-08-10: 172 tests, 0 failures, 0 errors, 0 skipped; JaCoCo measured 92.55% instruction and 82.75% branch across 112 classes; the 85% / 75% hard gate passed.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VERIFIED / OBSERVED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EXPLICITLY NOT CLAIMED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7"/>
              </w:rPr>
              <w:t>3-replica app and stateful one-node drills; signed artifact path; OCI hardening and recovery acceptance.</w:t>
            </w:r>
          </w:p>
        </w:tc>
        <w:tc>
          <w:tcPr>
            <w:tcW w:type="dxa" w:w="468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7"/>
              </w:rPr>
              <w:t>Production multi-zone platform; zero-downtime worker loss; universal zero-RPO; workload identity; historical SLO attainment.</w:t>
            </w:r>
          </w:p>
        </w:tc>
      </w:tr>
    </w:tbl>
    <w:p>
      <w:pPr>
        <w:spacing w:after="0"/>
      </w:pPr>
    </w:p>
    <w:p>
      <w:pPr>
        <w:pStyle w:val="Callout"/>
        <w:keepLines/>
        <w:shd w:fill="FFF6E5"/>
        <w:pBdr>
          <w:left w:val="single" w:sz="22" w:space="8" w:color="B7791F"/>
        </w:pBdr>
        <w:spacing w:after="120"/>
      </w:pPr>
      <w:r>
        <w:rPr>
          <w:rFonts w:ascii="Calibri" w:hAnsi="Calibri" w:eastAsia="Calibri"/>
          <w:b/>
          <w:color w:val="B7791F"/>
          <w:sz w:val="18"/>
        </w:rPr>
        <w:t xml:space="preserve">REPOSITORY BOUNDARY  </w:t>
      </w:r>
      <w:r>
        <w:rPr>
          <w:rFonts w:ascii="Calibri" w:hAnsi="Calibri" w:eastAsia="Calibri"/>
          <w:color w:val="102A43"/>
          <w:sz w:val="18"/>
        </w:rPr>
        <w:t>Current HEAD is 45899b8 and tag phase9-recovery-complete. The latest independently verified application source remains ff5e527; later changes are documentation, OCI Terraform, and retained evidence, so no newer application-test result is implied.</w:t>
      </w:r>
    </w:p>
    <w:p>
      <w:pPr>
        <w:jc w:val="center"/>
      </w:pPr>
      <w:hyperlink r:id="rId13">
        <w:r>
          <w:rPr>
            <w:rFonts w:ascii="Calibri" w:hAnsi="Calibri"/>
            <w:color w:val="2E74B5"/>
            <w:u w:val="single"/>
          </w:rPr>
          <w:t>github.com/ravan-chuang/spring-boot-ecommerce-backend</w:t>
        </w:r>
      </w:hyperlink>
    </w:p>
    <w:p>
      <w:pPr>
        <w:spacing w:before="0" w:after="0" w:line="20" w:lineRule="exact"/>
      </w:pPr>
      <w:r>
        <w:rPr>
          <w:rFonts w:ascii="Calibri" w:hAnsi="Calibri" w:eastAsia="Calibri"/>
          <w:sz w:val="2"/>
        </w:rPr>
        <w:br w:type="page"/>
      </w:r>
    </w:p>
    <w:p>
      <w:pPr>
        <w:pStyle w:val="Heading1"/>
        <w:keepNext/>
      </w:pPr>
      <w:r>
        <w:rPr>
          <w:rFonts w:ascii="Calibri" w:hAnsi="Calibri" w:eastAsia="Calibri"/>
        </w:rPr>
        <w:t>1. Evidence Model and Current Baseline</w:t>
      </w:r>
    </w:p>
    <w:p>
      <w:pPr>
        <w:keepLines w:val="0"/>
      </w:pPr>
      <w:r>
        <w:rPr>
          <w:rFonts w:ascii="Calibri" w:hAnsi="Calibri" w:eastAsia="Calibri"/>
          <w:color w:val="102A43"/>
        </w:rPr>
        <w:t>Claims are classified before presentation. Configuration is not runtime proof; a successful failure drill is not generalized beyond its tested domain; and a captured acknowledgement set is reconciled against durable state before an RPO observation is stated.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1900"/>
        <w:gridCol w:w="4240"/>
        <w:gridCol w:w="3220"/>
      </w:tblGrid>
      <w:tr>
        <w:trPr>
          <w:tblHeader w:val="true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Evidence class</w:t>
            </w:r>
          </w:p>
        </w:tc>
        <w:tc>
          <w:tcPr>
            <w:tcW w:type="dxa" w:w="42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What qualifies</w:t>
            </w:r>
          </w:p>
        </w:tc>
        <w:tc>
          <w:tcPr>
            <w:tcW w:type="dxa" w:w="32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Allowed wording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Implemented</w:t>
            </w:r>
          </w:p>
        </w:tc>
        <w:tc>
          <w:tcPr>
            <w:tcW w:type="dxa" w:w="424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Version-controlled code, migration, manifest, workflow, or Terraform declaration</w:t>
            </w:r>
          </w:p>
        </w:tc>
        <w:tc>
          <w:tcPr>
            <w:tcW w:type="dxa" w:w="32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Implemented / configured</w:t>
            </w:r>
          </w:p>
        </w:tc>
      </w:tr>
      <w:tr>
        <w:trPr>
          <w:cantSplit/>
        </w:trPr>
        <w:tc>
          <w:tcPr>
            <w:tcW w:type="dxa" w:w="19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Verified</w:t>
            </w:r>
          </w:p>
        </w:tc>
        <w:tc>
          <w:tcPr>
            <w:tcW w:type="dxa" w:w="424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Executed behavior with retained evidence</w:t>
            </w:r>
          </w:p>
        </w:tc>
        <w:tc>
          <w:tcPr>
            <w:tcW w:type="dxa" w:w="322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Verified under tested conditions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Observed</w:t>
            </w:r>
          </w:p>
        </w:tc>
        <w:tc>
          <w:tcPr>
            <w:tcW w:type="dxa" w:w="424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Workload- and failure-domain-specific measurement</w:t>
            </w:r>
          </w:p>
        </w:tc>
        <w:tc>
          <w:tcPr>
            <w:tcW w:type="dxa" w:w="32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State result and boundary together</w:t>
            </w:r>
          </w:p>
        </w:tc>
      </w:tr>
      <w:tr>
        <w:trPr>
          <w:cantSplit/>
        </w:trPr>
        <w:tc>
          <w:tcPr>
            <w:tcW w:type="dxa" w:w="19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Proposed</w:t>
            </w:r>
          </w:p>
        </w:tc>
        <w:tc>
          <w:tcPr>
            <w:tcW w:type="dxa" w:w="424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Target architecture or untested domain</w:t>
            </w:r>
          </w:p>
        </w:tc>
        <w:tc>
          <w:tcPr>
            <w:tcW w:type="dxa" w:w="322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Not implemented / not claimed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Calibri" w:hAnsi="Calibri" w:eastAsia="Calibri"/>
        </w:rPr>
        <w:t>1.1 Current engineering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1800"/>
        <w:gridCol w:w="4440"/>
        <w:gridCol w:w="3120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Domain</w:t>
            </w:r>
          </w:p>
        </w:tc>
        <w:tc>
          <w:tcPr>
            <w:tcW w:type="dxa" w:w="4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As-built / observed state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Evidence boundary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Repository</w:t>
            </w:r>
          </w:p>
        </w:tc>
        <w:tc>
          <w:tcPr>
            <w:tcW w:type="dxa" w:w="444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HEAD 45899b8; tag phase9-recovery-complete</w:t>
            </w:r>
          </w:p>
        </w:tc>
        <w:tc>
          <w:tcPr>
            <w:tcW w:type="dxa" w:w="31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Current source/configuration</w:t>
            </w:r>
          </w:p>
        </w:tc>
      </w:tr>
      <w:tr>
        <w:trPr>
          <w:cantSplit/>
        </w:trPr>
        <w:tc>
          <w:tcPr>
            <w:tcW w:type="dxa" w:w="18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Application verify</w:t>
            </w:r>
          </w:p>
        </w:tc>
        <w:tc>
          <w:tcPr>
            <w:tcW w:type="dxa" w:w="444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ff5e527: 172/0/0/0; 49.278 s; 112 classes</w:t>
            </w:r>
          </w:p>
        </w:tc>
        <w:tc>
          <w:tcPr>
            <w:tcW w:type="dxa" w:w="312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Latest retained clean-clone rerun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Coverage</w:t>
            </w:r>
          </w:p>
        </w:tc>
        <w:tc>
          <w:tcPr>
            <w:tcW w:type="dxa" w:w="444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92.55% instruction / 82.75% branch</w:t>
            </w:r>
          </w:p>
        </w:tc>
        <w:tc>
          <w:tcPr>
            <w:tcW w:type="dxa" w:w="31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Measured at ff5e527; gate passed</w:t>
            </w:r>
          </w:p>
        </w:tc>
      </w:tr>
      <w:tr>
        <w:trPr>
          <w:cantSplit/>
        </w:trPr>
        <w:tc>
          <w:tcPr>
            <w:tcW w:type="dxa" w:w="18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Application</w:t>
            </w:r>
          </w:p>
        </w:tc>
        <w:tc>
          <w:tcPr>
            <w:tcW w:type="dxa" w:w="444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3 replicas; HPA 3–8; PDB; probes; topology spread</w:t>
            </w:r>
          </w:p>
        </w:tc>
        <w:tc>
          <w:tcPr>
            <w:tcW w:type="dxa" w:w="312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Local kind; one control-plane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Data / messaging</w:t>
            </w:r>
          </w:p>
        </w:tc>
        <w:tc>
          <w:tcPr>
            <w:tcW w:type="dxa" w:w="444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CNPG PostgreSQL 17 ×3; Kafka KRaft ×3; Redis + Sentinel</w:t>
            </w:r>
          </w:p>
        </w:tc>
        <w:tc>
          <w:tcPr>
            <w:tcW w:type="dxa" w:w="312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Local, single-fault evidence</w:t>
            </w:r>
          </w:p>
        </w:tc>
      </w:tr>
      <w:tr>
        <w:trPr>
          <w:cantSplit/>
        </w:trPr>
        <w:tc>
          <w:tcPr>
            <w:tcW w:type="dxa" w:w="18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OCI Phase 9</w:t>
            </w:r>
          </w:p>
        </w:tc>
        <w:tc>
          <w:tcPr>
            <w:tcW w:type="dxa" w:w="444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Restricted SSH; direct 8080 removed; final plan No changes; reboot PASS</w:t>
            </w:r>
          </w:p>
        </w:tc>
        <w:tc>
          <w:tcPr>
            <w:tcW w:type="dxa" w:w="312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Single development VM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Calibri" w:hAnsi="Calibri" w:eastAsia="Calibri"/>
        </w:rPr>
        <w:t>1.2 Coverage precision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2700"/>
        <w:gridCol w:w="1500"/>
        <w:gridCol w:w="1500"/>
        <w:gridCol w:w="366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Coverage fact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Instruction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Branch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Interpretation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Latest verified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92.55%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82.75%</w:t>
            </w:r>
          </w:p>
        </w:tc>
        <w:tc>
          <w:tcPr>
            <w:tcW w:type="dxa" w:w="36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Clean-clone rerun at ff5e527</w:t>
            </w:r>
          </w:p>
        </w:tc>
      </w:tr>
      <w:tr>
        <w:trPr>
          <w:cantSplit/>
        </w:trPr>
        <w:tc>
          <w:tcPr>
            <w:tcW w:type="dxa" w:w="27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Historical Phase 2.1</w:t>
            </w:r>
          </w:p>
        </w:tc>
        <w:tc>
          <w:tcPr>
            <w:tcW w:type="dxa" w:w="1500"/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89.78%</w:t>
            </w:r>
          </w:p>
        </w:tc>
        <w:tc>
          <w:tcPr>
            <w:tcW w:type="dxa" w:w="1500"/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73.63%</w:t>
            </w:r>
          </w:p>
        </w:tc>
        <w:tc>
          <w:tcPr>
            <w:tcW w:type="dxa" w:w="36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Earlier evidence only</w:t>
            </w:r>
          </w:p>
        </w:tc>
      </w:tr>
      <w:tr>
        <w:trPr>
          <w:cantSplit/>
        </w:trPr>
        <w:tc>
          <w:tcPr>
            <w:tcW w:type="dxa" w:w="27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Maven hard gate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85.00%</w:t>
            </w:r>
          </w:p>
        </w:tc>
        <w:tc>
          <w:tcPr>
            <w:tcW w:type="dxa" w:w="15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75.00%</w:t>
            </w:r>
          </w:p>
        </w:tc>
        <w:tc>
          <w:tcPr>
            <w:tcW w:type="dxa" w:w="36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Bundle minimum; passed</w:t>
            </w:r>
          </w:p>
        </w:tc>
      </w:tr>
      <w:tr>
        <w:trPr>
          <w:cantSplit/>
        </w:trPr>
        <w:tc>
          <w:tcPr>
            <w:tcW w:type="dxa" w:w="27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Regression reference</w:t>
            </w:r>
          </w:p>
        </w:tc>
        <w:tc>
          <w:tcPr>
            <w:tcW w:type="dxa" w:w="1500"/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81.4756%</w:t>
            </w:r>
          </w:p>
        </w:tc>
        <w:tc>
          <w:tcPr>
            <w:tcW w:type="dxa" w:w="1500"/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68.2927%</w:t>
            </w:r>
          </w:p>
        </w:tc>
        <w:tc>
          <w:tcPr>
            <w:tcW w:type="dxa" w:w="36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Maximum absolute drop 0.005</w:t>
            </w:r>
          </w:p>
        </w:tc>
      </w:tr>
    </w:tbl>
    <w:p>
      <w:pPr>
        <w:spacing w:after="0"/>
      </w:pPr>
    </w:p>
    <w:p>
      <w:pPr>
        <w:pStyle w:val="Callout"/>
        <w:keepLines/>
        <w:shd w:fill="FFF6E5"/>
        <w:pBdr>
          <w:left w:val="single" w:sz="22" w:space="8" w:color="B7791F"/>
        </w:pBdr>
        <w:spacing w:after="120"/>
      </w:pPr>
      <w:r>
        <w:rPr>
          <w:rFonts w:ascii="Calibri" w:hAnsi="Calibri" w:eastAsia="Calibri"/>
          <w:b/>
          <w:color w:val="B7791F"/>
          <w:sz w:val="18"/>
        </w:rPr>
        <w:t xml:space="preserve">VERSION DISCIPLINE  </w:t>
      </w:r>
      <w:r>
        <w:rPr>
          <w:rFonts w:ascii="Calibri" w:hAnsi="Calibri" w:eastAsia="Calibri"/>
          <w:color w:val="102A43"/>
          <w:sz w:val="18"/>
        </w:rPr>
        <w:t>PostgreSQL 16 vs 17 and Kafka 4.1.0 vs 4.1.2 belong to different Compose, Testcontainers, and Kubernetes scopes; the portfolio does not merge them into one ambiguous baseline.</w:t>
      </w:r>
    </w:p>
    <w:p>
      <w:pPr>
        <w:spacing w:before="0" w:after="0" w:line="20" w:lineRule="exact"/>
      </w:pPr>
      <w:r>
        <w:rPr>
          <w:rFonts w:ascii="Calibri" w:hAnsi="Calibri" w:eastAsia="Calibri"/>
          <w:sz w:val="2"/>
        </w:rPr>
        <w:br w:type="page"/>
      </w:r>
    </w:p>
    <w:p>
      <w:pPr>
        <w:pStyle w:val="Heading1"/>
        <w:keepNext/>
      </w:pPr>
      <w:r>
        <w:rPr>
          <w:rFonts w:ascii="Calibri" w:hAnsi="Calibri" w:eastAsia="Calibri"/>
        </w:rPr>
        <w:t>2. As-Built Architecture and Availability Boundary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2975800"/>
            <wp:docPr id="1" name="Picture 1" title="Figure 1" descr="Architecture diagram showing Client to Kubernetes Service to three Spring Boot replicas; PostgreSQL, Redis, Outbox, Kafka and observability dependencies; separate supply-chain and OCI Phase 9 boundaries with no deployment edge from OCI to the local st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curr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rPr>
          <w:rFonts w:ascii="Calibri" w:hAnsi="Calibri" w:eastAsia="Calibri"/>
          <w:i/>
          <w:color w:val="6B7C8F"/>
          <w:sz w:val="17"/>
        </w:rPr>
        <w:t>Figure 1 | Verified as-built view. Runtime paths are separated from supply-chain and OCI control boundaries.</w:t>
      </w:r>
    </w:p>
    <w:p>
      <w:pPr>
        <w:keepLines w:val="0"/>
      </w:pPr>
      <w:r>
        <w:rPr>
          <w:rFonts w:ascii="Calibri" w:hAnsi="Calibri" w:eastAsia="Calibri"/>
          <w:color w:val="102A43"/>
        </w:rPr>
        <w:t>The PostgreSQL commit is the correctness boundary. Business state and outbound event intent become durable together; Kafka publication follows the commit and remains at-least-once. Redis is an acceleration/session dependency, not the source of record.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1800"/>
        <w:gridCol w:w="4200"/>
        <w:gridCol w:w="3360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Layer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Verified topology / behavior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Application</w:t>
            </w:r>
          </w:p>
        </w:tc>
        <w:tc>
          <w:tcPr>
            <w:tcW w:type="dxa" w:w="4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3 replicas; HPA 3–8; PDB; worker recovery</w:t>
            </w:r>
          </w:p>
        </w:tc>
        <w:tc>
          <w:tcPr>
            <w:tcW w:type="dxa" w:w="33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Transient failures during hard worker loss</w:t>
            </w:r>
          </w:p>
        </w:tc>
      </w:tr>
      <w:tr>
        <w:trPr>
          <w:cantSplit/>
        </w:trPr>
        <w:tc>
          <w:tcPr>
            <w:tcW w:type="dxa" w:w="18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PostgreSQL</w:t>
            </w:r>
          </w:p>
        </w:tc>
        <w:tc>
          <w:tcPr>
            <w:tcW w:type="dxa" w:w="42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CNPG ×3; synchronous failover; physical restore</w:t>
            </w:r>
          </w:p>
        </w:tc>
        <w:tc>
          <w:tcPr>
            <w:tcW w:type="dxa" w:w="33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Local storage/object-store domains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Kafka / Redis</w:t>
            </w:r>
          </w:p>
        </w:tc>
        <w:tc>
          <w:tcPr>
            <w:tcW w:type="dxa" w:w="4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KRaft ×3 single-node drill; Sentinel failover</w:t>
            </w:r>
          </w:p>
        </w:tc>
        <w:tc>
          <w:tcPr>
            <w:tcW w:type="dxa" w:w="33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No correlated failure or universal zero-RPO</w:t>
            </w:r>
          </w:p>
        </w:tc>
      </w:tr>
      <w:tr>
        <w:trPr>
          <w:cantSplit/>
        </w:trPr>
        <w:tc>
          <w:tcPr>
            <w:tcW w:type="dxa" w:w="18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Supply chain</w:t>
            </w:r>
          </w:p>
        </w:tc>
        <w:tc>
          <w:tcPr>
            <w:tcW w:type="dxa" w:w="42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Signed and attested digest path</w:t>
            </w:r>
          </w:p>
        </w:tc>
        <w:tc>
          <w:tcPr>
            <w:tcW w:type="dxa" w:w="33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No admission-time signature rejection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OCI</w:t>
            </w:r>
          </w:p>
        </w:tc>
        <w:tc>
          <w:tcPr>
            <w:tcW w:type="dxa" w:w="4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Brownfield ownership, hardening, VM recovery</w:t>
            </w:r>
          </w:p>
        </w:tc>
        <w:tc>
          <w:tcPr>
            <w:tcW w:type="dxa" w:w="33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Not deployment of the full local stack</w:t>
            </w:r>
          </w:p>
        </w:tc>
      </w:tr>
    </w:tbl>
    <w:p>
      <w:pPr>
        <w:spacing w:after="0"/>
      </w:pPr>
    </w:p>
    <w:p>
      <w:pPr>
        <w:pStyle w:val="Callout"/>
        <w:keepLines/>
        <w:shd w:fill="FDECEC"/>
        <w:pBdr>
          <w:left w:val="single" w:sz="22" w:space="8" w:color="A62B2B"/>
        </w:pBdr>
        <w:spacing w:after="120"/>
      </w:pPr>
      <w:r>
        <w:rPr>
          <w:rFonts w:ascii="Calibri" w:hAnsi="Calibri" w:eastAsia="Calibri"/>
          <w:b/>
          <w:color w:val="A62B2B"/>
          <w:sz w:val="18"/>
        </w:rPr>
        <w:t xml:space="preserve">BOUNDARY  </w:t>
      </w:r>
      <w:r>
        <w:rPr>
          <w:rFonts w:ascii="Calibri" w:hAnsi="Calibri" w:eastAsia="Calibri"/>
          <w:color w:val="102A43"/>
          <w:sz w:val="18"/>
        </w:rPr>
        <w:t>No arrow connects the OCI development VM to the complete local Kubernetes/stateful runtime because that deployment has not been verified.</w:t>
      </w:r>
    </w:p>
    <w:p>
      <w:pPr>
        <w:spacing w:before="0" w:after="0" w:line="20" w:lineRule="exact"/>
      </w:pPr>
      <w:r>
        <w:rPr>
          <w:rFonts w:ascii="Calibri" w:hAnsi="Calibri" w:eastAsia="Calibri"/>
          <w:sz w:val="2"/>
        </w:rPr>
        <w:br w:type="page"/>
      </w:r>
    </w:p>
    <w:p>
      <w:pPr>
        <w:pStyle w:val="Heading1"/>
        <w:keepNext/>
      </w:pPr>
      <w:r>
        <w:rPr>
          <w:rFonts w:ascii="Calibri" w:hAnsi="Calibri" w:eastAsia="Calibri"/>
        </w:rPr>
        <w:t>3. Transaction Correctness and Durable Delivery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2758059"/>
            <wp:docPr id="2" name="Picture 2" title="Figure 2" descr="Two-part diagram showing one PostgreSQL transaction for idempotent payment and a durable Outbox state machine from pending to processing, published, retry, failed, and approved replay, followed by consumer idempoten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out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rPr>
          <w:rFonts w:ascii="Calibri" w:hAnsi="Calibri" w:eastAsia="Calibri"/>
          <w:i/>
          <w:color w:val="6B7C8F"/>
          <w:sz w:val="17"/>
        </w:rPr>
        <w:t>Figure 2 | Payment idempotency and Transactional Outbox lifecycle. Recovery arrows terminate at their actual states.</w:t>
      </w:r>
    </w:p>
    <w:p>
      <w:pPr>
        <w:pStyle w:val="Heading2"/>
        <w:keepNext/>
      </w:pPr>
      <w:r>
        <w:rPr>
          <w:rFonts w:ascii="Calibri" w:hAnsi="Calibri" w:eastAsia="Calibri"/>
        </w:rPr>
        <w:t>3.1 Commerce invariants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Stock uses optimistic locking; checkout revalidates inventory inside the order transaction.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Order creation, stock deduction, cart deletion, and ORDER_CREATED Outbox insertion commit atomically.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Payment and cancellation serialize terminal transitions through the same pessimistic order lock.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Idempotency-Key + path identify the command; SHA-256 fingerprinting rejects different-payload reuse.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Production contains one checkout workflow; the slow endpoint, duplicate implementation, and Thread.sleep were removed.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2500"/>
        <w:gridCol w:w="3800"/>
        <w:gridCol w:w="3060"/>
      </w:tblGrid>
      <w:tr>
        <w:trPr>
          <w:tblHeader w:val="true"/>
          <w:cantSplit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Invariant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Mechanism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Failure contained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One payment / order</w:t>
            </w:r>
          </w:p>
        </w:tc>
        <w:tc>
          <w:tcPr>
            <w:tcW w:type="dxa" w:w="3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DB uniqueness + pessimistic lock</w:t>
            </w:r>
          </w:p>
        </w:tc>
        <w:tc>
          <w:tcPr>
            <w:tcW w:type="dxa" w:w="30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Concurrent duplicate creation</w:t>
            </w:r>
          </w:p>
        </w:tc>
      </w:tr>
      <w:tr>
        <w:trPr>
          <w:cantSplit/>
        </w:trPr>
        <w:tc>
          <w:tcPr>
            <w:tcW w:type="dxa" w:w="2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Same key = same request</w:t>
            </w:r>
          </w:p>
        </w:tc>
        <w:tc>
          <w:tcPr>
            <w:tcW w:type="dxa" w:w="38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Fingerprint + response snapshot</w:t>
            </w:r>
          </w:p>
        </w:tc>
        <w:tc>
          <w:tcPr>
            <w:tcW w:type="dxa" w:w="30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Different-payload key reuse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Outbox cooperation</w:t>
            </w:r>
          </w:p>
        </w:tc>
        <w:tc>
          <w:tcPr>
            <w:tcW w:type="dxa" w:w="3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SKIP LOCKED + owner lease</w:t>
            </w:r>
          </w:p>
        </w:tc>
        <w:tc>
          <w:tcPr>
            <w:tcW w:type="dxa" w:w="30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Duplicate / abandoned claims</w:t>
            </w:r>
          </w:p>
        </w:tc>
      </w:tr>
      <w:tr>
        <w:trPr>
          <w:cantSplit/>
        </w:trPr>
        <w:tc>
          <w:tcPr>
            <w:tcW w:type="dxa" w:w="2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Consumer idempotency</w:t>
            </w:r>
          </w:p>
        </w:tc>
        <w:tc>
          <w:tcPr>
            <w:tcW w:type="dxa" w:w="38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Persist event marker with side effect</w:t>
            </w:r>
          </w:p>
        </w:tc>
        <w:tc>
          <w:tcPr>
            <w:tcW w:type="dxa" w:w="30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Duplicate at-least-once delivery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DLT governance</w:t>
            </w:r>
          </w:p>
        </w:tc>
        <w:tc>
          <w:tcPr>
            <w:tcW w:type="dxa" w:w="3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Quarantine, reservation, audit, lease</w:t>
            </w:r>
          </w:p>
        </w:tc>
        <w:tc>
          <w:tcPr>
            <w:tcW w:type="dxa" w:w="30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Uncontrolled terminal handling</w:t>
            </w:r>
          </w:p>
        </w:tc>
      </w:tr>
    </w:tbl>
    <w:p>
      <w:pPr>
        <w:spacing w:after="0"/>
      </w:pPr>
    </w:p>
    <w:p>
      <w:pPr>
        <w:pStyle w:val="Callout"/>
        <w:keepLines/>
        <w:shd w:fill="EAF6ED"/>
        <w:pBdr>
          <w:left w:val="single" w:sz="22" w:space="8" w:color="2E7D32"/>
        </w:pBdr>
        <w:spacing w:after="120"/>
      </w:pPr>
      <w:r>
        <w:rPr>
          <w:rFonts w:ascii="Calibri" w:hAnsi="Calibri" w:eastAsia="Calibri"/>
          <w:b/>
          <w:color w:val="2E7D32"/>
          <w:sz w:val="18"/>
        </w:rPr>
        <w:t xml:space="preserve">EXECUTED OUTBOX DRILL  </w:t>
      </w:r>
      <w:r>
        <w:rPr>
          <w:rFonts w:ascii="Calibri" w:hAnsi="Calibri" w:eastAsia="Calibri"/>
          <w:color w:val="102A43"/>
          <w:sz w:val="18"/>
        </w:rPr>
        <w:t>90 events were claimed 30/30/30 across three replicas; PostgreSQL held 90 PUBLISHED rows and Kafka held 90 valid unique sequences with 0 duplicate, missing, unexpected, or parse-error values. This is workload-scoped, not global exactly-once delivery.</w:t>
      </w:r>
    </w:p>
    <w:p>
      <w:pPr>
        <w:spacing w:before="0" w:after="0" w:line="20" w:lineRule="exact"/>
      </w:pPr>
      <w:r>
        <w:rPr>
          <w:rFonts w:ascii="Calibri" w:hAnsi="Calibri" w:eastAsia="Calibri"/>
          <w:sz w:val="2"/>
        </w:rPr>
        <w:br w:type="page"/>
      </w:r>
    </w:p>
    <w:p>
      <w:pPr>
        <w:pStyle w:val="Heading1"/>
        <w:keepNext/>
      </w:pPr>
      <w:r>
        <w:rPr>
          <w:rFonts w:ascii="Calibri" w:hAnsi="Calibri" w:eastAsia="Calibri"/>
        </w:rPr>
        <w:t>4. Kubernetes and Stateful Reliability Evidence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2504027"/>
            <wp:docPr id="3" name="Picture 3" title="Figure 3" descr="Four cards summarizing application worker loss, CloudNativePG primary loss and restore, Kafka broker loss, and Redis master loss, with recovery numbers and claim boundar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evid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04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rPr>
          <w:rFonts w:ascii="Calibri" w:hAnsi="Calibri" w:eastAsia="Calibri"/>
          <w:i/>
          <w:color w:val="6B7C8F"/>
          <w:sz w:val="17"/>
        </w:rPr>
        <w:t>Figure 3 | Experiment-scoped recovery results. Each observation remains attached to its tested failure domain.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1400"/>
        <w:gridCol w:w="2500"/>
        <w:gridCol w:w="3600"/>
        <w:gridCol w:w="1860"/>
      </w:tblGrid>
      <w:tr>
        <w:trPr>
          <w:tblHeader w:val="true"/>
          <w:cantSplit/>
        </w:trPr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Subsystem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Injected fault / workload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Observed result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Boundary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Application</w:t>
            </w:r>
          </w:p>
        </w:tc>
        <w:tc>
          <w:tcPr>
            <w:tcW w:type="dxa" w:w="2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Worker stop; 458 traces</w:t>
            </w:r>
          </w:p>
        </w:tc>
        <w:tc>
          <w:tcPr>
            <w:tcW w:type="dxa" w:w="36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424 HTTP 200; 34 transport failures; 0 app 5xx; 3/3 Ready ~T+94 s</w:t>
            </w:r>
          </w:p>
        </w:tc>
        <w:tc>
          <w:tcPr>
            <w:tcW w:type="dxa" w:w="1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Self-healing yes; zero-downtime no</w:t>
            </w:r>
          </w:p>
        </w:tc>
      </w:tr>
      <w:tr>
        <w:trPr>
          <w:cantSplit/>
        </w:trPr>
        <w:tc>
          <w:tcPr>
            <w:tcW w:type="dxa" w:w="14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PostgreSQL</w:t>
            </w:r>
          </w:p>
        </w:tc>
        <w:tc>
          <w:tcPr>
            <w:tcW w:type="dxa" w:w="2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Primary loss + independent restore</w:t>
            </w:r>
          </w:p>
        </w:tc>
        <w:tc>
          <w:tcPr>
            <w:tcW w:type="dxa" w:w="36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RTO 51.543 s; 72 ACK / 0 missing; 3,864 rows; ~49 s restore</w:t>
            </w:r>
          </w:p>
        </w:tc>
        <w:tc>
          <w:tcPr>
            <w:tcW w:type="dxa" w:w="18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Captured ACK set; local restore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Kafka</w:t>
            </w:r>
          </w:p>
        </w:tc>
        <w:tc>
          <w:tcPr>
            <w:tcW w:type="dxa" w:w="2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One broker/node; 6 partitions</w:t>
            </w:r>
          </w:p>
        </w:tc>
        <w:tc>
          <w:tcPr>
            <w:tcW w:type="dxa" w:w="36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3,733 ACK / 0 missing; 6,337 consumed; ISR→3</w:t>
            </w:r>
          </w:p>
        </w:tc>
        <w:tc>
          <w:tcPr>
            <w:tcW w:type="dxa" w:w="1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One-node experiment</w:t>
            </w:r>
          </w:p>
        </w:tc>
      </w:tr>
      <w:tr>
        <w:trPr>
          <w:cantSplit/>
        </w:trPr>
        <w:tc>
          <w:tcPr>
            <w:tcW w:type="dxa" w:w="14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Redis</w:t>
            </w:r>
          </w:p>
        </w:tc>
        <w:tc>
          <w:tcPr>
            <w:tcW w:type="dxa" w:w="2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Active master loss</w:t>
            </w:r>
          </w:p>
        </w:tc>
        <w:tc>
          <w:tcPr>
            <w:tcW w:type="dxa" w:w="36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New master ~T+18 s; checked data readable; writes succeeded</w:t>
            </w:r>
          </w:p>
        </w:tc>
        <w:tc>
          <w:tcPr>
            <w:tcW w:type="dxa" w:w="18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Async replication</w:t>
            </w:r>
          </w:p>
        </w:tc>
      </w:tr>
    </w:tbl>
    <w:p>
      <w:pPr>
        <w:spacing w:after="0"/>
      </w:pPr>
    </w:p>
    <w:p>
      <w:pPr>
        <w:pStyle w:val="Callout"/>
        <w:keepLines/>
        <w:shd w:fill="E8F1FB"/>
        <w:pBdr>
          <w:left w:val="single" w:sz="22" w:space="8" w:color="2E74B5"/>
        </w:pBdr>
        <w:spacing w:after="120"/>
      </w:pPr>
      <w:r>
        <w:rPr>
          <w:rFonts w:ascii="Calibri" w:hAnsi="Calibri" w:eastAsia="Calibri"/>
          <w:b/>
          <w:color w:val="2E74B5"/>
          <w:sz w:val="18"/>
        </w:rPr>
        <w:t xml:space="preserve">RECOVERY INTERPRETATION  </w:t>
      </w:r>
      <w:r>
        <w:rPr>
          <w:rFonts w:ascii="Calibri" w:hAnsi="Calibri" w:eastAsia="Calibri"/>
          <w:color w:val="102A43"/>
          <w:sz w:val="18"/>
        </w:rPr>
        <w:t>Node detection, replacement creation, Pod readiness, EndpointSlice convergence, client-visible recovery, and durable-state reconciliation are separate dimensions. One number would hide the failure semantics.</w:t>
      </w:r>
    </w:p>
    <w:p>
      <w:pPr>
        <w:pStyle w:val="Heading2"/>
        <w:keepNext/>
      </w:pPr>
      <w:r>
        <w:rPr>
          <w:rFonts w:ascii="Calibri" w:hAnsi="Calibri" w:eastAsia="Calibri"/>
        </w:rPr>
        <w:t>4.1 Boundaries retained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All stateful results are local, single-fault observations; no correlated, multi-zone, or regional tolerance is established.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PostgreSQL/Kafka zero-loss wording applies only to captured successful acknowledgements; Redis remains asynchronous.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One recovery observation is not a production RTO/RPO distribution or an availability SLO.</w:t>
      </w:r>
    </w:p>
    <w:p>
      <w:pPr>
        <w:spacing w:before="0" w:after="0" w:line="20" w:lineRule="exact"/>
      </w:pPr>
      <w:r>
        <w:rPr>
          <w:rFonts w:ascii="Calibri" w:hAnsi="Calibri" w:eastAsia="Calibri"/>
          <w:sz w:val="2"/>
        </w:rPr>
        <w:br w:type="page"/>
      </w:r>
    </w:p>
    <w:p>
      <w:pPr>
        <w:pStyle w:val="Heading1"/>
        <w:keepNext/>
      </w:pPr>
      <w:r>
        <w:rPr>
          <w:rFonts w:ascii="Calibri" w:hAnsi="Calibri" w:eastAsia="Calibri"/>
        </w:rPr>
        <w:t>5. Software Supply Chain and OCI Brownfield Operations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4" name="Picture 4" title="Figure 4" descr="Top supply-chain path from source and tests through SBOM, Trivy, digest, signing and provenance. Bottom OCI path from declaration and adoption through hardening, verification, VM recovery, and zero-drift reconcili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y_oci_phas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rPr>
          <w:rFonts w:ascii="Calibri" w:hAnsi="Calibri" w:eastAsia="Calibri"/>
          <w:i/>
          <w:color w:val="6B7C8F"/>
          <w:sz w:val="17"/>
        </w:rPr>
        <w:t>Figure 4 | Verified control paths. Phase 9 closes the earlier unrestricted SSH and direct-8080 findings.</w:t>
      </w:r>
    </w:p>
    <w:p>
      <w:pPr>
        <w:pStyle w:val="Heading2"/>
        <w:keepNext/>
      </w:pPr>
      <w:r>
        <w:rPr>
          <w:rFonts w:ascii="Calibri" w:hAnsi="Calibri" w:eastAsia="Calibri"/>
        </w:rPr>
        <w:t>5.1 Artifact trust path</w:t>
      </w:r>
    </w:p>
    <w:p>
      <w:pPr>
        <w:keepLines w:val="0"/>
      </w:pPr>
      <w:r>
        <w:rPr>
          <w:rFonts w:ascii="Calibri" w:hAnsi="Calibri" w:eastAsia="Calibri"/>
          <w:color w:val="102A43"/>
        </w:rPr>
        <w:t>Repository controls cover an application SBOM, HIGH/CRITICAL Trivy gates, immutable GHCR digests, keyless Cosign signing through GitHub OIDC, an image SBOM, and provenance. Kubernetes admission still does not reject unsigned artifacts.</w:t>
      </w:r>
    </w:p>
    <w:p>
      <w:pPr>
        <w:pStyle w:val="Heading2"/>
        <w:keepNext/>
      </w:pPr>
      <w:r>
        <w:rPr>
          <w:rFonts w:ascii="Calibri" w:hAnsi="Calibri" w:eastAsia="Calibri"/>
        </w:rPr>
        <w:t>5.2 Brownfield ownership and safe change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1900"/>
        <w:gridCol w:w="4300"/>
        <w:gridCol w:w="3160"/>
      </w:tblGrid>
      <w:tr>
        <w:trPr>
          <w:tblHeader w:val="true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Control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Verified state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Engineering implication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Adoption</w:t>
            </w:r>
          </w:p>
        </w:tc>
        <w:tc>
          <w:tcPr>
            <w:tcW w:type="dxa" w:w="43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Existing VCN, subnet, route, security objects, NSGs, rules, compute</w:t>
            </w:r>
          </w:p>
        </w:tc>
        <w:tc>
          <w:tcPr>
            <w:tcW w:type="dxa" w:w="3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Own without replacement</w:t>
            </w:r>
          </w:p>
        </w:tc>
      </w:tr>
      <w:tr>
        <w:trPr>
          <w:cantSplit/>
        </w:trPr>
        <w:tc>
          <w:tcPr>
            <w:tcW w:type="dxa" w:w="19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Safety</w:t>
            </w:r>
          </w:p>
        </w:tc>
        <w:tc>
          <w:tcPr>
            <w:tcW w:type="dxa" w:w="43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prevent_destroy on adopted resources</w:t>
            </w:r>
          </w:p>
        </w:tc>
        <w:tc>
          <w:tcPr>
            <w:tcW w:type="dxa" w:w="31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Blocked unintended compute replacement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Hardening</w:t>
            </w:r>
          </w:p>
        </w:tc>
        <w:tc>
          <w:tcPr>
            <w:tcW w:type="dxa" w:w="43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SSH restricted; direct public 8080 removed</w:t>
            </w:r>
          </w:p>
        </w:tc>
        <w:tc>
          <w:tcPr>
            <w:tcW w:type="dxa" w:w="3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Earlier Phase 8 finding closed</w:t>
            </w:r>
          </w:p>
        </w:tc>
      </w:tr>
      <w:tr>
        <w:trPr>
          <w:cantSplit/>
        </w:trPr>
        <w:tc>
          <w:tcPr>
            <w:tcW w:type="dxa" w:w="19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Operations</w:t>
            </w:r>
          </w:p>
        </w:tc>
        <w:tc>
          <w:tcPr>
            <w:tcW w:type="dxa" w:w="43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SSH, Agent, Run Command, controlled reboot</w:t>
            </w:r>
          </w:p>
        </w:tc>
        <w:tc>
          <w:tcPr>
            <w:tcW w:type="dxa" w:w="31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Management/recovery path verified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Drift</w:t>
            </w:r>
          </w:p>
        </w:tc>
        <w:tc>
          <w:tcPr>
            <w:tcW w:type="dxa" w:w="43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Final plan: No changes</w:t>
            </w:r>
          </w:p>
        </w:tc>
        <w:tc>
          <w:tcPr>
            <w:tcW w:type="dxa" w:w="31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Zero drift at verification time</w:t>
            </w:r>
          </w:p>
        </w:tc>
      </w:tr>
    </w:tbl>
    <w:p>
      <w:pPr>
        <w:spacing w:after="0"/>
      </w:pPr>
    </w:p>
    <w:p>
      <w:pPr>
        <w:pStyle w:val="Callout"/>
        <w:keepLines/>
        <w:shd w:fill="FFF6E5"/>
        <w:pBdr>
          <w:left w:val="single" w:sz="22" w:space="8" w:color="B7791F"/>
        </w:pBdr>
        <w:spacing w:after="120"/>
      </w:pPr>
      <w:r>
        <w:rPr>
          <w:rFonts w:ascii="Calibri" w:hAnsi="Calibri" w:eastAsia="Calibri"/>
          <w:b/>
          <w:color w:val="B7791F"/>
          <w:sz w:val="18"/>
        </w:rPr>
        <w:t xml:space="preserve">CURRENT BOUNDARY  </w:t>
      </w:r>
      <w:r>
        <w:rPr>
          <w:rFonts w:ascii="Calibri" w:hAnsi="Calibri" w:eastAsia="Calibri"/>
          <w:color w:val="102A43"/>
          <w:sz w:val="18"/>
        </w:rPr>
        <w:t>Public TCP/80 and 443 remain configured, but no production TLS/LB/WAF edge or external availability evidence is established. Terraform state remains local.</w:t>
      </w:r>
    </w:p>
    <w:p>
      <w:pPr>
        <w:spacing w:before="0" w:after="0" w:line="20" w:lineRule="exact"/>
      </w:pPr>
      <w:r>
        <w:rPr>
          <w:rFonts w:ascii="Calibri" w:hAnsi="Calibri" w:eastAsia="Calibri"/>
          <w:sz w:val="2"/>
        </w:rPr>
        <w:br w:type="page"/>
      </w:r>
    </w:p>
    <w:p>
      <w:pPr>
        <w:pStyle w:val="Heading1"/>
        <w:keepNext/>
      </w:pPr>
      <w:r>
        <w:rPr>
          <w:rFonts w:ascii="Calibri" w:hAnsi="Calibri" w:eastAsia="Calibri"/>
        </w:rPr>
        <w:t>6. Phase 9 Hardening, Incident, and Recovery Evidence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303520" cy="2552319"/>
            <wp:docPr id="5" name="Picture 5" title="Figure 5" descr="Phase 9 flow showing failed pre-change planning, prevent_destroy safety block, corrected input, network apply and verification, runtime-journal incident, power-cycle recovery, and final acceptance pa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9_change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2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rPr>
          <w:rFonts w:ascii="Calibri" w:hAnsi="Calibri" w:eastAsia="Calibri"/>
          <w:i/>
          <w:color w:val="6B7C8F"/>
          <w:sz w:val="17"/>
        </w:rPr>
        <w:t>Figure 5 | Phase 9 change-control and recovery sequence. Failed attempts and uncertainty remain visible.</w:t>
      </w:r>
    </w:p>
    <w:p>
      <w:pPr>
        <w:pStyle w:val="Heading2"/>
        <w:keepNext/>
      </w:pPr>
      <w:r>
        <w:rPr>
          <w:rFonts w:ascii="Calibri" w:hAnsi="Calibri" w:eastAsia="Calibri"/>
        </w:rPr>
        <w:t>6.1 Network hardening result</w:t>
      </w:r>
    </w:p>
    <w:p>
      <w:pPr>
        <w:keepLines w:val="0"/>
      </w:pPr>
      <w:r>
        <w:rPr>
          <w:rFonts w:ascii="Calibri" w:hAnsi="Calibri" w:eastAsia="Calibri"/>
          <w:color w:val="102A43"/>
        </w:rPr>
        <w:t>The first plan attempt failed because required variables and OCI authentication were incomplete; no apply occurred. A later plan detected a placeholder SSH key and proposed replacing the VM. prevent_destroy blocked the destructive path, the exact key was recovered from state, and the plan was regenerated.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2300"/>
        <w:gridCol w:w="3560"/>
        <w:gridCol w:w="3500"/>
      </w:tblGrid>
      <w:tr>
        <w:trPr>
          <w:tblHeader w:val="true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Evidence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Observed result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Claim boundary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Approved plan / apply</w:t>
            </w:r>
          </w:p>
        </w:tc>
        <w:tc>
          <w:tcPr>
            <w:tcW w:type="dxa" w:w="35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0 add · 2 change · 1 ingress rule removed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No compute replacement</w:t>
            </w:r>
          </w:p>
        </w:tc>
      </w:tr>
      <w:tr>
        <w:trPr>
          <w:cantSplit/>
        </w:trPr>
        <w:tc>
          <w:tcPr>
            <w:tcW w:type="dxa" w:w="23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TCP/8080 negative</w:t>
            </w:r>
          </w:p>
        </w:tc>
        <w:tc>
          <w:tcPr>
            <w:tcW w:type="dxa" w:w="35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Public connection timed out after ~5 s</w:t>
            </w:r>
          </w:p>
        </w:tc>
        <w:tc>
          <w:tcPr>
            <w:tcW w:type="dxa" w:w="3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One external negative test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TCP/22 positive</w:t>
            </w:r>
          </w:p>
        </w:tc>
        <w:tc>
          <w:tcPr>
            <w:tcW w:type="dxa" w:w="35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Approved-admin connection succeeded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Approved source only</w:t>
            </w:r>
          </w:p>
        </w:tc>
      </w:tr>
      <w:tr>
        <w:trPr>
          <w:cantSplit/>
        </w:trPr>
        <w:tc>
          <w:tcPr>
            <w:tcW w:type="dxa" w:w="23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Reconciliation</w:t>
            </w:r>
          </w:p>
        </w:tc>
        <w:tc>
          <w:tcPr>
            <w:tcW w:type="dxa" w:w="35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Post-apply and final plans: No changes</w:t>
            </w:r>
          </w:p>
        </w:tc>
        <w:tc>
          <w:tcPr>
            <w:tcW w:type="dxa" w:w="3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Zero drift at capture time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Calibri" w:hAnsi="Calibri" w:eastAsia="Calibri"/>
        </w:rPr>
        <w:t>6.2 Runtime incident and final acceptance</w:t>
      </w:r>
    </w:p>
    <w:p>
      <w:pPr>
        <w:keepLines w:val="0"/>
      </w:pPr>
      <w:r>
        <w:rPr>
          <w:rFonts w:ascii="Calibri" w:hAnsi="Calibri" w:eastAsia="Calibri"/>
          <w:color w:val="102A43"/>
        </w:rPr>
        <w:t>During verification, TCP/22 remained reachable while SSH stalled at banner exchange and Run Command stayed accepted/visible. Serial console output reported systemd-journald could not open the runtime journal because no space was available. A power cycle restored SSH and Run Command.</w:t>
      </w:r>
    </w:p>
    <w:p>
      <w:pPr>
        <w:pStyle w:val="Callout"/>
        <w:keepLines/>
        <w:shd w:fill="FDECEC"/>
        <w:pBdr>
          <w:left w:val="single" w:sz="22" w:space="8" w:color="A62B2B"/>
        </w:pBdr>
        <w:spacing w:after="120"/>
      </w:pPr>
      <w:r>
        <w:rPr>
          <w:rFonts w:ascii="Calibri" w:hAnsi="Calibri" w:eastAsia="Calibri"/>
          <w:b/>
          <w:color w:val="A62B2B"/>
          <w:sz w:val="18"/>
        </w:rPr>
        <w:t xml:space="preserve">CAUSAL BOUNDARY  </w:t>
      </w:r>
      <w:r>
        <w:rPr>
          <w:rFonts w:ascii="Calibri" w:hAnsi="Calibri" w:eastAsia="Calibri"/>
          <w:color w:val="102A43"/>
          <w:sz w:val="18"/>
        </w:rPr>
        <w:t>Transient runtime-journal or /run exhaustion is the most consistent explanation, but it is not confirmed because pre-reboot persistent journal evidence was unavailable. No evidence ties the guest incident to the OCI network-rule changes.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7200"/>
        <w:gridCol w:w="2160"/>
      </w:tblGrid>
      <w:tr>
        <w:trPr>
          <w:tblHeader w:val="true"/>
          <w:cantSplit/>
        </w:trPr>
        <w:tc>
          <w:tcPr>
            <w:tcW w:type="dxa" w:w="7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Final acceptance — 2026-08-15 04:04:33 UTC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Controlled reboot · post-reboot SSH · LVM mounts · OCI Agent</w:t>
            </w:r>
          </w:p>
        </w:tc>
        <w:tc>
          <w:tcPr>
            <w:tcW w:type="dxa" w:w="216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72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sshd / oracle-cloud-agent · failed systemd units</w:t>
            </w:r>
          </w:p>
        </w:tc>
        <w:tc>
          <w:tcPr>
            <w:tcW w:type="dxa" w:w="2160"/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active · 0 failed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Root filesystem / RAM / swap</w:t>
            </w:r>
          </w:p>
        </w:tc>
        <w:tc>
          <w:tcPr>
            <w:tcW w:type="dxa" w:w="216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30 GiB at 19% · 946 MiB total · swap unused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Calibri" w:hAnsi="Calibri" w:eastAsia="Calibri"/>
        </w:rPr>
        <w:t>7. Performance, Coverage, and Operability</w:t>
      </w:r>
    </w:p>
    <w:p>
      <w:pPr>
        <w:pStyle w:val="Heading2"/>
        <w:keepNext/>
      </w:pPr>
      <w:r>
        <w:rPr>
          <w:rFonts w:ascii="Calibri" w:hAnsi="Calibri" w:eastAsia="Calibri"/>
        </w:rPr>
        <w:t>7.1 Evidence quality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1650"/>
        <w:gridCol w:w="3800"/>
        <w:gridCol w:w="2100"/>
        <w:gridCol w:w="1810"/>
      </w:tblGrid>
      <w:tr>
        <w:trPr>
          <w:tblHeader w:val="true"/>
          <w:cantSplit/>
        </w:trPr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Profile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Recorded result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Evidence quality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Boundary</w:t>
            </w:r>
          </w:p>
        </w:tc>
      </w:tr>
      <w:tr>
        <w:trPr>
          <w:cantSplit/>
        </w:trPr>
        <w:tc>
          <w:tcPr>
            <w:tcW w:type="dxa" w:w="1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Maven verify</w:t>
            </w:r>
          </w:p>
        </w:tc>
        <w:tc>
          <w:tcPr>
            <w:tcW w:type="dxa" w:w="3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172/0/0/0; 49.278 s; 112 classes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Clean clone at ff5e527</w:t>
            </w:r>
          </w:p>
        </w:tc>
        <w:tc>
          <w:tcPr>
            <w:tcW w:type="dxa" w:w="18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Not runtime capacity</w:t>
            </w:r>
          </w:p>
        </w:tc>
      </w:tr>
      <w:tr>
        <w:trPr>
          <w:cantSplit/>
        </w:trPr>
        <w:tc>
          <w:tcPr>
            <w:tcW w:type="dxa" w:w="165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Catalog baseline</w:t>
            </w:r>
          </w:p>
        </w:tc>
        <w:tc>
          <w:tcPr>
            <w:tcW w:type="dxa" w:w="38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9,544 req; 79.44 req/s; avg 9.92 ms; P95 17.93; P99 20.12; 0% failed</w:t>
            </w:r>
          </w:p>
        </w:tc>
        <w:tc>
          <w:tcPr>
            <w:tcW w:type="dxa" w:w="21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Saved report</w:t>
            </w:r>
          </w:p>
        </w:tc>
        <w:tc>
          <w:tcPr>
            <w:tcW w:type="dxa" w:w="181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Local Compose; 300 ms think time</w:t>
            </w:r>
          </w:p>
        </w:tc>
      </w:tr>
      <w:tr>
        <w:trPr>
          <w:cantSplit/>
        </w:trPr>
        <w:tc>
          <w:tcPr>
            <w:tcW w:type="dxa" w:w="16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High-rate soak</w:t>
            </w:r>
          </w:p>
        </w:tc>
        <w:tc>
          <w:tcPr>
            <w:tcW w:type="dxa" w:w="38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5 min @ 2,500 req/s; 750,000 req; P95 0.84 ms; 0.07% client failures</w:t>
            </w:r>
          </w:p>
        </w:tc>
        <w:tc>
          <w:tcPr>
            <w:tcW w:type="dxa" w:w="21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Raw k6 summary not retained</w:t>
            </w:r>
          </w:p>
        </w:tc>
        <w:tc>
          <w:tcPr>
            <w:tcW w:type="dxa" w:w="181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Not capacity/SLA</w:t>
            </w:r>
          </w:p>
        </w:tc>
      </w:tr>
      <w:tr>
        <w:trPr>
          <w:cantSplit/>
        </w:trPr>
        <w:tc>
          <w:tcPr>
            <w:tcW w:type="dxa" w:w="165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Payment drill</w:t>
            </w:r>
          </w:p>
        </w:tc>
        <w:tc>
          <w:tcPr>
            <w:tcW w:type="dxa" w:w="38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30 concurrent; 100% HTTP; 1 payment; 1 key row; 0 duplicate</w:t>
            </w:r>
          </w:p>
        </w:tc>
        <w:tc>
          <w:tcPr>
            <w:tcW w:type="dxa" w:w="21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Documented result</w:t>
            </w:r>
          </w:p>
        </w:tc>
        <w:tc>
          <w:tcPr>
            <w:tcW w:type="dxa" w:w="181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Local deduplication</w:t>
            </w:r>
          </w:p>
        </w:tc>
      </w:tr>
    </w:tbl>
    <w:p>
      <w:pPr>
        <w:spacing w:after="0"/>
      </w:pPr>
    </w:p>
    <w:p>
      <w:pPr>
        <w:pStyle w:val="Callout"/>
        <w:keepLines/>
        <w:shd w:fill="FFF6E5"/>
        <w:pBdr>
          <w:left w:val="single" w:sz="22" w:space="8" w:color="B7791F"/>
        </w:pBdr>
        <w:spacing w:after="120"/>
      </w:pPr>
      <w:r>
        <w:rPr>
          <w:rFonts w:ascii="Calibri" w:hAnsi="Calibri" w:eastAsia="Calibri"/>
          <w:b/>
          <w:color w:val="B7791F"/>
          <w:sz w:val="18"/>
        </w:rPr>
        <w:t xml:space="preserve">PERFORMANCE READING  </w:t>
      </w:r>
      <w:r>
        <w:rPr>
          <w:rFonts w:ascii="Calibri" w:hAnsi="Calibri" w:eastAsia="Calibri"/>
          <w:color w:val="102A43"/>
          <w:sz w:val="18"/>
        </w:rPr>
        <w:t>The saved catalog baseline is traceable to a repository report. Load scripts are reproducible inputs, not substitutes for preserved result artifacts.</w:t>
      </w:r>
    </w:p>
    <w:p>
      <w:pPr>
        <w:pStyle w:val="Heading2"/>
        <w:keepNext/>
      </w:pPr>
      <w:r>
        <w:rPr>
          <w:rFonts w:ascii="Calibri" w:hAnsi="Calibri" w:eastAsia="Calibri"/>
        </w:rPr>
        <w:t>7.2 Observability and operations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1600"/>
        <w:gridCol w:w="4700"/>
        <w:gridCol w:w="3060"/>
      </w:tblGrid>
      <w:tr>
        <w:trPr>
          <w:tblHeader w:val="true"/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Signal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Implementation</w:t>
            </w:r>
          </w:p>
        </w:tc>
        <w:tc>
          <w:tcPr>
            <w:tcW w:type="dxa" w:w="3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Correlation</w:t>
            </w:r>
          </w:p>
        </w:tc>
        <w:tc>
          <w:tcPr>
            <w:tcW w:type="dxa" w:w="47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HTTP → MDC → Outbox → Kafka → consumer → DLT</w:t>
            </w:r>
          </w:p>
        </w:tc>
        <w:tc>
          <w:tcPr>
            <w:tcW w:type="dxa" w:w="30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Cross-boundary traceability</w:t>
            </w:r>
          </w:p>
        </w:tc>
      </w:tr>
      <w:tr>
        <w:trPr>
          <w:cantSplit/>
        </w:trPr>
        <w:tc>
          <w:tcPr>
            <w:tcW w:type="dxa" w:w="16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Metrics</w:t>
            </w:r>
          </w:p>
        </w:tc>
        <w:tc>
          <w:tcPr>
            <w:tcW w:type="dxa" w:w="47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Actuator · Micrometer · Prometheus · Grafana</w:t>
            </w:r>
          </w:p>
        </w:tc>
        <w:tc>
          <w:tcPr>
            <w:tcW w:type="dxa" w:w="30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Rates, latency, failure state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Traces</w:t>
            </w:r>
          </w:p>
        </w:tc>
        <w:tc>
          <w:tcPr>
            <w:tcW w:type="dxa" w:w="47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OpenTelemetry Collector → Tempo</w:t>
            </w:r>
          </w:p>
        </w:tc>
        <w:tc>
          <w:tcPr>
            <w:tcW w:type="dxa" w:w="30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Distributed timing</w:t>
            </w:r>
          </w:p>
        </w:tc>
      </w:tr>
      <w:tr>
        <w:trPr>
          <w:cantSplit/>
        </w:trPr>
        <w:tc>
          <w:tcPr>
            <w:tcW w:type="dxa" w:w="16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Logs</w:t>
            </w:r>
          </w:p>
        </w:tc>
        <w:tc>
          <w:tcPr>
            <w:tcW w:type="dxa" w:w="47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JSON → Alloy → Loki</w:t>
            </w:r>
          </w:p>
        </w:tc>
        <w:tc>
          <w:tcPr>
            <w:tcW w:type="dxa" w:w="30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Structured incident queries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Alerts</w:t>
            </w:r>
          </w:p>
        </w:tc>
        <w:tc>
          <w:tcPr>
            <w:tcW w:type="dxa" w:w="47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Prometheus rules → Alertmanager</w:t>
            </w:r>
          </w:p>
        </w:tc>
        <w:tc>
          <w:tcPr>
            <w:tcW w:type="dxa" w:w="30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6"/>
              </w:rPr>
              <w:t>Runbook-linked response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Calibri" w:hAnsi="Calibri" w:eastAsia="Calibri"/>
        </w:rPr>
        <w:t>7.3 Operability boundary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Runbooks cover application down, Outbox backlog/failure, DLT operations, backup/restore, privacy retention, and secret rotation.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Current SLOs are engineering definitions; no production history proves SLO or error-budget attainment.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Phase 9 adds safe network-change and VM-recovery evidence, but not recurring production incident ownership.</w:t>
      </w:r>
    </w:p>
    <w:p>
      <w:pPr>
        <w:spacing w:before="0" w:after="0" w:line="20" w:lineRule="exact"/>
      </w:pPr>
      <w:r>
        <w:rPr>
          <w:rFonts w:ascii="Calibri" w:hAnsi="Calibri" w:eastAsia="Calibri"/>
          <w:sz w:val="2"/>
        </w:rPr>
        <w:br w:type="page"/>
      </w:r>
    </w:p>
    <w:p>
      <w:pPr>
        <w:pStyle w:val="Heading1"/>
        <w:keepNext/>
      </w:pPr>
      <w:r>
        <w:rPr>
          <w:rFonts w:ascii="Calibri" w:hAnsi="Calibri" w:eastAsia="Calibri"/>
        </w:rPr>
        <w:t>8. Proposed Production Reference Architecture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3012091"/>
            <wp:docPr id="6" name="Picture 6" title="Figure 6" descr="Proposed multi-zone architecture with clients, TLS and WAF edge, managed Kubernetes, managed PostgreSQL, Kafka and Redis, recovery storage, workload identity, admission verification, remote Terraform state, and operational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ed_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12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rPr>
          <w:rFonts w:ascii="Calibri" w:hAnsi="Calibri" w:eastAsia="Calibri"/>
          <w:i/>
          <w:color w:val="6B7C8F"/>
          <w:sz w:val="17"/>
        </w:rPr>
        <w:t>Figure 6 | Proposed architecture — not implemented. Dashed boundaries distinguish recommendation from verified state.</w:t>
      </w:r>
    </w:p>
    <w:p>
      <w:pPr>
        <w:keepLines w:val="0"/>
      </w:pPr>
      <w:r>
        <w:rPr>
          <w:rFonts w:ascii="Calibri" w:hAnsi="Calibri" w:eastAsia="Calibri"/>
          <w:color w:val="102A43"/>
        </w:rPr>
        <w:t>The evolution preserves the strongest current invariants—single-database business/Outbox commit, command idempotency, consumer safety, and immutable artifact identity—while changing failure domains, identity, edge exposure, infrastructure state, and operating evidence.</w:t>
      </w:r>
    </w:p>
    <w:p>
      <w:pPr>
        <w:pStyle w:val="Heading2"/>
        <w:keepNext/>
      </w:pPr>
      <w:r>
        <w:rPr>
          <w:rFonts w:ascii="Calibri" w:hAnsi="Calibri" w:eastAsia="Calibri"/>
        </w:rPr>
        <w:t>8.1 Prioritized next evidence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1000"/>
        <w:gridCol w:w="3500"/>
        <w:gridCol w:w="4860"/>
      </w:tblGrid>
      <w:tr>
        <w:trPr>
          <w:tblHeader w:val="true"/>
          <w:cantSplit/>
        </w:trP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Priority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Current boundary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Required next evidence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P0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Environment/local secrets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External manager, workload identity, rotation and policy tests</w:t>
            </w:r>
          </w:p>
        </w:tc>
      </w:tr>
      <w:tr>
        <w:trPr>
          <w:cantSplit/>
        </w:trPr>
        <w:tc>
          <w:tcPr>
            <w:tcW w:type="dxa" w:w="1000"/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P0</w:t>
            </w:r>
          </w:p>
        </w:tc>
        <w:tc>
          <w:tcPr>
            <w:tcW w:type="dxa" w:w="3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Local Terraform state</w:t>
            </w:r>
          </w:p>
        </w:tc>
        <w:tc>
          <w:tcPr>
            <w:tcW w:type="dxa" w:w="48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Remote encryption, locking, backup and plan review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P1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No production edge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TLS/LB/WAF, certificates and external synthetics</w:t>
            </w:r>
          </w:p>
        </w:tc>
      </w:tr>
      <w:tr>
        <w:trPr>
          <w:cantSplit/>
        </w:trPr>
        <w:tc>
          <w:tcPr>
            <w:tcW w:type="dxa" w:w="1000"/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P1</w:t>
            </w:r>
          </w:p>
        </w:tc>
        <w:tc>
          <w:tcPr>
            <w:tcW w:type="dxa" w:w="3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Local failure domains</w:t>
            </w:r>
          </w:p>
        </w:tc>
        <w:tc>
          <w:tcPr>
            <w:tcW w:type="dxa" w:w="48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Managed multi-zone runtime and data services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P1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Signing before admission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Reject unsigned/unverified digests</w:t>
            </w:r>
          </w:p>
        </w:tc>
      </w:tr>
      <w:tr>
        <w:trPr>
          <w:cantSplit/>
        </w:trPr>
        <w:tc>
          <w:tcPr>
            <w:tcW w:type="dxa" w:w="1000"/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P1</w:t>
            </w:r>
          </w:p>
        </w:tc>
        <w:tc>
          <w:tcPr>
            <w:tcW w:type="dxa" w:w="3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No SLO history</w:t>
            </w:r>
          </w:p>
        </w:tc>
        <w:tc>
          <w:tcPr>
            <w:tcW w:type="dxa" w:w="48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External SLIs, error budgets, incidents and game days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P1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Simulated payment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Sandbox, signed webhooks, reconciliation</w:t>
            </w:r>
          </w:p>
        </w:tc>
      </w:tr>
      <w:tr>
        <w:trPr>
          <w:cantSplit/>
        </w:trPr>
        <w:tc>
          <w:tcPr>
            <w:tcW w:type="dxa" w:w="1000"/>
            <w:shd w:fill="F4F7FA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P2</w:t>
            </w:r>
          </w:p>
        </w:tc>
        <w:tc>
          <w:tcPr>
            <w:tcW w:type="dxa" w:w="3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Read-heavy evidence</w:t>
            </w:r>
          </w:p>
        </w:tc>
        <w:tc>
          <w:tcPr>
            <w:tcW w:type="dxa" w:w="48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Saved write/event soak and retry-storm artifacts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P2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Probable runtime-space cause</w:t>
            </w:r>
          </w:p>
        </w:tc>
        <w:tc>
          <w:tcPr>
            <w:tcW w:type="dxa" w:w="48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Persistent telemetry and recurrence testing</w:t>
            </w:r>
          </w:p>
        </w:tc>
      </w:tr>
    </w:tbl>
    <w:p>
      <w:pPr>
        <w:spacing w:after="0"/>
      </w:pPr>
    </w:p>
    <w:p>
      <w:pPr>
        <w:pStyle w:val="Callout"/>
        <w:keepLines/>
        <w:shd w:fill="EAF6ED"/>
        <w:pBdr>
          <w:left w:val="single" w:sz="22" w:space="8" w:color="2E7D32"/>
        </w:pBdr>
        <w:spacing w:after="120"/>
      </w:pPr>
      <w:r>
        <w:rPr>
          <w:rFonts w:ascii="Calibri" w:hAnsi="Calibri" w:eastAsia="Calibri"/>
          <w:b/>
          <w:color w:val="2E7D32"/>
          <w:sz w:val="18"/>
        </w:rPr>
        <w:t xml:space="preserve">CLOSED PHASE 9 ACTIONS  </w:t>
      </w:r>
      <w:r>
        <w:rPr>
          <w:rFonts w:ascii="Calibri" w:hAnsi="Calibri" w:eastAsia="Calibri"/>
          <w:color w:val="102A43"/>
          <w:sz w:val="18"/>
        </w:rPr>
        <w:t>Restrict SSH and remove direct public 8080 are no longer future-work items; the next edge task is a controlled production TLS/LB/WAF path with external evidence.</w:t>
      </w:r>
    </w:p>
    <w:p>
      <w:pPr>
        <w:spacing w:before="0" w:after="0" w:line="20" w:lineRule="exact"/>
      </w:pPr>
      <w:r>
        <w:rPr>
          <w:rFonts w:ascii="Calibri" w:hAnsi="Calibri" w:eastAsia="Calibri"/>
          <w:sz w:val="2"/>
        </w:rPr>
        <w:br w:type="page"/>
      </w:r>
    </w:p>
    <w:p>
      <w:pPr>
        <w:pStyle w:val="Heading1"/>
        <w:keepNext/>
      </w:pPr>
      <w:r>
        <w:rPr>
          <w:rFonts w:ascii="Calibri" w:hAnsi="Calibri" w:eastAsia="Calibri"/>
        </w:rPr>
        <w:t>9. Engineering Assessment and Evidence Index</w:t>
      </w:r>
    </w:p>
    <w:p>
      <w:pPr>
        <w:pStyle w:val="Callout"/>
        <w:keepLines/>
        <w:shd w:fill="E8F1FB"/>
        <w:pBdr>
          <w:left w:val="single" w:sz="22" w:space="8" w:color="2E74B5"/>
        </w:pBdr>
        <w:spacing w:after="120"/>
      </w:pPr>
      <w:r>
        <w:rPr>
          <w:rFonts w:ascii="Calibri" w:hAnsi="Calibri" w:eastAsia="Calibri"/>
          <w:b/>
          <w:color w:val="2E74B5"/>
          <w:sz w:val="18"/>
        </w:rPr>
        <w:t xml:space="preserve">ASSESSMENT  </w:t>
      </w:r>
      <w:r>
        <w:rPr>
          <w:rFonts w:ascii="Calibri" w:hAnsi="Calibri" w:eastAsia="Calibri"/>
          <w:color w:val="102A43"/>
          <w:sz w:val="18"/>
        </w:rPr>
        <w:t>Advanced student / strong junior backend-platform execution, with selected early mid-level reasoning in transaction boundaries, durable state machines, failure reconciliation, restore validation, negative-result preservation, supply-chain provenance, brownfield IaC, and safe infrastructure change control.</w:t>
      </w:r>
    </w:p>
    <w:p>
      <w:pPr>
        <w:keepLines w:val="0"/>
      </w:pPr>
      <w:r>
        <w:rPr>
          <w:rFonts w:ascii="Calibri" w:hAnsi="Calibri" w:eastAsia="Calibri"/>
          <w:color w:val="102A43"/>
        </w:rPr>
        <w:t>The portfolio should not be represented as production-proven senior engineering until managed multi-zone operation, workload identity/secrets, remote state/team workflows, live traffic and incidents, SLO/error-budget history, cost ownership, and real third-party integration responsibility are evidenced.</w:t>
      </w:r>
    </w:p>
    <w:p>
      <w:pPr>
        <w:pStyle w:val="Heading2"/>
        <w:keepNext/>
      </w:pPr>
      <w:r>
        <w:rPr>
          <w:rFonts w:ascii="Calibri" w:hAnsi="Calibri" w:eastAsia="Calibri"/>
        </w:rPr>
        <w:t>9.1 Senior-review strengths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Runtime claims are tied to executed evidence rather than manifest presence.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PostgreSQL and Kafka reconcile captured successful acknowledgements against recovered durable state.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Backup validation includes an independent restore and application-owned rows.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Negative restore, planning, Run Command, and runtime-space outcomes remain visible instead of being erased.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prevent_destroy blocked an unintended compute replacement before any OCI mutation occurred.</w:t>
      </w:r>
    </w:p>
    <w:p>
      <w:pPr>
        <w:pStyle w:val="PortfolioBullet"/>
        <w:keepLines/>
      </w:pPr>
      <w:r>
        <w:rPr>
          <w:rFonts w:ascii="Calibri" w:hAnsi="Calibri" w:eastAsia="Calibri"/>
          <w:color w:val="102A43"/>
        </w:rPr>
        <w:t>Phase 9 closes earlier network findings and ends with zero-drift reconciliation and recovery acceptance.</w:t>
      </w:r>
    </w:p>
    <w:p>
      <w:pPr>
        <w:pStyle w:val="Heading2"/>
        <w:keepNext/>
      </w:pPr>
      <w:r>
        <w:rPr>
          <w:rFonts w:ascii="Calibri" w:hAnsi="Calibri" w:eastAsia="Calibri"/>
        </w:rPr>
        <w:t>9.2 Primary evidence ledger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7D5E5"/>
          <w:left w:val="single" w:sz="6" w:space="0" w:color="C7D5E5"/>
          <w:bottom w:val="single" w:sz="6" w:space="0" w:color="C7D5E5"/>
          <w:right w:val="single" w:sz="6" w:space="0" w:color="C7D5E5"/>
          <w:insideH w:val="single" w:sz="6" w:space="0" w:color="C7D5E5"/>
          <w:insideV w:val="single" w:sz="6" w:space="0" w:color="C7D5E5"/>
        </w:tblBorders>
      </w:tblPr>
      <w:tblGrid>
        <w:gridCol w:w="1500"/>
        <w:gridCol w:w="4200"/>
        <w:gridCol w:w="3660"/>
      </w:tblGrid>
      <w:tr>
        <w:trPr>
          <w:tblHeader w:val="true"/>
          <w:cantSplit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Area</w:t>
            </w:r>
          </w:p>
        </w:tc>
        <w:tc>
          <w:tcPr>
            <w:tcW w:type="dxa" w:w="4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Repository evidence</w:t>
            </w:r>
          </w:p>
        </w:tc>
        <w:tc>
          <w:tcPr>
            <w:tcW w:type="dxa" w:w="3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02A43"/>
                <w:sz w:val="17"/>
              </w:rPr>
              <w:t>Primary verified point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Application</w:t>
            </w:r>
          </w:p>
        </w:tc>
        <w:tc>
          <w:tcPr>
            <w:tcW w:type="dxa" w:w="4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pom.xml; clean clone at ff5e527</w:t>
            </w:r>
          </w:p>
        </w:tc>
        <w:tc>
          <w:tcPr>
            <w:tcW w:type="dxa" w:w="36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172 tests; 92.55% / 82.75%</w:t>
            </w:r>
          </w:p>
        </w:tc>
      </w:tr>
      <w:tr>
        <w:trPr>
          <w:cantSplit/>
        </w:trPr>
        <w:tc>
          <w:tcPr>
            <w:tcW w:type="dxa" w:w="1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 3</w:t>
            </w:r>
          </w:p>
        </w:tc>
        <w:tc>
          <w:tcPr>
            <w:tcW w:type="dxa" w:w="42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verification/phase3/*.md</w:t>
            </w:r>
          </w:p>
        </w:tc>
        <w:tc>
          <w:tcPr>
            <w:tcW w:type="dxa" w:w="36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HPA, Outbox concurrency, worker recovery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 4</w:t>
            </w:r>
          </w:p>
        </w:tc>
        <w:tc>
          <w:tcPr>
            <w:tcW w:type="dxa" w:w="4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verification/phase4/*</w:t>
            </w:r>
          </w:p>
        </w:tc>
        <w:tc>
          <w:tcPr>
            <w:tcW w:type="dxa" w:w="36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CNPG failover and 3,864-row restore</w:t>
            </w:r>
          </w:p>
        </w:tc>
      </w:tr>
      <w:tr>
        <w:trPr>
          <w:cantSplit/>
        </w:trPr>
        <w:tc>
          <w:tcPr>
            <w:tcW w:type="dxa" w:w="1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 5</w:t>
            </w:r>
          </w:p>
        </w:tc>
        <w:tc>
          <w:tcPr>
            <w:tcW w:type="dxa" w:w="42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phase5/message_reconciliation.txt</w:t>
            </w:r>
          </w:p>
        </w:tc>
        <w:tc>
          <w:tcPr>
            <w:tcW w:type="dxa" w:w="36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3,733 ACK values; 0 missing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 6</w:t>
            </w:r>
          </w:p>
        </w:tc>
        <w:tc>
          <w:tcPr>
            <w:tcW w:type="dxa" w:w="4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phase6/redis_ha_failover_verification.md</w:t>
            </w:r>
          </w:p>
        </w:tc>
        <w:tc>
          <w:tcPr>
            <w:tcW w:type="dxa" w:w="36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Sentinel promotion ~T+18 s</w:t>
            </w:r>
          </w:p>
        </w:tc>
      </w:tr>
      <w:tr>
        <w:trPr>
          <w:cantSplit/>
        </w:trPr>
        <w:tc>
          <w:tcPr>
            <w:tcW w:type="dxa" w:w="1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 7</w:t>
            </w:r>
          </w:p>
        </w:tc>
        <w:tc>
          <w:tcPr>
            <w:tcW w:type="dxa" w:w="42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phase7 + supply-chain workflow</w:t>
            </w:r>
          </w:p>
        </w:tc>
        <w:tc>
          <w:tcPr>
            <w:tcW w:type="dxa" w:w="36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SBOM, Trivy, signing, provenance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 8</w:t>
            </w:r>
          </w:p>
        </w:tc>
        <w:tc>
          <w:tcPr>
            <w:tcW w:type="dxa" w:w="4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infra/terraform/oci; phase8/*</w:t>
            </w:r>
          </w:p>
        </w:tc>
        <w:tc>
          <w:tcPr>
            <w:tcW w:type="dxa" w:w="36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Brownfield adoption and operations</w:t>
            </w:r>
          </w:p>
        </w:tc>
      </w:tr>
      <w:tr>
        <w:trPr>
          <w:cantSplit/>
        </w:trPr>
        <w:tc>
          <w:tcPr>
            <w:tcW w:type="dxa" w:w="15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 9</w:t>
            </w:r>
          </w:p>
        </w:tc>
        <w:tc>
          <w:tcPr>
            <w:tcW w:type="dxa" w:w="420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phase9/network/*; recovery/final-acceptance.txt</w:t>
            </w:r>
          </w:p>
        </w:tc>
        <w:tc>
          <w:tcPr>
            <w:tcW w:type="dxa" w:w="3660"/>
            <w:shd w:fill="F4F7FA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Restricted SSH, 8080 closed, reboot PASS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Performance</w:t>
            </w:r>
          </w:p>
        </w:tc>
        <w:tc>
          <w:tcPr>
            <w:tcW w:type="dxa" w:w="42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reports/performance-baseline.md</w:t>
            </w:r>
          </w:p>
        </w:tc>
        <w:tc>
          <w:tcPr>
            <w:tcW w:type="dxa" w:w="366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02A43"/>
                <w:sz w:val="15"/>
              </w:rPr>
              <w:t>Saved catalog read baseline</w:t>
            </w:r>
          </w:p>
        </w:tc>
      </w:tr>
    </w:tbl>
    <w:p>
      <w:pPr>
        <w:spacing w:after="0"/>
      </w:pPr>
    </w:p>
    <w:p>
      <w:pPr>
        <w:pStyle w:val="Callout"/>
        <w:keepLines/>
        <w:shd w:fill="EAF6ED"/>
        <w:pBdr>
          <w:left w:val="single" w:sz="22" w:space="8" w:color="2E7D32"/>
        </w:pBdr>
        <w:spacing w:after="0"/>
      </w:pPr>
      <w:r>
        <w:rPr>
          <w:rFonts w:ascii="Calibri" w:hAnsi="Calibri" w:eastAsia="Calibri"/>
          <w:b/>
          <w:color w:val="2E7D32"/>
          <w:sz w:val="18"/>
        </w:rPr>
        <w:t xml:space="preserve">FINAL POSITIONING  </w:t>
      </w:r>
      <w:r>
        <w:rPr>
          <w:rFonts w:ascii="Calibri" w:hAnsi="Calibri" w:eastAsia="Calibri"/>
          <w:color w:val="102A43"/>
          <w:sz w:val="18"/>
        </w:rPr>
        <w:t>A production-minded, event-driven Spring Boot backend and platform-engineering portfolio with verified transactional correctness, recoverable delivery, local failure drills, observability, signed/attested artifact promotion, and OCI brownfield hardening/recovery—while explicitly separating mechanisms, observations, limitations, and proposed architecture.</w:t>
      </w:r>
    </w:p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/>
        <w:color w:val="6B7C8F"/>
        <w:sz w:val="17"/>
      </w:rPr>
      <w:t>RAVAN CHUANG  ·  EVIDENCE-LED ENGINEERING REVIEW  ·  2026-08-15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Calibri"/>
        <w:b/>
        <w:color w:val="6B7C8F"/>
        <w:sz w:val="16"/>
      </w:rPr>
      <w:t xml:space="preserve">RAVAN CHUANG  ·  HEAD 45899b8  ·  EVIDENCE BEFORE ASSERTION   |   PAGE </w:t>
    </w:r>
    <w:r>
      <w:rPr>
        <w:rFonts w:ascii="Calibri" w:hAnsi="Calibri" w:eastAsia="Calibri"/>
        <w:b/>
        <w:color w:val="6B7C8F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Calibri"/>
        <w:b/>
        <w:color w:val="6B7C8F"/>
        <w:sz w:val="16"/>
      </w:rPr>
      <w:t xml:space="preserve"> OF </w:t>
    </w:r>
    <w:r>
      <w:rPr>
        <w:rFonts w:ascii="Calibri" w:hAnsi="Calibri" w:eastAsia="Calibri"/>
        <w:b/>
        <w:color w:val="6B7C8F"/>
        <w:sz w:val="17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Calibri"/>
        <w:b/>
        <w:color w:val="6B7C8F"/>
        <w:sz w:val="16"/>
      </w:rPr>
      <w:t>SPRING BOOT E-COMMERCE BACKEND  ·  SYSTEM DESIGN &amp; RELIABILITY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02A4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40"/>
    </w:pPr>
    <w:rPr>
      <w:rFonts w:ascii="Calibri" w:hAnsi="Calibri"/>
      <w:b/>
      <w:bCs/>
      <w:i/>
      <w:color w:val="6B7C8F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80" w:after="120" w:line="264" w:lineRule="auto"/>
      <w:ind w:left="173" w:right="86"/>
    </w:pPr>
    <w:rPr>
      <w:rFonts w:ascii="Calibri" w:hAnsi="Calibri"/>
      <w:sz w:val="18"/>
    </w:rPr>
  </w:style>
  <w:style w:type="paragraph" w:customStyle="1" w:styleId="PortfolioBullet">
    <w:name w:val="Portfolio Bullet"/>
    <w:basedOn w:val="Normal"/>
    <w:pPr>
      <w:spacing w:after="80" w:line="300" w:lineRule="auto"/>
      <w:numPr>
        <w:ilvl w:val="0"/>
        <w:numId w:val="10"/>
      </w:numPr>
    </w:pPr>
    <w:rPr>
      <w:rFonts w:ascii="Calibri" w:hAnsi="Calibri"/>
      <w:sz w:val="22"/>
    </w:rPr>
  </w:style>
  <w:style w:type="paragraph" w:customStyle="1" w:styleId="PortfolioNumber">
    <w:name w:val="Portfolio Number"/>
    <w:basedOn w:val="Normal"/>
    <w:pPr>
      <w:spacing w:after="80" w:line="300" w:lineRule="auto"/>
      <w:numPr>
        <w:ilvl w:val="0"/>
        <w:numId w:val="11"/>
      </w:numPr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github.com/ravan-chuang/spring-boot-ecommerce-backen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 Boot E-Commerce Backend — System Design &amp; Reliability Portfolio</dc:title>
  <dc:subject>Evidence-led backend and platform engineering portfolio</dc:subject>
  <dc:creator>Ravan Chuang</dc:creator>
  <cp:keywords>Spring Boot, PostgreSQL, Kafka, Redis, Kubernetes, Terraform, OCI, reliability</cp:keywords>
  <dc:description>Revised against repository HEAD 45899b8 and retained evidence through Phase 9.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