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80"/>
      </w:pPr>
      <w:r>
        <w:rPr>
          <w:rFonts w:ascii="Arial" w:hAnsi="Arial" w:eastAsia="Arial" w:cs="Arial"/>
          <w:b/>
          <w:color w:val="2E74B5"/>
          <w:sz w:val="19"/>
        </w:rPr>
        <w:t>SYSTEM DESIGN &amp; RELIABILITY PORTFOLIO  ·  EVIDENCE-LED ENGINEERING REVIEW</w:t>
      </w:r>
    </w:p>
    <w:p>
      <w:pPr>
        <w:pStyle w:val="Title"/>
      </w:pPr>
      <w:r>
        <w:t>Spring Boot</w:t>
        <w:br/>
        <w:t>E-Commerce Backend</w:t>
      </w:r>
    </w:p>
    <w:p>
      <w:pPr>
        <w:pStyle w:val="Subtitle"/>
      </w:pPr>
      <w:r>
        <w:t>Transactional correctness, recoverable event delivery, stateful failover, supply-chain provenance, and OCI brownfield Infrastructure as Code</w:t>
      </w:r>
    </w:p>
    <w:p>
      <w:pPr>
        <w:spacing w:before="0" w:after="200"/>
        <w:jc w:val="center"/>
      </w:pPr>
      <w:r>
        <w:rPr>
          <w:rFonts w:ascii="Arial" w:hAnsi="Arial" w:eastAsia="Arial" w:cs="Arial"/>
          <w:b/>
          <w:color w:val="2E74B5"/>
          <w:sz w:val="17"/>
        </w:rPr>
        <w:t>JAVA 25  ·  SPRING BOOT 4.1.0  ·  POSTGRESQL 16/17  ·  REDIS 7  ·  KAFKA 4.1.0/4.1.2  ·  KUBERNETES 1.36.1  ·  TERRAFORM / OCI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4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85" w:type="dxa"/>
              <w:start w:w="40" w:type="dxa"/>
              <w:bottom w:w="45" w:type="dxa"/>
              <w:end w:w="4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2E74B5"/>
                <w:sz w:val="40"/>
              </w:rPr>
              <w:t>172</w:t>
            </w:r>
          </w:p>
        </w:tc>
        <w:tc>
          <w:tcPr>
            <w:tcW w:type="dxa" w:w="2340"/>
            <w:tcMar>
              <w:top w:w="85" w:type="dxa"/>
              <w:start w:w="40" w:type="dxa"/>
              <w:bottom w:w="45" w:type="dxa"/>
              <w:end w:w="4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2E74B5"/>
                <w:sz w:val="40"/>
              </w:rPr>
              <w:t>92.55%</w:t>
            </w:r>
          </w:p>
        </w:tc>
        <w:tc>
          <w:tcPr>
            <w:tcW w:type="dxa" w:w="2340"/>
            <w:tcMar>
              <w:top w:w="85" w:type="dxa"/>
              <w:start w:w="40" w:type="dxa"/>
              <w:bottom w:w="45" w:type="dxa"/>
              <w:end w:w="4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2E74B5"/>
                <w:sz w:val="40"/>
              </w:rPr>
              <w:t>82.75%</w:t>
            </w:r>
          </w:p>
        </w:tc>
        <w:tc>
          <w:tcPr>
            <w:tcW w:type="dxa" w:w="2340"/>
            <w:tcMar>
              <w:top w:w="85" w:type="dxa"/>
              <w:start w:w="40" w:type="dxa"/>
              <w:bottom w:w="45" w:type="dxa"/>
              <w:end w:w="4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2E74B5"/>
                <w:sz w:val="32"/>
              </w:rPr>
              <w:t>PHASE 8</w:t>
            </w:r>
          </w:p>
        </w:tc>
      </w:tr>
      <w:tr>
        <w:tc>
          <w:tcPr>
            <w:tcW w:type="dxa" w:w="2340"/>
            <w:tcMar>
              <w:top w:w="30" w:type="dxa"/>
              <w:start w:w="40" w:type="dxa"/>
              <w:bottom w:w="65" w:type="dxa"/>
              <w:end w:w="40" w:type="dxa"/>
            </w:tcMar>
            <w:shd w:fill="F5F8FB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526579"/>
                <w:sz w:val="15"/>
              </w:rPr>
              <w:t>CURRENT TESTS PASSED</w:t>
            </w:r>
          </w:p>
        </w:tc>
        <w:tc>
          <w:tcPr>
            <w:tcW w:type="dxa" w:w="2340"/>
            <w:tcMar>
              <w:top w:w="30" w:type="dxa"/>
              <w:start w:w="40" w:type="dxa"/>
              <w:bottom w:w="65" w:type="dxa"/>
              <w:end w:w="40" w:type="dxa"/>
            </w:tcMar>
            <w:shd w:fill="F5F8FB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526579"/>
                <w:sz w:val="15"/>
              </w:rPr>
              <w:t>INSTRUCTION COVERAGE</w:t>
            </w:r>
          </w:p>
        </w:tc>
        <w:tc>
          <w:tcPr>
            <w:tcW w:type="dxa" w:w="2340"/>
            <w:tcMar>
              <w:top w:w="30" w:type="dxa"/>
              <w:start w:w="40" w:type="dxa"/>
              <w:bottom w:w="65" w:type="dxa"/>
              <w:end w:w="40" w:type="dxa"/>
            </w:tcMar>
            <w:shd w:fill="F5F8FB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526579"/>
                <w:sz w:val="15"/>
              </w:rPr>
              <w:t>BRANCH COVERAGE</w:t>
            </w:r>
          </w:p>
        </w:tc>
        <w:tc>
          <w:tcPr>
            <w:tcW w:type="dxa" w:w="2340"/>
            <w:tcMar>
              <w:top w:w="30" w:type="dxa"/>
              <w:start w:w="40" w:type="dxa"/>
              <w:bottom w:w="65" w:type="dxa"/>
              <w:end w:w="40" w:type="dxa"/>
            </w:tcMar>
            <w:shd w:fill="F5F8FB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526579"/>
                <w:sz w:val="15"/>
              </w:rPr>
              <w:t>VERIFIED MILESTONE</w:t>
            </w:r>
          </w:p>
        </w:tc>
      </w:tr>
    </w:tbl>
    <w:p>
      <w:pPr>
        <w:spacing w:after="0"/>
      </w:pPr>
    </w:p>
    <w:p>
      <w:pPr>
        <w:keepLines/>
        <w:spacing w:after="120"/>
      </w:pPr>
      <w:r>
        <w:rPr>
          <w:rFonts w:ascii="Arial" w:hAnsi="Arial" w:eastAsia="Arial" w:cs="Arial"/>
          <w:b/>
          <w:color w:val="0B2545"/>
          <w:sz w:val="20"/>
        </w:rPr>
        <w:t>Executive position.</w:t>
      </w:r>
      <w:r>
        <w:rPr>
          <w:rFonts w:ascii="Arial" w:hAnsi="Arial" w:eastAsia="Arial" w:cs="Arial"/>
          <w:color w:val="1F2D3D"/>
          <w:sz w:val="20"/>
        </w:rPr>
        <w:t xml:space="preserve"> This is an evidence-led distributed backend portfolio, not a technology checklist. Its strongest engineering quality is the explicit preservation of correctness and recovery boundaries across PostgreSQL transactions, Kafka delivery, replica coordination, failure injection, artifact promotion, and cloud infrastructure ownership.</w:t>
      </w:r>
    </w:p>
    <w:p>
      <w:pPr>
        <w:keepLines/>
        <w:spacing w:before="80" w:after="160" w:line="254" w:lineRule="auto"/>
        <w:ind w:left="160" w:right="160"/>
        <w:shd w:fill="EDF7EF" w:val="clear"/>
        <w:pBdr>
          <w:left w:val="single" w:sz="18" w:space="8" w:color="2E7D32"/>
        </w:pBdr>
      </w:pPr>
      <w:r>
        <w:rPr>
          <w:rFonts w:ascii="Arial" w:hAnsi="Arial" w:eastAsia="Arial" w:cs="Arial"/>
          <w:b/>
          <w:color w:val="2E7D32"/>
          <w:sz w:val="18"/>
        </w:rPr>
        <w:t xml:space="preserve">VERIFIED CURRENT STATE  </w:t>
      </w:r>
      <w:r>
        <w:rPr>
          <w:rFonts w:ascii="Arial" w:hAnsi="Arial" w:eastAsia="Arial" w:cs="Arial"/>
          <w:color w:val="1F2D3D"/>
          <w:sz w:val="18"/>
        </w:rPr>
        <w:t>At main ff5e527, clean-clone ./mvnw clean verify passed on 2026-08-10: 172 tests, 0 failures, 0 errors, 0 skipped; JaCoCo measured 92.55% instruction and 82.75% branch coverage across 112 classes; the 85% / 75% hard gate passed.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VERIFIED / OBSERVED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EXPLICITLY NOT CLAIMED</w:t>
            </w:r>
          </w:p>
        </w:tc>
      </w:tr>
      <w:tr>
        <w:trPr>
          <w:cantSplit/>
        </w:trPr>
        <w:tc>
          <w:tcPr>
            <w:tcW w:type="dxa" w:w="46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3-replica app + HPA; CloudNativePG failover/restore; Kafka KRaft and Redis Sentinel one-node drills; signed/attested image path; OCI Terraform adoption and zero-drift reconciliation.</w:t>
            </w:r>
          </w:p>
        </w:tc>
        <w:tc>
          <w:tcPr>
            <w:tcW w:type="dxa" w:w="46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Production multi-zone platform; zero-downtime worker loss; universal zero-RPO; managed secrets/workload identity; production SLO history; real payment-provider ownership.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FFF7E6" w:val="clear"/>
        <w:pBdr>
          <w:left w:val="single" w:sz="18" w:space="8" w:color="B7791F"/>
        </w:pBdr>
      </w:pPr>
      <w:r>
        <w:rPr>
          <w:rFonts w:ascii="Arial" w:hAnsi="Arial" w:eastAsia="Arial" w:cs="Arial"/>
          <w:b/>
          <w:color w:val="B7791F"/>
          <w:sz w:val="18"/>
        </w:rPr>
        <w:t xml:space="preserve">REPOSITORY INSPECTION NOTE  </w:t>
      </w:r>
      <w:r>
        <w:rPr>
          <w:rFonts w:ascii="Arial" w:hAnsi="Arial" w:eastAsia="Arial" w:cs="Arial"/>
          <w:color w:val="1F2D3D"/>
          <w:sz w:val="18"/>
        </w:rPr>
        <w:t>The clean verification clone resolves to ff5e527261fd3ccdf3098151375c13264f5afef2. Phase 8 documentation and OCI milestones remain immutably tagged at 929bee0 and ed626cb; current test figures were regenerated from main rather than copied from those snapshots.</w:t>
      </w:r>
    </w:p>
    <w:p>
      <w:pPr>
        <w:spacing w:before="20" w:after="0"/>
        <w:jc w:val="center"/>
      </w:pPr>
      <w:hyperlink r:id="rId12">
        <w:r>
          <w:rPr>
            <w:rFonts w:ascii="Arial" w:hAnsi="Arial" w:eastAsia="Arial" w:cs="Arial"/>
            <w:color w:val="2E74B5"/>
            <w:b/>
            <w:sz w:val="19"/>
            <w:u w:val="single"/>
          </w:rPr>
          <w:t>github.com/ravan-chuang/spring-boot-ecommerce-backend</w:t>
        </w:r>
      </w:hyperlink>
    </w:p>
    <w:p>
      <w:r>
        <w:br w:type="page"/>
      </w:r>
    </w:p>
    <w:p>
      <w:pPr>
        <w:pStyle w:val="Heading1"/>
      </w:pPr>
      <w:r>
        <w:t>1. Executive Evidence Model</w:t>
      </w:r>
    </w:p>
    <w:p>
      <w:pPr>
        <w:keepLines/>
        <w:spacing w:after="120"/>
      </w:pPr>
      <w:r>
        <w:rPr>
          <w:rFonts w:ascii="Arial" w:hAnsi="Arial" w:eastAsia="Arial" w:cs="Arial"/>
          <w:color w:val="1F2D3D"/>
          <w:sz w:val="21"/>
        </w:rPr>
        <w:t>Claims in this portfolio are classified before they are presented. Configuration is not treated as runtime proof; a successful failure drill is not generalized beyond its tested failure domain; and a captured acknowledgement set is reconciled against durable state before an RPO observation is stated.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2050"/>
        <w:gridCol w:w="4100"/>
        <w:gridCol w:w="3210"/>
      </w:tblGrid>
      <w:tr>
        <w:trPr>
          <w:tblHeader w:val="true"/>
          <w:cantSplit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Evidence class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What qualifies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Allowed wording</w:t>
            </w:r>
          </w:p>
        </w:tc>
      </w:tr>
      <w:tr>
        <w:trPr>
          <w:cantSplit/>
        </w:trPr>
        <w:tc>
          <w:tcPr>
            <w:tcW w:type="dxa" w:w="20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Current automated verification</w:t>
            </w:r>
          </w:p>
        </w:tc>
        <w:tc>
          <w:tcPr>
            <w:tcW w:type="dxa" w:w="41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Clean-clone Maven verification, Testcontainers, integration/concurrency tests, JaCoCo report</w:t>
            </w:r>
          </w:p>
        </w:tc>
        <w:tc>
          <w:tcPr>
            <w:tcW w:type="dxa" w:w="32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Verified on main at the stated date</w:t>
            </w:r>
          </w:p>
        </w:tc>
      </w:tr>
      <w:tr>
        <w:trPr>
          <w:cantSplit/>
        </w:trPr>
        <w:tc>
          <w:tcPr>
            <w:tcW w:type="dxa" w:w="20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Executed runtime drill</w:t>
            </w:r>
          </w:p>
        </w:tc>
        <w:tc>
          <w:tcPr>
            <w:tcW w:type="dxa" w:w="41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Worker/primary/broker/master loss, HPA, restore, OCI Run Command/reboot</w:t>
            </w:r>
          </w:p>
        </w:tc>
        <w:tc>
          <w:tcPr>
            <w:tcW w:type="dxa" w:w="32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Verified under tested conditions</w:t>
            </w:r>
          </w:p>
        </w:tc>
      </w:tr>
      <w:tr>
        <w:trPr>
          <w:cantSplit/>
        </w:trPr>
        <w:tc>
          <w:tcPr>
            <w:tcW w:type="dxa" w:w="20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Durability reconciliation</w:t>
            </w:r>
          </w:p>
        </w:tc>
        <w:tc>
          <w:tcPr>
            <w:tcW w:type="dxa" w:w="41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Captured client ACK set compared with recovered durable records</w:t>
            </w:r>
          </w:p>
        </w:tc>
        <w:tc>
          <w:tcPr>
            <w:tcW w:type="dxa" w:w="32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Observed RPO for that captured set</w:t>
            </w:r>
          </w:p>
        </w:tc>
      </w:tr>
      <w:tr>
        <w:trPr>
          <w:cantSplit/>
        </w:trPr>
        <w:tc>
          <w:tcPr>
            <w:tcW w:type="dxa" w:w="20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Configured control</w:t>
            </w:r>
          </w:p>
        </w:tc>
        <w:tc>
          <w:tcPr>
            <w:tcW w:type="dxa" w:w="41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PDB/HPA, retries, SLO rules, IAM, signing, Terraform declarations</w:t>
            </w:r>
          </w:p>
        </w:tc>
        <w:tc>
          <w:tcPr>
            <w:tcW w:type="dxa" w:w="32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Implemented/configured; not proof by itself</w:t>
            </w:r>
          </w:p>
        </w:tc>
      </w:tr>
      <w:tr>
        <w:trPr>
          <w:cantSplit/>
        </w:trPr>
        <w:tc>
          <w:tcPr>
            <w:tcW w:type="dxa" w:w="20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Known boundary / proposal</w:t>
            </w:r>
          </w:p>
        </w:tc>
        <w:tc>
          <w:tcPr>
            <w:tcW w:type="dxa" w:w="41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Unverified production failure domain or recommended target architecture</w:t>
            </w:r>
          </w:p>
        </w:tc>
        <w:tc>
          <w:tcPr>
            <w:tcW w:type="dxa" w:w="32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7"/>
              </w:rPr>
              <w:t>Not claimed / proposed, not implemented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1.1 Current verified engineering baseline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650"/>
        <w:gridCol w:w="4550"/>
        <w:gridCol w:w="3160"/>
      </w:tblGrid>
      <w:tr>
        <w:trPr>
          <w:tblHeader w:val="true"/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Domain</w:t>
            </w:r>
          </w:p>
        </w:tc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As-built / observed state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Evidence boundary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Repository</w:t>
            </w:r>
          </w:p>
        </w:tc>
        <w:tc>
          <w:tcPr>
            <w:tcW w:type="dxa" w:w="45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main = origin/main = ff5e527; docs tag 929bee0; OCI tag ed626cb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Clean verification clone at the full current SHA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Build &amp; tests</w:t>
            </w:r>
          </w:p>
        </w:tc>
        <w:tc>
          <w:tcPr>
            <w:tcW w:type="dxa" w:w="45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2026-08-10 clean verify: 172 passed / 0 failed / 0 errors / 0 skipped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Current main rerun in an isolated clone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Coverage</w:t>
            </w:r>
          </w:p>
        </w:tc>
        <w:tc>
          <w:tcPr>
            <w:tcW w:type="dxa" w:w="45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92.55% instruction / 82.75% branch; 112 classes analyzed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Current rerun; Maven hard gate 85% / 75% passed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Application</w:t>
            </w:r>
          </w:p>
        </w:tc>
        <w:tc>
          <w:tcPr>
            <w:tcW w:type="dxa" w:w="45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3 replicas; HPA 3–8; PDB; probes; topology spread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Local kind; one control-plane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PostgreSQL</w:t>
            </w:r>
          </w:p>
        </w:tc>
        <w:tc>
          <w:tcPr>
            <w:tcW w:type="dxa" w:w="45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16 in Compose/Testcontainers; 17 in CloudNativePG ×3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HA/restore evidence applies to CNPG PostgreSQL 17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Kafka</w:t>
            </w:r>
          </w:p>
        </w:tc>
        <w:tc>
          <w:tcPr>
            <w:tcW w:type="dxa" w:w="45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4.1.0 in Testcontainers; 4.1.2 in Compose/Kubernetes; KRaft ×3 drill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Version scopes are not interchangeable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Redis</w:t>
            </w:r>
          </w:p>
        </w:tc>
        <w:tc>
          <w:tcPr>
            <w:tcW w:type="dxa" w:w="45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Redis 7; 3 data nodes + 3 Sentinels in HA drill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Asynchronous replication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Schema</w:t>
            </w:r>
          </w:p>
        </w:tc>
        <w:tc>
          <w:tcPr>
            <w:tcW w:type="dxa" w:w="45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Flyway V1–V11; Hibernate ddl-auto=validate; open-in-view=false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Migrations are repository-backed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Supply chain</w:t>
            </w:r>
          </w:p>
        </w:tc>
        <w:tc>
          <w:tcPr>
            <w:tcW w:type="dxa" w:w="45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CycloneDX, Trivy, GHCR digest, Cosign OIDC, image SBOM, provenance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No cluster admission enforcement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OCI / Terraform</w:t>
            </w:r>
          </w:p>
        </w:tc>
        <w:tc>
          <w:tcPr>
            <w:tcW w:type="dxa" w:w="45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VCN, subnet, route, security objects, NSGs, compute adopted; final plan No changes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Single dev VM; not the full runtime stack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FFF7E6" w:val="clear"/>
        <w:pBdr>
          <w:left w:val="single" w:sz="18" w:space="8" w:color="B7791F"/>
        </w:pBdr>
      </w:pPr>
      <w:r>
        <w:rPr>
          <w:rFonts w:ascii="Arial" w:hAnsi="Arial" w:eastAsia="Arial" w:cs="Arial"/>
          <w:b/>
          <w:color w:val="B7791F"/>
          <w:sz w:val="18"/>
        </w:rPr>
        <w:t xml:space="preserve">COVERAGE PRECISION  </w:t>
      </w:r>
      <w:r>
        <w:rPr>
          <w:rFonts w:ascii="Arial" w:hAnsi="Arial" w:eastAsia="Arial" w:cs="Arial"/>
          <w:color w:val="1F2D3D"/>
          <w:sz w:val="18"/>
        </w:rPr>
        <w:t>Current rerun = 92.55% / 82.75%. Historical Phase 2.1 snapshot = 89.78% / 73.63%. Maven hard gate = 85% / 75%. The secondary regression reference remains 81.4756% / 68.2927% with a 0.5 percentage-point maximum drop. These are distinct facts.</w:t>
      </w:r>
    </w:p>
    <w:p>
      <w:pPr>
        <w:pStyle w:val="Heading1"/>
        <w:pageBreakBefore/>
      </w:pPr>
      <w:r>
        <w:t>2. As-Built System Architecture and Availability Boundary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230368" cy="2745943"/>
            <wp:docPr id="1" name="Picture 1" descr="As-built system architecture showing client, Kubernetes service, three Spring Boot replicas, PostgreSQL, Redis, transactional outbox, Kafka, observability, supply-chain pipeline, and a separate OCI development boundary." title="Fig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as_bui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745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1 | Verified as-built view. Runtime dependencies are separated from the supply-chain and OCI control boundaries; no arrow implies that the full local stack is deployed on OCI.</w:t>
      </w:r>
    </w:p>
    <w:p>
      <w:pPr>
        <w:keepLines/>
        <w:spacing w:after="120"/>
      </w:pPr>
      <w:r>
        <w:rPr>
          <w:rFonts w:ascii="Arial" w:hAnsi="Arial" w:eastAsia="Arial" w:cs="Arial"/>
          <w:color w:val="1F2D3D"/>
          <w:sz w:val="21"/>
        </w:rPr>
        <w:t>The critical architectural boundary is the PostgreSQL commit. Commerce state and outbound event intent become durable together; asynchronous publication occurs after commit. Redis improves read/session behavior but is not the source of record. Kafka delivery is treated as at-least-once, so consumer-side idempotency and persisted DLT governance are required rather than implied.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600"/>
        <w:gridCol w:w="4300"/>
        <w:gridCol w:w="3460"/>
      </w:tblGrid>
      <w:tr>
        <w:trPr>
          <w:tblHeader w:val="true"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Layer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Verified topology / behavior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Application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3 replicas; HPA 3–8; PDB; worker recovery</w:t>
            </w:r>
          </w:p>
        </w:tc>
        <w:tc>
          <w:tcPr>
            <w:tcW w:type="dxa" w:w="34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Hard worker loss still produced transient transport failures</w:t>
            </w:r>
          </w:p>
        </w:tc>
      </w:tr>
      <w:tr>
        <w:trPr>
          <w:cantSplit/>
        </w:trPr>
        <w:tc>
          <w:tcPr>
            <w:tcW w:type="dxa" w:w="16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PostgreSQL</w:t>
            </w:r>
          </w:p>
        </w:tc>
        <w:tc>
          <w:tcPr>
            <w:tcW w:type="dxa" w:w="4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CNPG ×3; synchronous failover; physical backup + independent restore</w:t>
            </w:r>
          </w:p>
        </w:tc>
        <w:tc>
          <w:tcPr>
            <w:tcW w:type="dxa" w:w="34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Local PV/object-store failure domains; no multi-zone DR proof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Kafka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3 KRaft broker/controllers; RF=3 / min ISR=2 drill</w:t>
            </w:r>
          </w:p>
        </w:tc>
        <w:tc>
          <w:tcPr>
            <w:tcW w:type="dxa" w:w="34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One-node failure only; no correlated two-node/region proof</w:t>
            </w:r>
          </w:p>
        </w:tc>
      </w:tr>
      <w:tr>
        <w:trPr>
          <w:cantSplit/>
        </w:trPr>
        <w:tc>
          <w:tcPr>
            <w:tcW w:type="dxa" w:w="16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Redis</w:t>
            </w:r>
          </w:p>
        </w:tc>
        <w:tc>
          <w:tcPr>
            <w:tcW w:type="dxa" w:w="4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1 master + 2 replicas; 3 Sentinels</w:t>
            </w:r>
          </w:p>
        </w:tc>
        <w:tc>
          <w:tcPr>
            <w:tcW w:type="dxa" w:w="34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Async replication; no general zero-RPO guarantee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Kubernetes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kind 1 control-plane + 3 workers</w:t>
            </w:r>
          </w:p>
        </w:tc>
        <w:tc>
          <w:tcPr>
            <w:tcW w:type="dxa" w:w="34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Control-plane SPOF and local CNI/dataplane</w:t>
            </w:r>
          </w:p>
        </w:tc>
      </w:tr>
      <w:tr>
        <w:trPr>
          <w:cantSplit/>
        </w:trPr>
        <w:tc>
          <w:tcPr>
            <w:tcW w:type="dxa" w:w="16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Supply chain</w:t>
            </w:r>
          </w:p>
        </w:tc>
        <w:tc>
          <w:tcPr>
            <w:tcW w:type="dxa" w:w="4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Signed/attested immutable image workflow</w:t>
            </w:r>
          </w:p>
        </w:tc>
        <w:tc>
          <w:tcPr>
            <w:tcW w:type="dxa" w:w="34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No admission-time signature rejection</w:t>
            </w:r>
          </w:p>
        </w:tc>
      </w:tr>
      <w:tr>
        <w:trPr>
          <w:cantSplit/>
        </w:trPr>
        <w:tc>
          <w:tcPr>
            <w:tcW w:type="dxa" w:w="1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OCI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Brownfield network/security/VM adoption; zero drift; management recovery</w:t>
            </w:r>
          </w:p>
        </w:tc>
        <w:tc>
          <w:tcPr>
            <w:tcW w:type="dxa" w:w="34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Not a managed application/data platform deployment</w:t>
            </w:r>
          </w:p>
        </w:tc>
      </w:tr>
    </w:tbl>
    <w:p>
      <w:pPr>
        <w:spacing w:after="0" w:before="0"/>
      </w:pPr>
    </w:p>
    <w:p>
      <w:pPr>
        <w:pStyle w:val="Heading1"/>
        <w:pageBreakBefore/>
      </w:pPr>
      <w:r>
        <w:t>3. Transaction Correctness and Durable Event Delivery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09160" cy="2236851"/>
            <wp:docPr id="2" name="Picture 2" descr="Payment idempotency flow inside one PostgreSQL transaction and a transactional outbox state machine with retry, lease recovery, terminal failure, replay, and consumer idempotency." title="Fig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out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2236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2 | Payment idempotency and Outbox lifecycle. Curved recovery paths are anchored to their actual source and destination states to avoid ambiguous transition semantics.</w:t>
      </w:r>
    </w:p>
    <w:p>
      <w:pPr>
        <w:pStyle w:val="Heading2"/>
      </w:pPr>
      <w:r>
        <w:t>3.1 Commerce invariants</w:t>
      </w:r>
    </w:p>
    <w:p>
      <w:pPr>
        <w:numPr>
          <w:ilvl w:val="0"/>
          <w:numId w:val="10"/>
        </w:numPr>
        <w:spacing w:after="40" w:line="252" w:lineRule="auto"/>
      </w:pPr>
      <w:r>
        <w:rPr>
          <w:rFonts w:ascii="Arial" w:hAnsi="Arial" w:eastAsia="Arial" w:cs="Arial"/>
          <w:color w:val="1F2D3D"/>
          <w:sz w:val="19"/>
        </w:rPr>
        <w:t>Stock mutation is protected by JPA optimistic locking; checkout revalidates inventory inside the order transaction.</w:t>
      </w:r>
    </w:p>
    <w:p>
      <w:pPr>
        <w:numPr>
          <w:ilvl w:val="0"/>
          <w:numId w:val="10"/>
        </w:numPr>
        <w:spacing w:after="40" w:line="252" w:lineRule="auto"/>
      </w:pPr>
      <w:r>
        <w:rPr>
          <w:rFonts w:ascii="Arial" w:hAnsi="Arial" w:eastAsia="Arial" w:cs="Arial"/>
          <w:color w:val="1F2D3D"/>
          <w:sz w:val="19"/>
        </w:rPr>
        <w:t>Order creation, stock deduction, cart deletion, and ORDER_CREATED Outbox insertion commit atomically.</w:t>
      </w:r>
    </w:p>
    <w:p>
      <w:pPr>
        <w:numPr>
          <w:ilvl w:val="0"/>
          <w:numId w:val="10"/>
        </w:numPr>
        <w:spacing w:after="40" w:line="252" w:lineRule="auto"/>
      </w:pPr>
      <w:r>
        <w:rPr>
          <w:rFonts w:ascii="Arial" w:hAnsi="Arial" w:eastAsia="Arial" w:cs="Arial"/>
          <w:color w:val="1F2D3D"/>
          <w:sz w:val="19"/>
        </w:rPr>
        <w:t>Payment and cancellation serialize terminal order transitions through the same pessimistic order lock.</w:t>
      </w:r>
    </w:p>
    <w:p>
      <w:pPr>
        <w:numPr>
          <w:ilvl w:val="0"/>
          <w:numId w:val="10"/>
        </w:numPr>
        <w:spacing w:after="40" w:line="252" w:lineRule="auto"/>
      </w:pPr>
      <w:r>
        <w:rPr>
          <w:rFonts w:ascii="Arial" w:hAnsi="Arial" w:eastAsia="Arial" w:cs="Arial"/>
          <w:color w:val="1F2D3D"/>
          <w:sz w:val="19"/>
        </w:rPr>
        <w:t>Idempotency-Key + request path identify the command; SHA-256 fingerprinting rejects key reuse with a different payload.</w:t>
      </w:r>
    </w:p>
    <w:p>
      <w:pPr>
        <w:numPr>
          <w:ilvl w:val="0"/>
          <w:numId w:val="10"/>
        </w:numPr>
        <w:spacing w:after="40" w:line="252" w:lineRule="auto"/>
      </w:pPr>
      <w:r>
        <w:rPr>
          <w:rFonts w:ascii="Arial" w:hAnsi="Arial" w:eastAsia="Arial" w:cs="Arial"/>
          <w:color w:val="1F2D3D"/>
          <w:sz w:val="19"/>
        </w:rPr>
        <w:t>Production exposes one checkout workflow: the slow endpoint, duplicated implementation, and Thread.sleep were removed; timing control is isolated behind a no-op production delay port.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2400"/>
        <w:gridCol w:w="3780"/>
        <w:gridCol w:w="318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Invariant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Mechanism</w:t>
            </w:r>
          </w:p>
        </w:tc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Failure contained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One payment per order</w:t>
            </w:r>
          </w:p>
        </w:tc>
        <w:tc>
          <w:tcPr>
            <w:tcW w:type="dxa" w:w="37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DB uniqueness + pessimistic order lock</w:t>
            </w:r>
          </w:p>
        </w:tc>
        <w:tc>
          <w:tcPr>
            <w:tcW w:type="dxa" w:w="31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Concurrent duplicate payment creation</w:t>
            </w:r>
          </w:p>
        </w:tc>
      </w:tr>
      <w:tr>
        <w:trPr>
          <w:cantSplit/>
        </w:trPr>
        <w:tc>
          <w:tcPr>
            <w:tcW w:type="dxa" w:w="24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Same key = same logical request</w:t>
            </w:r>
          </w:p>
        </w:tc>
        <w:tc>
          <w:tcPr>
            <w:tcW w:type="dxa" w:w="378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SHA-256 request fingerprint + response snapshot</w:t>
            </w:r>
          </w:p>
        </w:tc>
        <w:tc>
          <w:tcPr>
            <w:tcW w:type="dxa" w:w="318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Key reuse with different payload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Outbox worker cooperation</w:t>
            </w:r>
          </w:p>
        </w:tc>
        <w:tc>
          <w:tcPr>
            <w:tcW w:type="dxa" w:w="37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FOR UPDATE SKIP LOCKED + owner lease</w:t>
            </w:r>
          </w:p>
        </w:tc>
        <w:tc>
          <w:tcPr>
            <w:tcW w:type="dxa" w:w="31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Duplicate claims / abandoned processing</w:t>
            </w:r>
          </w:p>
        </w:tc>
      </w:tr>
      <w:tr>
        <w:trPr>
          <w:cantSplit/>
        </w:trPr>
        <w:tc>
          <w:tcPr>
            <w:tcW w:type="dxa" w:w="24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Consumer idempotency</w:t>
            </w:r>
          </w:p>
        </w:tc>
        <w:tc>
          <w:tcPr>
            <w:tcW w:type="dxa" w:w="378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Persist (event_id, consumer_name) with side effect</w:t>
            </w:r>
          </w:p>
        </w:tc>
        <w:tc>
          <w:tcPr>
            <w:tcW w:type="dxa" w:w="318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Duplicate at-least-once delivery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DLT governance</w:t>
            </w:r>
          </w:p>
        </w:tc>
        <w:tc>
          <w:tcPr>
            <w:tcW w:type="dxa" w:w="37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Quarantine, replay reservation, audit, lease recovery</w:t>
            </w:r>
          </w:p>
        </w:tc>
        <w:tc>
          <w:tcPr>
            <w:tcW w:type="dxa" w:w="318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Uncontrolled terminal-message handling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EDF7EF" w:val="clear"/>
        <w:pBdr>
          <w:left w:val="single" w:sz="18" w:space="8" w:color="2E7D32"/>
        </w:pBdr>
      </w:pPr>
      <w:r>
        <w:rPr>
          <w:rFonts w:ascii="Arial" w:hAnsi="Arial" w:eastAsia="Arial" w:cs="Arial"/>
          <w:b/>
          <w:color w:val="2E7D32"/>
          <w:sz w:val="18"/>
        </w:rPr>
        <w:t xml:space="preserve">EXECUTED OUTBOX DRILL  </w:t>
      </w:r>
      <w:r>
        <w:rPr>
          <w:rFonts w:ascii="Arial" w:hAnsi="Arial" w:eastAsia="Arial" w:cs="Arial"/>
          <w:color w:val="1F2D3D"/>
          <w:sz w:val="18"/>
        </w:rPr>
        <w:t>90 events were claimed 30/30/30 across three replicas; PostgreSQL recorded 90 PUBLISHED rows and Kafka recorded 90 valid unique sequences with 0 duplicate, missing, or unexpected values. The result is workload-scoped, not global exactly-once delivery.</w:t>
      </w:r>
    </w:p>
    <w:p>
      <w:pPr>
        <w:pStyle w:val="Heading1"/>
        <w:pageBreakBefore/>
      </w:pPr>
      <w:r>
        <w:t>4. Kubernetes and Stateful Reliability Evidence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87143"/>
            <wp:docPr id="3" name="Picture 3" descr="Four evidence cards summarizing application worker recovery, PostgreSQL failover and restore, Kafka broker failure reconciliation, and Redis Sentinel master failover." title="Fig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evid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8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3 | Experiment-scoped recovery observations. Each card states the injected fault, observed result, and the boundary that prevents over-generalization.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350"/>
        <w:gridCol w:w="2800"/>
        <w:gridCol w:w="3450"/>
        <w:gridCol w:w="1760"/>
      </w:tblGrid>
      <w:tr>
        <w:trPr>
          <w:tblHeader w:val="true"/>
          <w:cantSplit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Subsystem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Injected fault / workload</w:t>
            </w:r>
          </w:p>
        </w:tc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Observed result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Honest boundary</w:t>
            </w:r>
          </w:p>
        </w:tc>
      </w:tr>
      <w:tr>
        <w:trPr>
          <w:cantSplit/>
        </w:trPr>
        <w:tc>
          <w:tcPr>
            <w:tcW w:type="dxa" w:w="13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Application</w:t>
            </w:r>
          </w:p>
        </w:tc>
        <w:tc>
          <w:tcPr>
            <w:tcW w:type="dxa" w:w="2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Abrupt worker stop; 458 client traces</w:t>
            </w:r>
          </w:p>
        </w:tc>
        <w:tc>
          <w:tcPr>
            <w:tcW w:type="dxa" w:w="34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424 HTTP 200; 34 transport failures; 0 app 5xx; 3/3 Ready ~T+94s</w:t>
            </w:r>
          </w:p>
        </w:tc>
        <w:tc>
          <w:tcPr>
            <w:tcW w:type="dxa" w:w="17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Self-healing yes; zero-downtime no</w:t>
            </w:r>
          </w:p>
        </w:tc>
      </w:tr>
      <w:tr>
        <w:trPr>
          <w:cantSplit/>
        </w:trPr>
        <w:tc>
          <w:tcPr>
            <w:tcW w:type="dxa" w:w="13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PostgreSQL</w:t>
            </w:r>
          </w:p>
        </w:tc>
        <w:tc>
          <w:tcPr>
            <w:tcW w:type="dxa" w:w="2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CNPG primary hard loss; independent physical restore</w:t>
            </w:r>
          </w:p>
        </w:tc>
        <w:tc>
          <w:tcPr>
            <w:tcW w:type="dxa" w:w="34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Write RTO 51.543s; 72 ACK commits / 0 missing; 3,864 restored rows; ~49s restore health</w:t>
            </w:r>
          </w:p>
        </w:tc>
        <w:tc>
          <w:tcPr>
            <w:tcW w:type="dxa" w:w="17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RPO=0 only for captured ACK set; local restore domain</w:t>
            </w:r>
          </w:p>
        </w:tc>
      </w:tr>
      <w:tr>
        <w:trPr>
          <w:cantSplit/>
        </w:trPr>
        <w:tc>
          <w:tcPr>
            <w:tcW w:type="dxa" w:w="13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Kafka</w:t>
            </w:r>
          </w:p>
        </w:tc>
        <w:tc>
          <w:tcPr>
            <w:tcW w:type="dxa" w:w="2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One KRaft broker/node loss; 6 partitions; RF=3; min ISR=2</w:t>
            </w:r>
          </w:p>
        </w:tc>
        <w:tc>
          <w:tcPr>
            <w:tcW w:type="dxa" w:w="34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3,733 captured ACK / 0 missing; 6,337 consumed; ISR returned to 3</w:t>
            </w:r>
          </w:p>
        </w:tc>
        <w:tc>
          <w:tcPr>
            <w:tcW w:type="dxa" w:w="17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One-node experiment; not universal zero-loss</w:t>
            </w:r>
          </w:p>
        </w:tc>
      </w:tr>
      <w:tr>
        <w:trPr>
          <w:cantSplit/>
        </w:trPr>
        <w:tc>
          <w:tcPr>
            <w:tcW w:type="dxa" w:w="13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Redis</w:t>
            </w:r>
          </w:p>
        </w:tc>
        <w:tc>
          <w:tcPr>
            <w:tcW w:type="dxa" w:w="2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Active master hard loss</w:t>
            </w:r>
          </w:p>
        </w:tc>
        <w:tc>
          <w:tcPr>
            <w:tcW w:type="dxa" w:w="34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New master ~T+18s; checked data readable; post-promotion writes succeeded</w:t>
            </w:r>
          </w:p>
        </w:tc>
        <w:tc>
          <w:tcPr>
            <w:tcW w:type="dxa" w:w="17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Async replication; no general zero-RPO claim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EAF2F8" w:val="clear"/>
        <w:pBdr>
          <w:left w:val="single" w:sz="18" w:space="8" w:color="2E74B5"/>
        </w:pBdr>
      </w:pPr>
      <w:r>
        <w:rPr>
          <w:rFonts w:ascii="Arial" w:hAnsi="Arial" w:eastAsia="Arial" w:cs="Arial"/>
          <w:b/>
          <w:color w:val="2E74B5"/>
          <w:sz w:val="18"/>
        </w:rPr>
        <w:t xml:space="preserve">RECOVERY INTERPRETATION  </w:t>
      </w:r>
      <w:r>
        <w:rPr>
          <w:rFonts w:ascii="Arial" w:hAnsi="Arial" w:eastAsia="Arial" w:cs="Arial"/>
          <w:color w:val="1F2D3D"/>
          <w:sz w:val="18"/>
        </w:rPr>
        <w:t>Node detection, replacement creation, Pod readiness, EndpointSlice convergence, client-visible recovery, and durable-state reconciliation are separate dimensions. Collapsing them into one MTTR number would erase the most useful engineering information.</w:t>
      </w:r>
    </w:p>
    <w:p>
      <w:pPr>
        <w:pStyle w:val="Heading2"/>
      </w:pPr>
      <w:r>
        <w:t>4.1 Boundaries retained after the drills</w:t>
      </w:r>
    </w:p>
    <w:p>
      <w:pPr>
        <w:numPr>
          <w:ilvl w:val="0"/>
          <w:numId w:val="10"/>
        </w:numPr>
        <w:spacing w:after="60" w:line="280" w:lineRule="auto"/>
      </w:pPr>
      <w:r>
        <w:rPr>
          <w:rFonts w:ascii="Arial" w:hAnsi="Arial" w:eastAsia="Arial" w:cs="Arial"/>
          <w:color w:val="1F2D3D"/>
          <w:sz w:val="21"/>
        </w:rPr>
        <w:t>All stateful results are local and single-fault observations; they do not establish correlated, multi-zone, or regional tolerance.</w:t>
      </w:r>
    </w:p>
    <w:p>
      <w:pPr>
        <w:numPr>
          <w:ilvl w:val="0"/>
          <w:numId w:val="10"/>
        </w:numPr>
        <w:spacing w:after="60" w:line="280" w:lineRule="auto"/>
      </w:pPr>
      <w:r>
        <w:rPr>
          <w:rFonts w:ascii="Arial" w:hAnsi="Arial" w:eastAsia="Arial" w:cs="Arial"/>
          <w:color w:val="1F2D3D"/>
          <w:sz w:val="21"/>
        </w:rPr>
        <w:t>PostgreSQL/Kafka zero-loss observations apply only to captured successful acknowledgements, while Redis remains asynchronously replicated.</w:t>
      </w:r>
    </w:p>
    <w:p>
      <w:pPr>
        <w:numPr>
          <w:ilvl w:val="0"/>
          <w:numId w:val="10"/>
        </w:numPr>
        <w:spacing w:after="60" w:line="280" w:lineRule="auto"/>
      </w:pPr>
      <w:r>
        <w:rPr>
          <w:rFonts w:ascii="Arial" w:hAnsi="Arial" w:eastAsia="Arial" w:cs="Arial"/>
          <w:color w:val="1F2D3D"/>
          <w:sz w:val="21"/>
        </w:rPr>
        <w:t>One measurement is evidence of mechanism behavior, not a production RTO/RPO distribution or an availability SLO.</w:t>
      </w:r>
    </w:p>
    <w:p>
      <w:pPr>
        <w:pStyle w:val="Heading1"/>
        <w:pageBreakBefore/>
      </w:pPr>
      <w:r>
        <w:t>5. Software Supply Chain and OCI Brownfield Operations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2171700"/>
            <wp:docPr id="4" name="Picture 4" descr="Two control flows showing the software supply-chain stages and the OCI brownfield Terraform adoption and operational recovery stages, including a warning about public ingress rules." title="Fig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very_cloud_contro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4 | Verified control paths. The artifact pipeline binds source to a signed digest and provenance; Phase 8 separately adopts and reconciles the existing OCI development environment.</w:t>
      </w:r>
    </w:p>
    <w:p>
      <w:pPr>
        <w:pStyle w:val="Heading2"/>
      </w:pPr>
      <w:r>
        <w:t>5.1 Artifact trust path</w:t>
      </w:r>
    </w:p>
    <w:p>
      <w:pPr>
        <w:keepLines/>
        <w:spacing w:after="80"/>
      </w:pPr>
      <w:r>
        <w:rPr>
          <w:rFonts w:ascii="Arial" w:hAnsi="Arial" w:eastAsia="Arial" w:cs="Arial"/>
          <w:color w:val="1F2D3D"/>
          <w:sz w:val="19"/>
        </w:rPr>
        <w:t>Repository evidence covers a CycloneDX application SBOM, HIGH/CRITICAL Trivy file/image gates, immutable GHCR digests, keyless Cosign signing through GitHub OIDC, image SBOM, and provenance. Latest-main documentation records CI, CodeQL, and Supply Chain Security as passing. Cluster admission still does not reject unsigned artifacts.</w:t>
      </w:r>
    </w:p>
    <w:p>
      <w:pPr>
        <w:pStyle w:val="Heading2"/>
      </w:pPr>
      <w:r>
        <w:t>5.2 Brownfield infrastructure ownership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900"/>
        <w:gridCol w:w="4300"/>
        <w:gridCol w:w="3160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Control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Verified state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Senior-review implication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Terraform adoption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Existing VCN, subnet, IGW, route, security list, two NSGs, rules, and compute imported/reconciled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Correct brownfield strategy: establish ownership without replacement</w:t>
            </w:r>
          </w:p>
        </w:tc>
      </w:tr>
      <w:tr>
        <w:trPr>
          <w:cantSplit/>
        </w:trPr>
        <w:tc>
          <w:tcPr>
            <w:tcW w:type="dxa" w:w="19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Safety</w:t>
            </w:r>
          </w:p>
        </w:tc>
        <w:tc>
          <w:tcPr>
            <w:tcW w:type="dxa" w:w="4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prevent_destroy on adopted resources; state and credentials ignored from Git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Protects accidental deletion; does not replace remote state/locking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Drift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fmt/validate PASS; final plan: No changes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Zero drift only at verification time</w:t>
            </w:r>
          </w:p>
        </w:tc>
      </w:tr>
      <w:tr>
        <w:trPr>
          <w:cantSplit/>
        </w:trPr>
        <w:tc>
          <w:tcPr>
            <w:tcW w:type="dxa" w:w="19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Operations</w:t>
            </w:r>
          </w:p>
        </w:tc>
        <w:tc>
          <w:tcPr>
            <w:tcW w:type="dxa" w:w="4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SSH, Cloud Agent, Dynamic Group/IAM, Run Command ACKED/SUCCEEDED/exit 0, reboot recovery</w:t>
            </w:r>
          </w:p>
        </w:tc>
        <w:tc>
          <w:tcPr>
            <w:tcW w:type="dxa" w:w="3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Management path verified for the dev instance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Runtime scope</w:t>
            </w:r>
          </w:p>
        </w:tc>
        <w:tc>
          <w:tcPr>
            <w:tcW w:type="dxa" w:w="4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Single VM.Standard.E2.1.Micro in Tokyo</w:t>
            </w:r>
          </w:p>
        </w:tc>
        <w:tc>
          <w:tcPr>
            <w:tcW w:type="dxa" w:w="3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Not evidence that Kubernetes/data services run on OCI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FCEEEE" w:val="clear"/>
        <w:pBdr>
          <w:left w:val="single" w:sz="18" w:space="8" w:color="9B2C2C"/>
        </w:pBdr>
      </w:pPr>
      <w:r>
        <w:rPr>
          <w:rFonts w:ascii="Arial" w:hAnsi="Arial" w:eastAsia="Arial" w:cs="Arial"/>
          <w:b/>
          <w:color w:val="9B2C2C"/>
          <w:sz w:val="18"/>
        </w:rPr>
        <w:t xml:space="preserve">NETWORK HARDENING FINDING  </w:t>
      </w:r>
      <w:r>
        <w:rPr>
          <w:rFonts w:ascii="Arial" w:hAnsi="Arial" w:eastAsia="Arial" w:cs="Arial"/>
          <w:color w:val="1F2D3D"/>
          <w:sz w:val="18"/>
        </w:rPr>
        <w:t>Terraform currently allows 0.0.0.0/0 ingress to TCP 22, 80, 443, and 8080. Treat this as development-only: close direct 8080 access, restrict SSH, and front production traffic through controlled TLS/LB/WAF paths.</w:t>
      </w:r>
    </w:p>
    <w:p>
      <w:pPr>
        <w:pStyle w:val="Heading1"/>
        <w:pageBreakBefore/>
      </w:pPr>
      <w:r>
        <w:t>6. Performance, Coverage, and Operability</w:t>
      </w:r>
    </w:p>
    <w:p>
      <w:pPr>
        <w:pStyle w:val="Heading2"/>
      </w:pPr>
      <w:r>
        <w:t>6.1 Reproducible measurements and evidence quality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650"/>
        <w:gridCol w:w="3740"/>
        <w:gridCol w:w="2200"/>
        <w:gridCol w:w="1770"/>
      </w:tblGrid>
      <w:tr>
        <w:trPr>
          <w:tblHeader w:val="true"/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Profile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Recorded result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Evidence quality</w:t>
            </w:r>
          </w:p>
        </w:tc>
        <w:tc>
          <w:tcPr>
            <w:tcW w:type="dxa" w:w="177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Claim boundary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Current Maven verify</w:t>
            </w:r>
          </w:p>
        </w:tc>
        <w:tc>
          <w:tcPr>
            <w:tcW w:type="dxa" w:w="374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172/0/0/0; 49.278s build; 112 classes</w:t>
            </w:r>
          </w:p>
        </w:tc>
        <w:tc>
          <w:tcPr>
            <w:tcW w:type="dxa" w:w="22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Direct rerun at ff5e527, 2026-08-10</w:t>
            </w:r>
          </w:p>
        </w:tc>
        <w:tc>
          <w:tcPr>
            <w:tcW w:type="dxa" w:w="177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Automated verification, not runtime capacity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Catalog read baseline</w:t>
            </w:r>
          </w:p>
        </w:tc>
        <w:tc>
          <w:tcPr>
            <w:tcW w:type="dxa" w:w="374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9,544 requests; 79.44 req/s; avg 9.92ms; P95 17.93ms; P99 20.12ms; 0% failed</w:t>
            </w:r>
          </w:p>
        </w:tc>
        <w:tc>
          <w:tcPr>
            <w:tcW w:type="dxa" w:w="22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Saved report: reports/performance-baseline.md</w:t>
            </w:r>
          </w:p>
        </w:tc>
        <w:tc>
          <w:tcPr>
            <w:tcW w:type="dxa" w:w="177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Local Docker Compose; 300ms think time</w:t>
            </w:r>
          </w:p>
        </w:tc>
      </w:tr>
      <w:tr>
        <w:trPr>
          <w:cantSplit/>
        </w:trPr>
        <w:tc>
          <w:tcPr>
            <w:tcW w:type="dxa" w:w="16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High-rate catalog soak</w:t>
            </w:r>
          </w:p>
        </w:tc>
        <w:tc>
          <w:tcPr>
            <w:tcW w:type="dxa" w:w="374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5m @ 2,500 req/s; 750,000 requests; P95 0.84ms; P99 1.11ms; 0.07% client failures; no observed app 5xx</w:t>
            </w:r>
          </w:p>
        </w:tc>
        <w:tc>
          <w:tcPr>
            <w:tcW w:type="dxa" w:w="22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Documented result; raw k6 summary not retained</w:t>
            </w:r>
          </w:p>
        </w:tc>
        <w:tc>
          <w:tcPr>
            <w:tcW w:type="dxa" w:w="177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Do not present as production capacity/SLA</w:t>
            </w:r>
          </w:p>
        </w:tc>
      </w:tr>
      <w:tr>
        <w:trPr>
          <w:cantSplit/>
        </w:trPr>
        <w:tc>
          <w:tcPr>
            <w:tcW w:type="dxa" w:w="16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Payment idempotency drill</w:t>
            </w:r>
          </w:p>
        </w:tc>
        <w:tc>
          <w:tcPr>
            <w:tcW w:type="dxa" w:w="374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30 concurrent requests; 100% HTTP success; 1 payment row; 1 idempotency row; 0 duplicates</w:t>
            </w:r>
          </w:p>
        </w:tc>
        <w:tc>
          <w:tcPr>
            <w:tcW w:type="dxa" w:w="22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Documented k6 result; automated suite separately tests 8-way concurrency</w:t>
            </w:r>
          </w:p>
        </w:tc>
        <w:tc>
          <w:tcPr>
            <w:tcW w:type="dxa" w:w="177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Local command-deduplication evidence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FFF7E6" w:val="clear"/>
        <w:pBdr>
          <w:left w:val="single" w:sz="18" w:space="8" w:color="B7791F"/>
        </w:pBdr>
      </w:pPr>
      <w:r>
        <w:rPr>
          <w:rFonts w:ascii="Arial" w:hAnsi="Arial" w:eastAsia="Arial" w:cs="Arial"/>
          <w:b/>
          <w:color w:val="B7791F"/>
          <w:sz w:val="18"/>
        </w:rPr>
        <w:t xml:space="preserve">PERFORMANCE READING  </w:t>
      </w:r>
      <w:r>
        <w:rPr>
          <w:rFonts w:ascii="Arial" w:hAnsi="Arial" w:eastAsia="Arial" w:cs="Arial"/>
          <w:color w:val="1F2D3D"/>
          <w:sz w:val="18"/>
        </w:rPr>
        <w:t>The saved catalog baseline is directly traceable to a repository report. The higher-rate and 30-request drills are retained as documented observations because their raw k6 summaries are not stored alongside the code. The workload scripts exist, but a script definition is not the same as a preserved result artifact.</w:t>
      </w:r>
    </w:p>
    <w:p>
      <w:pPr>
        <w:pStyle w:val="Heading2"/>
      </w:pPr>
      <w:r>
        <w:t>6.2 Coverage and operability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2600"/>
        <w:gridCol w:w="1300"/>
        <w:gridCol w:w="1300"/>
        <w:gridCol w:w="416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Coverage fact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Instruction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Branch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Current clean verify</w:t>
            </w:r>
          </w:p>
        </w:tc>
        <w:tc>
          <w:tcPr>
            <w:tcW w:type="dxa" w:w="1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92.55%</w:t>
            </w:r>
          </w:p>
        </w:tc>
        <w:tc>
          <w:tcPr>
            <w:tcW w:type="dxa" w:w="1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82.75%</w:t>
            </w:r>
          </w:p>
        </w:tc>
        <w:tc>
          <w:tcPr>
            <w:tcW w:type="dxa" w:w="4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Release-current rerun used in this portfolio</w:t>
            </w:r>
          </w:p>
        </w:tc>
      </w:tr>
      <w:tr>
        <w:trPr>
          <w:cantSplit/>
        </w:trPr>
        <w:tc>
          <w:tcPr>
            <w:tcW w:type="dxa" w:w="26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Historical Phase 2.1 snapshot</w:t>
            </w:r>
          </w:p>
        </w:tc>
        <w:tc>
          <w:tcPr>
            <w:tcW w:type="dxa" w:w="1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89.78%</w:t>
            </w:r>
          </w:p>
        </w:tc>
        <w:tc>
          <w:tcPr>
            <w:tcW w:type="dxa" w:w="1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73.63%</w:t>
            </w:r>
          </w:p>
        </w:tc>
        <w:tc>
          <w:tcPr>
            <w:tcW w:type="dxa" w:w="4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Earlier evidence; not labeled current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Maven hard gate</w:t>
            </w:r>
          </w:p>
        </w:tc>
        <w:tc>
          <w:tcPr>
            <w:tcW w:type="dxa" w:w="1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85.00%</w:t>
            </w:r>
          </w:p>
        </w:tc>
        <w:tc>
          <w:tcPr>
            <w:tcW w:type="dxa" w:w="1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75.00%</w:t>
            </w:r>
          </w:p>
        </w:tc>
        <w:tc>
          <w:tcPr>
            <w:tcW w:type="dxa" w:w="416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Bundle minimum enforced during verify; current run passed</w:t>
            </w:r>
          </w:p>
        </w:tc>
      </w:tr>
      <w:tr>
        <w:trPr>
          <w:cantSplit/>
        </w:trPr>
        <w:tc>
          <w:tcPr>
            <w:tcW w:type="dxa" w:w="26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Regression reference</w:t>
            </w:r>
          </w:p>
        </w:tc>
        <w:tc>
          <w:tcPr>
            <w:tcW w:type="dxa" w:w="1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81.4756%</w:t>
            </w:r>
          </w:p>
        </w:tc>
        <w:tc>
          <w:tcPr>
            <w:tcW w:type="dxa" w:w="1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68.2927%</w:t>
            </w:r>
          </w:p>
        </w:tc>
        <w:tc>
          <w:tcPr>
            <w:tcW w:type="dxa" w:w="416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6"/>
              </w:rPr>
              <w:t>Secondary baseline; maximum absolute drop 0.005</w:t>
            </w:r>
          </w:p>
        </w:tc>
      </w:tr>
    </w:tbl>
    <w:p>
      <w:pPr>
        <w:spacing w:after="0" w:before="0"/>
      </w:pPr>
    </w:p>
    <w:p>
      <w:pPr>
        <w:numPr>
          <w:ilvl w:val="0"/>
          <w:numId w:val="10"/>
        </w:numPr>
        <w:spacing w:after="160" w:line="280" w:lineRule="auto"/>
      </w:pPr>
      <w:r>
        <w:rPr>
          <w:rFonts w:ascii="Arial" w:hAnsi="Arial" w:eastAsia="Arial" w:cs="Arial"/>
          <w:color w:val="1F2D3D"/>
          <w:sz w:val="21"/>
        </w:rPr>
        <w:t>Metrics: Actuator/Micrometer, Prometheus recording/alert rules, Grafana dashboards, Alertmanager routing.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Arial" w:hAnsi="Arial" w:eastAsia="Arial" w:cs="Arial"/>
          <w:color w:val="1F2D3D"/>
          <w:sz w:val="21"/>
        </w:rPr>
        <w:t>Tracing and logs: OpenTelemetry Collector/Tempo and Alloy/Loki with correlation IDs across HTTP, Outbox, Kafka, consumers, and DLT state.</w:t>
      </w:r>
    </w:p>
    <w:p>
      <w:pPr>
        <w:numPr>
          <w:ilvl w:val="0"/>
          <w:numId w:val="10"/>
        </w:numPr>
        <w:spacing w:after="160" w:line="280" w:lineRule="auto"/>
      </w:pPr>
      <w:r>
        <w:rPr>
          <w:rFonts w:ascii="Arial" w:hAnsi="Arial" w:eastAsia="Arial" w:cs="Arial"/>
          <w:color w:val="1F2D3D"/>
          <w:sz w:val="21"/>
        </w:rPr>
        <w:t>Operational playbooks cover application down, Outbox backlog/failure, DLT operations, PostgreSQL backup/restore, privacy retention, and secret rotation.</w:t>
      </w:r>
    </w:p>
    <w:p>
      <w:pPr>
        <w:pStyle w:val="Heading1"/>
        <w:pageBreakBefore/>
      </w:pPr>
      <w:r>
        <w:t>7. Recommended Production Reference Architecture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2371725"/>
            <wp:docPr id="5" name="Picture 5" descr="Proposed, not implemented, production architecture with edge security, multi-zone managed Kubernetes, workload identity and external secrets, managed data services, remote Terraform state, admission verification, and external SLI evidence." title="Fig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reference_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Figure 5 | Proposed production reference architecture — not implemented. Dashed boundaries and arrows intentionally distinguish the recommendation from verified current state.</w:t>
      </w:r>
    </w:p>
    <w:p>
      <w:pPr>
        <w:keepLines/>
        <w:spacing w:after="80"/>
      </w:pPr>
      <w:r>
        <w:rPr>
          <w:rFonts w:ascii="Arial" w:hAnsi="Arial" w:eastAsia="Arial" w:cs="Arial"/>
          <w:color w:val="1F2D3D"/>
          <w:sz w:val="18"/>
        </w:rPr>
        <w:t>The evolution preserves the strongest invariants—single-database business/outbox commit, command idempotency, consumer safety, and immutable artifact identity—while changing the failure domains, identity model, edge exposure, and operating evidence around them.</w:t>
      </w:r>
    </w:p>
    <w:p>
      <w:pPr>
        <w:pStyle w:val="Heading2"/>
      </w:pPr>
      <w:r>
        <w:t>7.1 Prioritized engineering sequence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950"/>
        <w:gridCol w:w="3300"/>
        <w:gridCol w:w="5110"/>
      </w:tblGrid>
      <w:tr>
        <w:trPr>
          <w:tblHeader w:val="true"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Priority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Engineering boundary</w:t>
            </w:r>
          </w:p>
        </w:tc>
        <w:tc>
          <w:tcPr>
            <w:tcW w:type="dxa" w:w="511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Required next evidence</w:t>
            </w:r>
          </w:p>
        </w:tc>
      </w:tr>
      <w:tr>
        <w:trPr>
          <w:cantSplit/>
        </w:trPr>
        <w:tc>
          <w:tcPr>
            <w:tcW w:type="dxa" w:w="9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P0</w:t>
            </w:r>
          </w:p>
        </w:tc>
        <w:tc>
          <w:tcPr>
            <w:tcW w:type="dxa" w:w="3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External secrets + workload identity</w:t>
            </w:r>
          </w:p>
        </w:tc>
        <w:tc>
          <w:tcPr>
            <w:tcW w:type="dxa" w:w="51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Remove environment/local-secret dependence; verify rotation and policy</w:t>
            </w:r>
          </w:p>
        </w:tc>
      </w:tr>
      <w:tr>
        <w:trPr>
          <w:cantSplit/>
        </w:trPr>
        <w:tc>
          <w:tcPr>
            <w:tcW w:type="dxa" w:w="9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P0</w:t>
            </w:r>
          </w:p>
        </w:tc>
        <w:tc>
          <w:tcPr>
            <w:tcW w:type="dxa" w:w="3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Restrict OCI public exposure</w:t>
            </w:r>
          </w:p>
        </w:tc>
        <w:tc>
          <w:tcPr>
            <w:tcW w:type="dxa" w:w="51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Close direct 8080; restrict SSH; place TLS/LB/WAF at the edge</w:t>
            </w:r>
          </w:p>
        </w:tc>
      </w:tr>
      <w:tr>
        <w:trPr>
          <w:cantSplit/>
        </w:trPr>
        <w:tc>
          <w:tcPr>
            <w:tcW w:type="dxa" w:w="9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P0</w:t>
            </w:r>
          </w:p>
        </w:tc>
        <w:tc>
          <w:tcPr>
            <w:tcW w:type="dxa" w:w="3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Remote Terraform state + locking</w:t>
            </w:r>
          </w:p>
        </w:tc>
        <w:tc>
          <w:tcPr>
            <w:tcW w:type="dxa" w:w="51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Encrypted shared state, locking, backup, and plan review before team use</w:t>
            </w:r>
          </w:p>
        </w:tc>
      </w:tr>
      <w:tr>
        <w:trPr>
          <w:cantSplit/>
        </w:trPr>
        <w:tc>
          <w:tcPr>
            <w:tcW w:type="dxa" w:w="9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P1</w:t>
            </w:r>
          </w:p>
        </w:tc>
        <w:tc>
          <w:tcPr>
            <w:tcW w:type="dxa" w:w="3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Managed multi-zone runtime</w:t>
            </w:r>
          </w:p>
        </w:tc>
        <w:tc>
          <w:tcPr>
            <w:tcW w:type="dxa" w:w="51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Deploy a deliberately scoped application platform across real failure domains</w:t>
            </w:r>
          </w:p>
        </w:tc>
      </w:tr>
      <w:tr>
        <w:trPr>
          <w:cantSplit/>
        </w:trPr>
        <w:tc>
          <w:tcPr>
            <w:tcW w:type="dxa" w:w="9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P1</w:t>
            </w:r>
          </w:p>
        </w:tc>
        <w:tc>
          <w:tcPr>
            <w:tcW w:type="dxa" w:w="3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Signed-image admission</w:t>
            </w:r>
          </w:p>
        </w:tc>
        <w:tc>
          <w:tcPr>
            <w:tcW w:type="dxa" w:w="51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Reject unsigned/unverified digests at cluster entry</w:t>
            </w:r>
          </w:p>
        </w:tc>
      </w:tr>
      <w:tr>
        <w:trPr>
          <w:cantSplit/>
        </w:trPr>
        <w:tc>
          <w:tcPr>
            <w:tcW w:type="dxa" w:w="9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P1</w:t>
            </w:r>
          </w:p>
        </w:tc>
        <w:tc>
          <w:tcPr>
            <w:tcW w:type="dxa" w:w="3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External SLI/SLO operation</w:t>
            </w:r>
          </w:p>
        </w:tc>
        <w:tc>
          <w:tcPr>
            <w:tcW w:type="dxa" w:w="51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Synthetic availability/latency, error budgets, incident/postmortem cadence</w:t>
            </w:r>
          </w:p>
        </w:tc>
      </w:tr>
      <w:tr>
        <w:trPr>
          <w:cantSplit/>
        </w:trPr>
        <w:tc>
          <w:tcPr>
            <w:tcW w:type="dxa" w:w="9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P1</w:t>
            </w:r>
          </w:p>
        </w:tc>
        <w:tc>
          <w:tcPr>
            <w:tcW w:type="dxa" w:w="3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Real payment-provider sandbox</w:t>
            </w:r>
          </w:p>
        </w:tc>
        <w:tc>
          <w:tcPr>
            <w:tcW w:type="dxa" w:w="51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Signed webhooks, reconciliation, provider-side idempotency</w:t>
            </w:r>
          </w:p>
        </w:tc>
      </w:tr>
      <w:tr>
        <w:trPr>
          <w:cantSplit/>
        </w:trPr>
        <w:tc>
          <w:tcPr>
            <w:tcW w:type="dxa" w:w="9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P1</w:t>
            </w:r>
          </w:p>
        </w:tc>
        <w:tc>
          <w:tcPr>
            <w:tcW w:type="dxa" w:w="3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Production endpoint hardening</w:t>
            </w:r>
          </w:p>
        </w:tc>
        <w:tc>
          <w:tcPr>
            <w:tcW w:type="dxa" w:w="51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Explicitly disable/protect SpringDoc UI/API docs in production</w:t>
            </w:r>
          </w:p>
        </w:tc>
      </w:tr>
      <w:tr>
        <w:trPr>
          <w:cantSplit/>
        </w:trPr>
        <w:tc>
          <w:tcPr>
            <w:tcW w:type="dxa" w:w="9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P2</w:t>
            </w:r>
          </w:p>
        </w:tc>
        <w:tc>
          <w:tcPr>
            <w:tcW w:type="dxa" w:w="33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Write/event-heavy soak and correlated failures</w:t>
            </w:r>
          </w:p>
        </w:tc>
        <w:tc>
          <w:tcPr>
            <w:tcW w:type="dxa" w:w="51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Exercise retry storms, saturation, and cross-component failure</w:t>
            </w:r>
          </w:p>
        </w:tc>
      </w:tr>
      <w:tr>
        <w:trPr>
          <w:cantSplit/>
        </w:trPr>
        <w:tc>
          <w:tcPr>
            <w:tcW w:type="dxa" w:w="9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P2</w:t>
            </w:r>
          </w:p>
        </w:tc>
        <w:tc>
          <w:tcPr>
            <w:tcW w:type="dxa" w:w="33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Repeated RPO/RTO and restore drills</w:t>
            </w:r>
          </w:p>
        </w:tc>
        <w:tc>
          <w:tcPr>
            <w:tcW w:type="dxa" w:w="51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4"/>
              </w:rPr>
              <w:t>Build distributions and trends rather than one-off measurements</w:t>
            </w:r>
          </w:p>
        </w:tc>
      </w:tr>
    </w:tbl>
    <w:p>
      <w:pPr>
        <w:spacing w:after="0" w:before="0"/>
      </w:pPr>
    </w:p>
    <w:p>
      <w:pPr>
        <w:pStyle w:val="Heading1"/>
        <w:pageBreakBefore/>
      </w:pPr>
      <w:r>
        <w:t>8. Senior Engineering Assessment and Evidence Index</w:t>
      </w:r>
    </w:p>
    <w:p>
      <w:pPr>
        <w:keepLines/>
        <w:spacing w:before="80" w:after="160" w:line="254" w:lineRule="auto"/>
        <w:ind w:left="160" w:right="160"/>
        <w:shd w:fill="EAF2F8" w:val="clear"/>
        <w:pBdr>
          <w:left w:val="single" w:sz="18" w:space="8" w:color="2E74B5"/>
        </w:pBdr>
      </w:pPr>
      <w:r>
        <w:rPr>
          <w:rFonts w:ascii="Arial" w:hAnsi="Arial" w:eastAsia="Arial" w:cs="Arial"/>
          <w:b/>
          <w:color w:val="2E74B5"/>
          <w:sz w:val="18"/>
        </w:rPr>
        <w:t xml:space="preserve">ASSESSMENT  </w:t>
      </w:r>
      <w:r>
        <w:rPr>
          <w:rFonts w:ascii="Arial" w:hAnsi="Arial" w:eastAsia="Arial" w:cs="Arial"/>
          <w:color w:val="1F2D3D"/>
          <w:sz w:val="18"/>
        </w:rPr>
        <w:t>The portfolio demonstrates advanced student / strong junior backend-platform execution, with selected early mid-level reasoning in transaction boundaries, durable state machines, failure reconciliation, restore validation, negative-result preservation, supply-chain provenance, and brownfield IaC. It should not be represented as production-proven senior engineering until real multi-zone operation, identity/secrets, live traffic and incidents, SLO/error-budget history, cost ownership, and third-party integration responsibility are evidenced.</w:t>
      </w:r>
    </w:p>
    <w:p>
      <w:pPr>
        <w:keepLines/>
        <w:spacing w:after="80"/>
      </w:pPr>
      <w:r>
        <w:rPr>
          <w:rFonts w:ascii="Arial" w:hAnsi="Arial" w:eastAsia="Arial" w:cs="Arial"/>
          <w:color w:val="1F2D3D"/>
          <w:sz w:val="20"/>
        </w:rPr>
        <w:t>A senior reviewer should value the project’s honesty as much as its feature depth. The Kubernetes drill records client-visible transport failure rather than hiding behind eventual controller recovery. PostgreSQL and Kafka claims reconcile acknowledged operations against recovered durable state. Redis retains its asynchronous-replication caveat. Phase 8 distinguishes owning a cloud development boundary from proving that the application platform runs there.</w:t>
      </w:r>
    </w:p>
    <w:p>
      <w:pPr>
        <w:pStyle w:val="Heading2"/>
      </w:pPr>
      <w:r>
        <w:t>8.1 Primary evidence ledger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space="0" w:color="C7D4E2"/>
          <w:left w:val="single" w:sz="4" w:space="0" w:color="C7D4E2"/>
          <w:bottom w:val="single" w:sz="4" w:space="0" w:color="C7D4E2"/>
          <w:right w:val="single" w:sz="4" w:space="0" w:color="C7D4E2"/>
          <w:insideH w:val="single" w:sz="4" w:space="0" w:color="C7D4E2"/>
          <w:insideV w:val="single" w:sz="4" w:space="0" w:color="C7D4E2"/>
        </w:tblBorders>
      </w:tblPr>
      <w:tblGrid>
        <w:gridCol w:w="1800"/>
        <w:gridCol w:w="3850"/>
        <w:gridCol w:w="371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Milestone / area</w:t>
            </w:r>
          </w:p>
        </w:tc>
        <w:tc>
          <w:tcPr>
            <w:tcW w:type="dxa" w:w="385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Repository evidence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shd w:fill="EAF2F8" w:val="clear"/>
            <w:vAlign w:val="center"/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B2545"/>
                <w:sz w:val="18"/>
              </w:rPr>
              <w:t>Primary verified point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Current main</w:t>
            </w:r>
          </w:p>
        </w:tc>
        <w:tc>
          <w:tcPr>
            <w:tcW w:type="dxa" w:w="38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pom.xml; verification/phase8/*; clean rerun</w:t>
            </w:r>
          </w:p>
        </w:tc>
        <w:tc>
          <w:tcPr>
            <w:tcW w:type="dxa" w:w="37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172 tests; 92.55% instruction; 82.75% branch</w:t>
            </w:r>
          </w:p>
        </w:tc>
      </w:tr>
      <w:tr>
        <w:trPr>
          <w:cantSplit/>
        </w:trPr>
        <w:tc>
          <w:tcPr>
            <w:tcW w:type="dxa" w:w="1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2.1</w:t>
            </w:r>
          </w:p>
        </w:tc>
        <w:tc>
          <w:tcPr>
            <w:tcW w:type="dxa" w:w="38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verification/phase21_reliability_verification.md</w:t>
            </w:r>
          </w:p>
        </w:tc>
        <w:tc>
          <w:tcPr>
            <w:tcW w:type="dxa" w:w="37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Historical coverage, reliability drills, alert evidence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3 / 3.3</w:t>
            </w:r>
          </w:p>
        </w:tc>
        <w:tc>
          <w:tcPr>
            <w:tcW w:type="dxa" w:w="38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verification/phase3/*.md</w:t>
            </w:r>
          </w:p>
        </w:tc>
        <w:tc>
          <w:tcPr>
            <w:tcW w:type="dxa" w:w="37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HPA, 90-event Outbox concurrency, hard-worker recovery</w:t>
            </w:r>
          </w:p>
        </w:tc>
      </w:tr>
      <w:tr>
        <w:trPr>
          <w:cantSplit/>
        </w:trPr>
        <w:tc>
          <w:tcPr>
            <w:tcW w:type="dxa" w:w="1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4</w:t>
            </w:r>
          </w:p>
        </w:tc>
        <w:tc>
          <w:tcPr>
            <w:tcW w:type="dxa" w:w="38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verification/phase4/*.md and saved restore artifacts</w:t>
            </w:r>
          </w:p>
        </w:tc>
        <w:tc>
          <w:tcPr>
            <w:tcW w:type="dxa" w:w="37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CNPG failover, 51.543s RTO, 3,864-row independent restore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5</w:t>
            </w:r>
          </w:p>
        </w:tc>
        <w:tc>
          <w:tcPr>
            <w:tcW w:type="dxa" w:w="38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verification/phase5/message_reconciliation.txt</w:t>
            </w:r>
          </w:p>
        </w:tc>
        <w:tc>
          <w:tcPr>
            <w:tcW w:type="dxa" w:w="37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3,733 ACK values reconciled with 0 missing</w:t>
            </w:r>
          </w:p>
        </w:tc>
      </w:tr>
      <w:tr>
        <w:trPr>
          <w:cantSplit/>
        </w:trPr>
        <w:tc>
          <w:tcPr>
            <w:tcW w:type="dxa" w:w="1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6</w:t>
            </w:r>
          </w:p>
        </w:tc>
        <w:tc>
          <w:tcPr>
            <w:tcW w:type="dxa" w:w="38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verification/phase6/redis_ha_failover_verification.md</w:t>
            </w:r>
          </w:p>
        </w:tc>
        <w:tc>
          <w:tcPr>
            <w:tcW w:type="dxa" w:w="37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Sentinel promotion ~T+18s and topology recovery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7</w:t>
            </w:r>
          </w:p>
        </w:tc>
        <w:tc>
          <w:tcPr>
            <w:tcW w:type="dxa" w:w="38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verification/phase7/software_supply_chain_security.md; workflow YAML</w:t>
            </w:r>
          </w:p>
        </w:tc>
        <w:tc>
          <w:tcPr>
            <w:tcW w:type="dxa" w:w="37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SBOM, Trivy, digest, signing, provenance</w:t>
            </w:r>
          </w:p>
        </w:tc>
      </w:tr>
      <w:tr>
        <w:trPr>
          <w:cantSplit/>
        </w:trPr>
        <w:tc>
          <w:tcPr>
            <w:tcW w:type="dxa" w:w="180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Phase 8</w:t>
            </w:r>
          </w:p>
        </w:tc>
        <w:tc>
          <w:tcPr>
            <w:tcW w:type="dxa" w:w="385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infra/terraform/oci; verification/phase8/*</w:t>
            </w:r>
          </w:p>
        </w:tc>
        <w:tc>
          <w:tcPr>
            <w:tcW w:type="dxa" w:w="3710"/>
            <w:shd w:fill="F5F8FB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Brownfield adoption, No changes, SSH/Agent/Run Command/reboot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Performance</w:t>
            </w:r>
          </w:p>
        </w:tc>
        <w:tc>
          <w:tcPr>
            <w:tcW w:type="dxa" w:w="385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reports/performance-baseline.md; load-tests/*.js</w:t>
            </w:r>
          </w:p>
        </w:tc>
        <w:tc>
          <w:tcPr>
            <w:tcW w:type="dxa" w:w="3710"/>
            <w:shd w:fill="FFFFFF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Arial" w:hAnsi="Arial" w:eastAsia="Arial" w:cs="Arial"/>
                <w:b w:val="0"/>
                <w:color w:val="1F2D3D"/>
                <w:sz w:val="15"/>
              </w:rPr>
              <w:t>Saved catalog baseline plus reproducible workload definitions</w:t>
            </w:r>
          </w:p>
        </w:tc>
      </w:tr>
    </w:tbl>
    <w:p>
      <w:pPr>
        <w:spacing w:after="0" w:before="0"/>
      </w:pPr>
    </w:p>
    <w:p>
      <w:pPr>
        <w:keepLines/>
        <w:spacing w:before="80" w:after="160" w:line="254" w:lineRule="auto"/>
        <w:ind w:left="160" w:right="160"/>
        <w:shd w:fill="EDF7EF" w:val="clear"/>
        <w:pBdr>
          <w:left w:val="single" w:sz="18" w:space="8" w:color="2E7D32"/>
        </w:pBdr>
      </w:pPr>
      <w:r>
        <w:rPr>
          <w:rFonts w:ascii="Arial" w:hAnsi="Arial" w:eastAsia="Arial" w:cs="Arial"/>
          <w:b/>
          <w:color w:val="2E7D32"/>
          <w:sz w:val="18"/>
        </w:rPr>
        <w:t xml:space="preserve">FINAL POSITIONING  </w:t>
      </w:r>
      <w:r>
        <w:rPr>
          <w:rFonts w:ascii="Arial" w:hAnsi="Arial" w:eastAsia="Arial" w:cs="Arial"/>
          <w:color w:val="1F2D3D"/>
          <w:sz w:val="18"/>
        </w:rPr>
        <w:t>A production-minded, event-driven Spring Boot backend and platform-engineering portfolio with verified transactional correctness, recoverable delivery, local multi-node/stateful failure drills, observability, signed/attested artifact promotion, and OCI brownfield IaC operations—while explicitly separating implemented mechanisms, executed observations, current boundaries, and proposed next architecture.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224" w:right="1440" w:bottom="1224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6500"/>
      <w:gridCol w:w="2860"/>
    </w:tblGrid>
    <w:tr>
      <w:trPr>
        <w:tblHeader w:val="true"/>
      </w:trPr>
      <w:tc>
        <w:tcPr>
          <w:tcW w:type="dxa" w:w="650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Arial" w:cs="Arial"/>
              <w:b/>
              <w:color w:val="6B7C8F"/>
              <w:sz w:val="16"/>
            </w:rPr>
            <w:t>RAVAN CHUANG  ·  VERIFIED 2026-08-10  ·  EVIDENCE BEFORE ASSERTION</w:t>
          </w:r>
        </w:p>
      </w:tc>
      <w:tc>
        <w:tcPr>
          <w:tcW w:type="dxa" w:w="28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Arial" w:cs="Arial"/>
              <w:b/>
              <w:color w:val="6B7C8F"/>
              <w:sz w:val="16"/>
            </w:rPr>
            <w:t xml:space="preserve">PAGE </w:t>
            <w:fldChar w:fldCharType="begin"/>
            <w:instrText xml:space="preserve"> PAGE </w:instrText>
            <w:fldChar w:fldCharType="separate"/>
            <w:t>1</w:t>
            <w:fldChar w:fldCharType="end"/>
          </w:r>
          <w:r>
            <w:rPr>
              <w:rFonts w:ascii="Arial" w:hAnsi="Arial" w:eastAsia="Arial" w:cs="Arial"/>
              <w:b/>
              <w:color w:val="6B7C8F"/>
              <w:sz w:val="16"/>
            </w:rPr>
            <w:t xml:space="preserve"> OF </w:t>
            <w:fldChar w:fldCharType="begin"/>
            <w:instrText xml:space="preserve"> NUMPAGES </w:instrText>
            <w:fldChar w:fldCharType="separate"/>
            <w:t>1</w: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/>
        <w:color w:val="6B7C8F"/>
        <w:sz w:val="17"/>
      </w:rPr>
      <w:t>RAVAN CHUANG  ·  VERIFIED 2026-08-10  ·  MAIN ff5e527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200"/>
      <w:gridCol w:w="4160"/>
    </w:tblGrid>
    <w:tr>
      <w:trPr>
        <w:tblHeader w:val="true"/>
      </w:trPr>
      <w:tc>
        <w:tcPr>
          <w:tcW w:type="dxa" w:w="520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Arial" w:cs="Arial"/>
              <w:b/>
              <w:color w:val="0B2545"/>
              <w:sz w:val="17"/>
            </w:rPr>
            <w:t>SPRING BOOT E-COMMERCE BACKEND</w:t>
          </w:r>
        </w:p>
      </w:tc>
      <w:tc>
        <w:tcPr>
          <w:tcW w:type="dxa" w:w="41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Arial" w:cs="Arial"/>
              <w:b/>
              <w:color w:val="6B7C8F"/>
              <w:sz w:val="17"/>
            </w:rPr>
            <w:t>SYSTEM DESIGN &amp; RELIABILITY PORTFOLIO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160" w:line="280" w:lineRule="auto"/>
      </w:pPr>
      <w:rPr>
        <w:rFonts w:ascii="Arial" w:hAnsi="Arial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  <w:jc w:val="left"/>
    </w:pPr>
    <w:rPr>
      <w:rFonts w:ascii="Arial" w:hAnsi="Arial" w:eastAsia="Arial" w:cs="Arial"/>
      <w:color w:val="1F2D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52" w:lineRule="auto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52" w:lineRule="auto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 w:eastAsia="Arial" w:cs="Arial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264" w:lineRule="auto"/>
    </w:pPr>
    <w:rPr>
      <w:rFonts w:asciiTheme="majorHAnsi" w:eastAsiaTheme="majorEastAsia" w:hAnsiTheme="majorHAnsi" w:cstheme="majorBidi" w:ascii="Arial" w:hAnsi="Arial" w:eastAsia="Arial" w:cs="Arial"/>
      <w:i/>
      <w:iCs/>
      <w:color w:val="5265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60"/>
      <w:jc w:val="center"/>
    </w:pPr>
    <w:rPr>
      <w:rFonts w:ascii="Arial" w:hAnsi="Arial" w:eastAsia="Arial" w:cs="Arial"/>
      <w:b/>
      <w:bCs/>
      <w:i/>
      <w:color w:val="6B7C8F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github.com/ravan-chuang/spring-boot-ecommerce-backend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Spring Boot E-Commerce Backend — System Design &amp; Engineering Portfolio</dc:title>
  <dc:subject>Evidence-led system design, reliability, supply-chain security, and OCI IaC portfolio</dc:subject>
  <dc:creator>Ravan Chuang</dc:creator>
  <cp:keywords>Spring Boot, Java, PostgreSQL, Kafka, Redis, Kubernetes, Terraform, OCI, reliability</cp:keywords>
  <dc:description>Professionally revised and verified against repository evidence on 2026-08-10.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