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8A"/>
          <w:sz w:val="44"/>
        </w:rPr>
        <w:t>Query-to-Slide Dashboard</w:t>
      </w:r>
    </w:p>
    <w:p>
      <w:pPr>
        <w:spacing w:after="200"/>
      </w:pPr>
      <w:r>
        <w:rPr>
          <w:b/>
          <w:color w:val="D97706"/>
          <w:sz w:val="26"/>
        </w:rPr>
        <w:t>Delivery Plan &amp; Timeline</w:t>
      </w:r>
    </w:p>
    <w:p>
      <w:pPr>
        <w:spacing w:after="40"/>
      </w:pPr>
      <w:r>
        <w:rPr>
          <w:b/>
          <w:color w:val="1E40AF"/>
          <w:sz w:val="20"/>
        </w:rPr>
        <w:t xml:space="preserve">Duration:  </w:t>
      </w:r>
      <w:r>
        <w:rPr>
          <w:sz w:val="20"/>
        </w:rPr>
        <w:t>6 weeks (30 working days). Achievable in 5 weeks if the dashboard build runs in parallel.</w:t>
      </w:r>
    </w:p>
    <w:p>
      <w:pPr>
        <w:spacing w:after="40"/>
      </w:pPr>
      <w:r>
        <w:rPr>
          <w:b/>
          <w:color w:val="1E40AF"/>
          <w:sz w:val="20"/>
        </w:rPr>
        <w:t xml:space="preserve">Scope:  </w:t>
      </w:r>
      <w:r>
        <w:rPr>
          <w:sz w:val="20"/>
        </w:rPr>
        <w:t>A self-service dashboard that keeps prescription-trend reports current — it flags when new data arrives, refreshes saved reports on one click, and produces presentation-ready slides. No spreadsheets, no formulas, no code for the business user.</w:t>
      </w:r>
    </w:p>
    <w:p>
      <w:pPr>
        <w:spacing w:after="40"/>
      </w:pPr>
      <w:r>
        <w:rPr>
          <w:b/>
          <w:color w:val="1E40AF"/>
          <w:sz w:val="20"/>
        </w:rPr>
        <w:t xml:space="preserve">Prerequisites at kickoff:  </w:t>
      </w:r>
      <w:r>
        <w:rPr>
          <w:sz w:val="20"/>
        </w:rPr>
        <w:t>data access, the reference PowerPoint, the existing calculation logic, and documented business rules.</w:t>
      </w:r>
    </w:p>
    <w:p>
      <w:pPr>
        <w:spacing w:before="280" w:after="120"/>
      </w:pPr>
      <w:r>
        <w:rPr>
          <w:b/>
          <w:color w:val="1E3A8A"/>
          <w:sz w:val="30"/>
        </w:rPr>
        <w:t>Week-by-Week Plan</w:t>
      </w:r>
    </w:p>
    <w:p>
      <w:pPr>
        <w:spacing w:before="240" w:after="60"/>
      </w:pPr>
      <w:r>
        <w:rPr>
          <w:b/>
          <w:color w:val="1E40AF"/>
          <w:sz w:val="25"/>
        </w:rPr>
        <w:t>Week 1 — Foundation: data &amp; business rules</w:t>
      </w:r>
    </w:p>
    <w:p>
      <w:pPr>
        <w:spacing w:after="80"/>
      </w:pPr>
      <w:r>
        <w:rPr>
          <w:i/>
          <w:color w:val="64748B"/>
          <w:sz w:val="20"/>
        </w:rPr>
        <w:t>We turn the raw data files and your business rules into a clean, reliable foundation. Nothing built later can be trusted until this is locked.</w:t>
      </w:r>
    </w:p>
    <w:p>
      <w:pPr>
        <w:pStyle w:val="ListBullet"/>
        <w:spacing w:after="20"/>
      </w:pPr>
      <w:r>
        <w:rPr>
          <w:sz w:val="20"/>
        </w:rPr>
        <w:t>Confirm data access; check the data is complete and current.</w:t>
      </w:r>
    </w:p>
    <w:p>
      <w:pPr>
        <w:pStyle w:val="ListBullet"/>
        <w:spacing w:after="20"/>
      </w:pPr>
      <w:r>
        <w:rPr>
          <w:sz w:val="20"/>
        </w:rPr>
        <w:t>Map the data sources and define how they connect to each other.</w:t>
      </w:r>
    </w:p>
    <w:p>
      <w:pPr>
        <w:pStyle w:val="ListBullet"/>
        <w:spacing w:after="20"/>
      </w:pPr>
      <w:r>
        <w:rPr>
          <w:sz w:val="20"/>
        </w:rPr>
        <w:t>Translate your existing business rules into a reusable, documented rule library.</w:t>
      </w:r>
    </w:p>
    <w:p>
      <w:pPr>
        <w:pStyle w:val="ListBullet"/>
        <w:spacing w:after="20"/>
      </w:pPr>
      <w:r>
        <w:rPr>
          <w:sz w:val="20"/>
        </w:rPr>
        <w:t>Stand up automated data-quality checks that pause the system if data arrives in an unexpected shape.</w:t>
      </w:r>
    </w:p>
    <w:p>
      <w:pPr>
        <w:spacing w:before="40"/>
      </w:pPr>
      <w:r>
        <w:rPr>
          <w:b/>
          <w:color w:val="D97706"/>
          <w:sz w:val="20"/>
        </w:rPr>
        <w:t>Milestone M1 — Data foundation locked.</w:t>
      </w:r>
    </w:p>
    <w:p>
      <w:pPr>
        <w:spacing w:before="240" w:after="60"/>
      </w:pPr>
      <w:r>
        <w:rPr>
          <w:b/>
          <w:color w:val="1E40AF"/>
          <w:sz w:val="25"/>
        </w:rPr>
        <w:t>Week 2 — Reporting engine: from question to validated result</w:t>
      </w:r>
    </w:p>
    <w:p>
      <w:pPr>
        <w:spacing w:after="80"/>
      </w:pPr>
      <w:r>
        <w:rPr>
          <w:i/>
          <w:color w:val="64748B"/>
          <w:sz w:val="20"/>
        </w:rPr>
        <w:t>We build the core calculation logic for the first report and prove it against an existing slide.</w:t>
      </w:r>
    </w:p>
    <w:p>
      <w:pPr>
        <w:pStyle w:val="ListBullet"/>
        <w:spacing w:after="20"/>
      </w:pPr>
      <w:r>
        <w:rPr>
          <w:sz w:val="20"/>
        </w:rPr>
        <w:t>Build the report logic for the first report, end-to-end.</w:t>
      </w:r>
    </w:p>
    <w:p>
      <w:pPr>
        <w:pStyle w:val="ListBullet"/>
        <w:spacing w:after="20"/>
      </w:pPr>
      <w:r>
        <w:rPr>
          <w:sz w:val="20"/>
        </w:rPr>
        <w:t>Reconcile the output against the existing slide — numbers must match exactly.</w:t>
      </w:r>
    </w:p>
    <w:p>
      <w:pPr>
        <w:pStyle w:val="ListBullet"/>
        <w:spacing w:after="20"/>
      </w:pPr>
      <w:r>
        <w:rPr>
          <w:sz w:val="20"/>
        </w:rPr>
        <w:t>Add automatic result checks and plain-English written takeaways for every result.</w:t>
      </w:r>
    </w:p>
    <w:p>
      <w:pPr>
        <w:spacing w:before="40"/>
      </w:pPr>
      <w:r>
        <w:rPr>
          <w:b/>
          <w:color w:val="D97706"/>
          <w:sz w:val="20"/>
        </w:rPr>
        <w:t>Milestone M2 — Numbers match the source exactly.</w:t>
      </w:r>
    </w:p>
    <w:p>
      <w:pPr>
        <w:spacing w:before="240" w:after="60"/>
      </w:pPr>
      <w:r>
        <w:rPr>
          <w:b/>
          <w:color w:val="1E40AF"/>
          <w:sz w:val="25"/>
        </w:rPr>
        <w:t>Week 3 — Branded slides &amp; report family</w:t>
      </w:r>
    </w:p>
    <w:p>
      <w:pPr>
        <w:spacing w:after="80"/>
      </w:pPr>
      <w:r>
        <w:rPr>
          <w:i/>
          <w:color w:val="64748B"/>
          <w:sz w:val="20"/>
        </w:rPr>
        <w:t>We generate presentation-ready slides that match your template, and extend the logic across the report family.</w:t>
      </w:r>
    </w:p>
    <w:p>
      <w:pPr>
        <w:pStyle w:val="ListBullet"/>
        <w:spacing w:after="20"/>
      </w:pPr>
      <w:r>
        <w:rPr>
          <w:sz w:val="20"/>
        </w:rPr>
        <w:t>Build the slide generator so output matches your branded reference deck.</w:t>
      </w:r>
    </w:p>
    <w:p>
      <w:pPr>
        <w:pStyle w:val="ListBullet"/>
        <w:spacing w:after="20"/>
      </w:pPr>
      <w:r>
        <w:rPr>
          <w:sz w:val="20"/>
        </w:rPr>
        <w:t>Review generated slides side-by-side against the reference and refine the styling.</w:t>
      </w:r>
    </w:p>
    <w:p>
      <w:pPr>
        <w:pStyle w:val="ListBullet"/>
        <w:spacing w:after="20"/>
      </w:pPr>
      <w:r>
        <w:rPr>
          <w:sz w:val="20"/>
        </w:rPr>
        <w:t>Extend the report logic across the wider report family, with capability-ready placeholders for future reports.</w:t>
      </w:r>
    </w:p>
    <w:p>
      <w:pPr>
        <w:spacing w:before="40"/>
      </w:pPr>
      <w:r>
        <w:rPr>
          <w:b/>
          <w:color w:val="D97706"/>
          <w:sz w:val="20"/>
        </w:rPr>
        <w:t>Milestone M3 — Branded slides auto-built.</w:t>
      </w:r>
    </w:p>
    <w:p>
      <w:pPr>
        <w:spacing w:before="240" w:after="60"/>
      </w:pPr>
      <w:r>
        <w:rPr>
          <w:b/>
          <w:color w:val="1E40AF"/>
          <w:sz w:val="25"/>
        </w:rPr>
        <w:t>Week 4 — Dashboard: the refresh engine</w:t>
      </w:r>
    </w:p>
    <w:p>
      <w:pPr>
        <w:spacing w:after="80"/>
      </w:pPr>
      <w:r>
        <w:rPr>
          <w:i/>
          <w:color w:val="64748B"/>
          <w:sz w:val="20"/>
        </w:rPr>
        <w:t>We build the behind-the-scenes engine that tracks data freshness and refreshes reports on demand.</w:t>
      </w:r>
    </w:p>
    <w:p>
      <w:pPr>
        <w:pStyle w:val="ListBullet"/>
        <w:spacing w:after="20"/>
      </w:pPr>
      <w:r>
        <w:rPr>
          <w:sz w:val="20"/>
        </w:rPr>
        <w:t>Build data-freshness tracking and the status labels (in sync / data updated / fresh / stale).</w:t>
      </w:r>
    </w:p>
    <w:p>
      <w:pPr>
        <w:pStyle w:val="ListBullet"/>
        <w:spacing w:after="20"/>
      </w:pPr>
      <w:r>
        <w:rPr>
          <w:sz w:val="20"/>
        </w:rPr>
        <w:t>Build the three refresh depths: Check (look only), Update data (accept new data), Full refresh (recalculate reports and rebuild slides).</w:t>
      </w:r>
    </w:p>
    <w:p>
      <w:pPr>
        <w:pStyle w:val="ListBullet"/>
        <w:spacing w:after="20"/>
      </w:pPr>
      <w:r>
        <w:rPr>
          <w:sz w:val="20"/>
        </w:rPr>
        <w:t>Add a safe practice mode — simulate new data and reset back to the real numbers.</w:t>
      </w:r>
    </w:p>
    <w:p>
      <w:pPr>
        <w:spacing w:before="40"/>
      </w:pPr>
      <w:r>
        <w:rPr>
          <w:b/>
          <w:color w:val="D97706"/>
          <w:sz w:val="20"/>
        </w:rPr>
        <w:t>Milestone M4 — Refresh engine operational.</w:t>
      </w:r>
    </w:p>
    <w:p>
      <w:pPr>
        <w:spacing w:before="240" w:after="60"/>
      </w:pPr>
      <w:r>
        <w:rPr>
          <w:b/>
          <w:color w:val="1E40AF"/>
          <w:sz w:val="25"/>
        </w:rPr>
        <w:t>Week 5 — Dashboard: the screens</w:t>
      </w:r>
    </w:p>
    <w:p>
      <w:pPr>
        <w:spacing w:after="80"/>
      </w:pPr>
      <w:r>
        <w:rPr>
          <w:i/>
          <w:color w:val="64748B"/>
          <w:sz w:val="20"/>
        </w:rPr>
        <w:t>We build the screens the business user sees and connect everything end-to-end.</w:t>
      </w:r>
    </w:p>
    <w:p>
      <w:pPr>
        <w:pStyle w:val="ListBullet"/>
        <w:spacing w:after="20"/>
      </w:pPr>
      <w:r>
        <w:rPr>
          <w:sz w:val="20"/>
        </w:rPr>
        <w:t>Build the four sections: data status, refresh, saved reports, and results.</w:t>
      </w:r>
    </w:p>
    <w:p>
      <w:pPr>
        <w:pStyle w:val="ListBullet"/>
        <w:spacing w:after="20"/>
      </w:pPr>
      <w:r>
        <w:rPr>
          <w:sz w:val="20"/>
        </w:rPr>
        <w:t>Add the status labels, trend charts, quality checks, and downloadable slides.</w:t>
      </w:r>
    </w:p>
    <w:p>
      <w:pPr>
        <w:pStyle w:val="ListBullet"/>
        <w:spacing w:after="20"/>
      </w:pPr>
      <w:r>
        <w:rPr>
          <w:sz w:val="20"/>
        </w:rPr>
        <w:t>Connect the screens to the engine and test the full click-through.</w:t>
      </w:r>
    </w:p>
    <w:p>
      <w:pPr>
        <w:spacing w:before="40"/>
      </w:pPr>
      <w:r>
        <w:rPr>
          <w:b/>
          <w:color w:val="D97706"/>
          <w:sz w:val="20"/>
        </w:rPr>
        <w:t>Milestone M5 — Working dashboard, click-through complete.</w:t>
      </w:r>
    </w:p>
    <w:p>
      <w:pPr>
        <w:spacing w:before="240" w:after="60"/>
      </w:pPr>
      <w:r>
        <w:rPr>
          <w:b/>
          <w:color w:val="1E40AF"/>
          <w:sz w:val="25"/>
        </w:rPr>
        <w:t>Week 6 — Launch: testing, deployment &amp; handover</w:t>
      </w:r>
    </w:p>
    <w:p>
      <w:pPr>
        <w:spacing w:after="80"/>
      </w:pPr>
      <w:r>
        <w:rPr>
          <w:i/>
          <w:color w:val="64748B"/>
          <w:sz w:val="20"/>
        </w:rPr>
        <w:t>We harden the system, deploy it, and hand it over to your team.</w:t>
      </w:r>
    </w:p>
    <w:p>
      <w:pPr>
        <w:pStyle w:val="ListBullet"/>
        <w:spacing w:after="20"/>
      </w:pPr>
      <w:r>
        <w:rPr>
          <w:sz w:val="20"/>
        </w:rPr>
        <w:t>Handle edge cases gracefully — unexpected data, interrupted jobs, held-back results.</w:t>
      </w:r>
    </w:p>
    <w:p>
      <w:pPr>
        <w:pStyle w:val="ListBullet"/>
        <w:spacing w:after="20"/>
      </w:pPr>
      <w:r>
        <w:rPr>
          <w:sz w:val="20"/>
        </w:rPr>
        <w:t>Deploy to a hosted environment and publish the built-in user guide; provide a live link.</w:t>
      </w:r>
    </w:p>
    <w:p>
      <w:pPr>
        <w:pStyle w:val="ListBullet"/>
        <w:spacing w:after="20"/>
      </w:pPr>
      <w:r>
        <w:rPr>
          <w:sz w:val="20"/>
        </w:rPr>
        <w:t>Run user-acceptance testing with your team and resolve the fix list.</w:t>
      </w:r>
    </w:p>
    <w:p>
      <w:pPr>
        <w:pStyle w:val="ListBullet"/>
        <w:spacing w:after="20"/>
      </w:pPr>
      <w:r>
        <w:rPr>
          <w:sz w:val="20"/>
        </w:rPr>
        <w:t>Train business users and the analytics contact; complete handover.</w:t>
      </w:r>
    </w:p>
    <w:p>
      <w:pPr>
        <w:spacing w:before="40"/>
      </w:pPr>
      <w:r>
        <w:rPr>
          <w:b/>
          <w:color w:val="D97706"/>
          <w:sz w:val="20"/>
        </w:rPr>
        <w:t>Milestone M6 — Go-live &amp; handover.</w:t>
      </w:r>
    </w:p>
    <w:p>
      <w:r>
        <w:br w:type="page"/>
      </w:r>
    </w:p>
    <w:p>
      <w:pPr>
        <w:spacing w:before="280" w:after="120"/>
      </w:pPr>
      <w:r>
        <w:rPr>
          <w:b/>
          <w:color w:val="1E3A8A"/>
          <w:sz w:val="30"/>
        </w:rPr>
        <w:t>Task Schedule (Gantt-ready)</w:t>
      </w:r>
    </w:p>
    <w:p>
      <w:pPr>
        <w:spacing w:after="160"/>
      </w:pPr>
      <w:r>
        <w:rPr>
          <w:i/>
          <w:color w:val="64748B"/>
          <w:sz w:val="19"/>
        </w:rPr>
        <w:t>Day numbers are working days from kickoff (Day 1). Dependencies reference Task 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val="clear" w:fill="1E3A8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24"/>
            <w:shd w:val="clear" w:fill="1E3A8A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872"/>
            <w:shd w:val="clear" w:fill="1E3A8A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720"/>
            <w:shd w:val="clear" w:fill="1E3A8A"/>
          </w:tcPr>
          <w:p>
            <w:r/>
            <w:r>
              <w:rPr>
                <w:b/>
                <w:color w:val="FFFFFF"/>
                <w:sz w:val="18"/>
              </w:rPr>
              <w:t>Start</w:t>
            </w:r>
          </w:p>
        </w:tc>
        <w:tc>
          <w:tcPr>
            <w:tcW w:type="dxa" w:w="576"/>
            <w:shd w:val="clear" w:fill="1E3A8A"/>
          </w:tcPr>
          <w:p>
            <w:r/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1152"/>
            <w:shd w:val="clear" w:fill="1E3A8A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1296"/>
            <w:shd w:val="clear" w:fill="1E3A8A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1.1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Data access &amp; profiling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Foundation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1.2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Map data sources &amp; connections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Foundation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1.3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Convert business rules to rule library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Foundation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fill="FEF3C7"/>
          </w:tcPr>
          <w:p>
            <w:r/>
            <w:r>
              <w:rPr>
                <w:b/>
                <w:sz w:val="18"/>
              </w:rPr>
              <w:t>1.4</w:t>
            </w:r>
          </w:p>
        </w:tc>
        <w:tc>
          <w:tcPr>
            <w:tcW w:type="dxa" w:w="3024"/>
            <w:shd w:val="clear" w:fill="FEF3C7"/>
          </w:tcPr>
          <w:p>
            <w:r/>
            <w:r>
              <w:rPr>
                <w:b w:val="0"/>
                <w:sz w:val="18"/>
              </w:rPr>
              <w:t>Automated data-quality checks</w:t>
            </w:r>
          </w:p>
        </w:tc>
        <w:tc>
          <w:tcPr>
            <w:tcW w:type="dxa" w:w="1872"/>
            <w:shd w:val="clear" w:fill="FEF3C7"/>
          </w:tcPr>
          <w:p>
            <w:r/>
            <w:r>
              <w:rPr>
                <w:b w:val="0"/>
                <w:sz w:val="18"/>
              </w:rPr>
              <w:t>Foundation</w:t>
            </w:r>
          </w:p>
        </w:tc>
        <w:tc>
          <w:tcPr>
            <w:tcW w:type="dxa" w:w="720"/>
            <w:shd w:val="clear" w:fill="FEF3C7"/>
          </w:tcPr>
          <w:p>
            <w:r/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576"/>
            <w:shd w:val="clear" w:fill="FEF3C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  <w:shd w:val="clear" w:fill="FEF3C7"/>
          </w:tcPr>
          <w:p>
            <w:r/>
            <w:r>
              <w:rPr>
                <w:b w:val="0"/>
                <w:sz w:val="18"/>
              </w:rPr>
              <w:t>1.2, 1.3</w:t>
            </w:r>
          </w:p>
        </w:tc>
        <w:tc>
          <w:tcPr>
            <w:tcW w:type="dxa" w:w="1296"/>
            <w:shd w:val="clear" w:fill="FEF3C7"/>
          </w:tcPr>
          <w:p>
            <w:r/>
            <w:r>
              <w:rPr>
                <w:b w:val="0"/>
                <w:sz w:val="18"/>
              </w:rPr>
              <w:t>M1 (end Wk1)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2.1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Build report logic (first report)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Engine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1.4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fill="FEF3C7"/>
          </w:tcPr>
          <w:p>
            <w:r/>
            <w:r>
              <w:rPr>
                <w:b/>
                <w:sz w:val="18"/>
              </w:rPr>
              <w:t>2.2</w:t>
            </w:r>
          </w:p>
        </w:tc>
        <w:tc>
          <w:tcPr>
            <w:tcW w:type="dxa" w:w="3024"/>
            <w:shd w:val="clear" w:fill="FEF3C7"/>
          </w:tcPr>
          <w:p>
            <w:r/>
            <w:r>
              <w:rPr>
                <w:b w:val="0"/>
                <w:sz w:val="18"/>
              </w:rPr>
              <w:t>Reconcile numbers to existing slide</w:t>
            </w:r>
          </w:p>
        </w:tc>
        <w:tc>
          <w:tcPr>
            <w:tcW w:type="dxa" w:w="1872"/>
            <w:shd w:val="clear" w:fill="FEF3C7"/>
          </w:tcPr>
          <w:p>
            <w:r/>
            <w:r>
              <w:rPr>
                <w:b w:val="0"/>
                <w:sz w:val="18"/>
              </w:rPr>
              <w:t>Engine</w:t>
            </w:r>
          </w:p>
        </w:tc>
        <w:tc>
          <w:tcPr>
            <w:tcW w:type="dxa" w:w="720"/>
            <w:shd w:val="clear" w:fill="FEF3C7"/>
          </w:tcPr>
          <w:p>
            <w:r/>
            <w:r>
              <w:rPr>
                <w:b w:val="0"/>
                <w:sz w:val="18"/>
              </w:rPr>
              <w:t>D9</w:t>
            </w:r>
          </w:p>
        </w:tc>
        <w:tc>
          <w:tcPr>
            <w:tcW w:type="dxa" w:w="576"/>
            <w:shd w:val="clear" w:fill="FEF3C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shd w:val="clear" w:fill="FEF3C7"/>
          </w:tcPr>
          <w:p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1296"/>
            <w:shd w:val="clear" w:fill="FEF3C7"/>
          </w:tcPr>
          <w:p>
            <w:r/>
            <w:r>
              <w:rPr>
                <w:b w:val="0"/>
                <w:sz w:val="18"/>
              </w:rPr>
              <w:t>M2 (end Wk2)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2.3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Result checks &amp; written takeaways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Engine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D9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3.1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Slide generator matching template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Slides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3.2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Extend logic across report family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Engine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fill="FEF3C7"/>
          </w:tcPr>
          <w:p>
            <w:r/>
            <w:r>
              <w:rPr>
                <w:b/>
                <w:sz w:val="18"/>
              </w:rPr>
              <w:t>3.3</w:t>
            </w:r>
          </w:p>
        </w:tc>
        <w:tc>
          <w:tcPr>
            <w:tcW w:type="dxa" w:w="3024"/>
            <w:shd w:val="clear" w:fill="FEF3C7"/>
          </w:tcPr>
          <w:p>
            <w:r/>
            <w:r>
              <w:rPr>
                <w:b w:val="0"/>
                <w:sz w:val="18"/>
              </w:rPr>
              <w:t>Slide quality review vs reference</w:t>
            </w:r>
          </w:p>
        </w:tc>
        <w:tc>
          <w:tcPr>
            <w:tcW w:type="dxa" w:w="1872"/>
            <w:shd w:val="clear" w:fill="FEF3C7"/>
          </w:tcPr>
          <w:p>
            <w:r/>
            <w:r>
              <w:rPr>
                <w:b w:val="0"/>
                <w:sz w:val="18"/>
              </w:rPr>
              <w:t>Slides</w:t>
            </w:r>
          </w:p>
        </w:tc>
        <w:tc>
          <w:tcPr>
            <w:tcW w:type="dxa" w:w="720"/>
            <w:shd w:val="clear" w:fill="FEF3C7"/>
          </w:tcPr>
          <w:p>
            <w:r/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576"/>
            <w:shd w:val="clear" w:fill="FEF3C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shd w:val="clear" w:fill="FEF3C7"/>
          </w:tcPr>
          <w:p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1296"/>
            <w:shd w:val="clear" w:fill="FEF3C7"/>
          </w:tcPr>
          <w:p>
            <w:r/>
            <w:r>
              <w:rPr>
                <w:b w:val="0"/>
                <w:sz w:val="18"/>
              </w:rPr>
              <w:t>M3 (end Wk3)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4.1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Data-freshness tracking &amp; labels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Dashboard back-end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1.4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4.2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Three refresh depths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Dashboard back-end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4.1, 3.2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fill="FEF3C7"/>
          </w:tcPr>
          <w:p>
            <w:r/>
            <w:r>
              <w:rPr>
                <w:b/>
                <w:sz w:val="18"/>
              </w:rPr>
              <w:t>4.3</w:t>
            </w:r>
          </w:p>
        </w:tc>
        <w:tc>
          <w:tcPr>
            <w:tcW w:type="dxa" w:w="3024"/>
            <w:shd w:val="clear" w:fill="FEF3C7"/>
          </w:tcPr>
          <w:p>
            <w:r/>
            <w:r>
              <w:rPr>
                <w:b w:val="0"/>
                <w:sz w:val="18"/>
              </w:rPr>
              <w:t>Practice mode (simulate / reset)</w:t>
            </w:r>
          </w:p>
        </w:tc>
        <w:tc>
          <w:tcPr>
            <w:tcW w:type="dxa" w:w="1872"/>
            <w:shd w:val="clear" w:fill="FEF3C7"/>
          </w:tcPr>
          <w:p>
            <w:r/>
            <w:r>
              <w:rPr>
                <w:b w:val="0"/>
                <w:sz w:val="18"/>
              </w:rPr>
              <w:t>Dashboard back-end</w:t>
            </w:r>
          </w:p>
        </w:tc>
        <w:tc>
          <w:tcPr>
            <w:tcW w:type="dxa" w:w="720"/>
            <w:shd w:val="clear" w:fill="FEF3C7"/>
          </w:tcPr>
          <w:p>
            <w:r/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576"/>
            <w:shd w:val="clear" w:fill="FEF3C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  <w:shd w:val="clear" w:fill="FEF3C7"/>
          </w:tcPr>
          <w:p>
            <w:r/>
            <w:r>
              <w:rPr>
                <w:b w:val="0"/>
                <w:sz w:val="18"/>
              </w:rPr>
              <w:t>4.1</w:t>
            </w:r>
          </w:p>
        </w:tc>
        <w:tc>
          <w:tcPr>
            <w:tcW w:type="dxa" w:w="1296"/>
            <w:shd w:val="clear" w:fill="FEF3C7"/>
          </w:tcPr>
          <w:p>
            <w:r/>
            <w:r>
              <w:rPr>
                <w:b w:val="0"/>
                <w:sz w:val="18"/>
              </w:rPr>
              <w:t>M4 (end Wk4)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5.1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Dashboard screens (4 sections)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Dashboard front-end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4.2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5.2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Status labels, charts, slide download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Dashboard front-end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5.1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fill="FEF3C7"/>
          </w:tcPr>
          <w:p>
            <w:r/>
            <w:r>
              <w:rPr>
                <w:b/>
                <w:sz w:val="18"/>
              </w:rPr>
              <w:t>5.3</w:t>
            </w:r>
          </w:p>
        </w:tc>
        <w:tc>
          <w:tcPr>
            <w:tcW w:type="dxa" w:w="3024"/>
            <w:shd w:val="clear" w:fill="FEF3C7"/>
          </w:tcPr>
          <w:p>
            <w:r/>
            <w:r>
              <w:rPr>
                <w:b w:val="0"/>
                <w:sz w:val="18"/>
              </w:rPr>
              <w:t>End-to-end integration</w:t>
            </w:r>
          </w:p>
        </w:tc>
        <w:tc>
          <w:tcPr>
            <w:tcW w:type="dxa" w:w="1872"/>
            <w:shd w:val="clear" w:fill="FEF3C7"/>
          </w:tcPr>
          <w:p>
            <w:r/>
            <w:r>
              <w:rPr>
                <w:b w:val="0"/>
                <w:sz w:val="18"/>
              </w:rPr>
              <w:t>Dashboard front-end</w:t>
            </w:r>
          </w:p>
        </w:tc>
        <w:tc>
          <w:tcPr>
            <w:tcW w:type="dxa" w:w="720"/>
            <w:shd w:val="clear" w:fill="FEF3C7"/>
          </w:tcPr>
          <w:p>
            <w:r/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576"/>
            <w:shd w:val="clear" w:fill="FEF3C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  <w:shd w:val="clear" w:fill="FEF3C7"/>
          </w:tcPr>
          <w:p>
            <w:r/>
            <w:r>
              <w:rPr>
                <w:b w:val="0"/>
                <w:sz w:val="18"/>
              </w:rPr>
              <w:t>5.2</w:t>
            </w:r>
          </w:p>
        </w:tc>
        <w:tc>
          <w:tcPr>
            <w:tcW w:type="dxa" w:w="1296"/>
            <w:shd w:val="clear" w:fill="FEF3C7"/>
          </w:tcPr>
          <w:p>
            <w:r/>
            <w:r>
              <w:rPr>
                <w:b w:val="0"/>
                <w:sz w:val="18"/>
              </w:rPr>
              <w:t>M5 (end Wk5)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6.1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Edge-case &amp; safety handling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Launch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5.3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6.2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Deploy + publish user guide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Launch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5.3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  <w:t>6.3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</w:rPr>
              <w:t>Client UAT &amp; fixes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Launch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D28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8"/>
              </w:rPr>
              <w:t>6.2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shd w:val="clear" w:fill="FEF3C7"/>
          </w:tcPr>
          <w:p>
            <w:r/>
            <w:r>
              <w:rPr>
                <w:b/>
                <w:sz w:val="18"/>
              </w:rPr>
              <w:t>6.4</w:t>
            </w:r>
          </w:p>
        </w:tc>
        <w:tc>
          <w:tcPr>
            <w:tcW w:type="dxa" w:w="3024"/>
            <w:shd w:val="clear" w:fill="FEF3C7"/>
          </w:tcPr>
          <w:p>
            <w:r/>
            <w:r>
              <w:rPr>
                <w:b w:val="0"/>
                <w:sz w:val="18"/>
              </w:rPr>
              <w:t>User training &amp; handover</w:t>
            </w:r>
          </w:p>
        </w:tc>
        <w:tc>
          <w:tcPr>
            <w:tcW w:type="dxa" w:w="1872"/>
            <w:shd w:val="clear" w:fill="FEF3C7"/>
          </w:tcPr>
          <w:p>
            <w:r/>
            <w:r>
              <w:rPr>
                <w:b w:val="0"/>
                <w:sz w:val="18"/>
              </w:rPr>
              <w:t>Launch</w:t>
            </w:r>
          </w:p>
        </w:tc>
        <w:tc>
          <w:tcPr>
            <w:tcW w:type="dxa" w:w="720"/>
            <w:shd w:val="clear" w:fill="FEF3C7"/>
          </w:tcPr>
          <w:p>
            <w:r/>
            <w:r>
              <w:rPr>
                <w:b w:val="0"/>
                <w:sz w:val="18"/>
              </w:rPr>
              <w:t>D30</w:t>
            </w:r>
          </w:p>
        </w:tc>
        <w:tc>
          <w:tcPr>
            <w:tcW w:type="dxa" w:w="576"/>
            <w:shd w:val="clear" w:fill="FEF3C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  <w:shd w:val="clear" w:fill="FEF3C7"/>
          </w:tcPr>
          <w:p>
            <w:r/>
            <w:r>
              <w:rPr>
                <w:b w:val="0"/>
                <w:sz w:val="18"/>
              </w:rPr>
              <w:t>6.3</w:t>
            </w:r>
          </w:p>
        </w:tc>
        <w:tc>
          <w:tcPr>
            <w:tcW w:type="dxa" w:w="1296"/>
            <w:shd w:val="clear" w:fill="FEF3C7"/>
          </w:tcPr>
          <w:p>
            <w:r/>
            <w:r>
              <w:rPr>
                <w:b w:val="0"/>
                <w:sz w:val="18"/>
              </w:rPr>
              <w:t>M6 (end Wk6)</w:t>
            </w:r>
          </w:p>
        </w:tc>
      </w:tr>
    </w:tbl>
    <w:p>
      <w:pPr>
        <w:spacing w:before="320" w:after="120"/>
      </w:pPr>
      <w:r>
        <w:rPr>
          <w:b/>
          <w:color w:val="1E3A8A"/>
          <w:sz w:val="28"/>
        </w:rPr>
        <w:t>Workstream Summary (Gantt swimlanes)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  <w:shd w:val="clear" w:fill="1E3A8A"/>
          </w:tcPr>
          <w:p>
            <w:r/>
            <w:r>
              <w:rPr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1728"/>
            <w:shd w:val="clear" w:fill="1E3A8A"/>
          </w:tcPr>
          <w:p>
            <w:r/>
            <w:r>
              <w:rPr>
                <w:b/>
                <w:color w:val="FFFFFF"/>
                <w:sz w:val="19"/>
              </w:rPr>
              <w:t>Weeks</w:t>
            </w:r>
          </w:p>
        </w:tc>
        <w:tc>
          <w:tcPr>
            <w:tcW w:type="dxa" w:w="3456"/>
            <w:shd w:val="clear" w:fill="1E3A8A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Foundation — data &amp; business rules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Week 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Business Analyst / Data Lead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Reporting engine — logic &amp; validation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Weeks 2–3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Analytics Developer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Slides — branded deck generation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Week 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Analytics Developer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Dashboard — refresh engine (back-end)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Week 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Developer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Dashboard — screens (front-end)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Week 5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Front-end Developer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Launch — testing, deploy, training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Week 6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Full team + Client</w:t>
            </w:r>
          </w:p>
        </w:tc>
      </w:tr>
    </w:tbl>
    <w:p>
      <w:pPr>
        <w:spacing w:before="320" w:after="120"/>
      </w:pPr>
      <w:r>
        <w:rPr>
          <w:b/>
          <w:color w:val="1E3A8A"/>
          <w:sz w:val="28"/>
        </w:rPr>
        <w:t>Key Notes for the Client</w:t>
      </w:r>
    </w:p>
    <w:p>
      <w:pPr>
        <w:pStyle w:val="ListBullet"/>
        <w:spacing w:after="60"/>
      </w:pPr>
      <w:r>
        <w:rPr>
          <w:b/>
          <w:color w:val="1E3A8A"/>
          <w:sz w:val="20"/>
        </w:rPr>
        <w:t>Critical path runs through Week 1.</w:t>
      </w:r>
      <w:r>
        <w:rPr>
          <w:sz w:val="20"/>
        </w:rPr>
        <w:t xml:space="preserve"> The business-rule library and data quality gate everything that follows. Clear rules and clean data at kickoff protect the entire timeline.</w:t>
      </w:r>
    </w:p>
    <w:p>
      <w:pPr>
        <w:pStyle w:val="ListBullet"/>
        <w:spacing w:after="60"/>
      </w:pPr>
      <w:r>
        <w:rPr>
          <w:b/>
          <w:color w:val="1E3A8A"/>
          <w:sz w:val="20"/>
        </w:rPr>
        <w:t>Weeks 4 and 5 can overlap.</w:t>
      </w:r>
      <w:r>
        <w:rPr>
          <w:sz w:val="20"/>
        </w:rPr>
        <w:t xml:space="preserve"> Running the refresh engine and the screens in parallel (two developers) brings delivery in at 5 weeks; running them sequentially (one developer) is the 6-week plan.</w:t>
      </w:r>
    </w:p>
    <w:p>
      <w:pPr>
        <w:pStyle w:val="ListBullet"/>
        <w:spacing w:after="60"/>
      </w:pPr>
      <w:r>
        <w:rPr>
          <w:b/>
          <w:color w:val="1E3A8A"/>
          <w:sz w:val="20"/>
        </w:rPr>
        <w:t>Week 6 carries the buffer.</w:t>
      </w:r>
      <w:r>
        <w:rPr>
          <w:sz w:val="20"/>
        </w:rPr>
        <w:t xml:space="preserve"> Any earlier slippage is absorbed here before go-live.</w:t>
      </w:r>
    </w:p>
    <w:p>
      <w:pPr>
        <w:pStyle w:val="ListBullet"/>
        <w:spacing w:after="60"/>
      </w:pPr>
      <w:r>
        <w:rPr>
          <w:b/>
          <w:color w:val="1E3A8A"/>
          <w:sz w:val="20"/>
        </w:rPr>
        <w:t>Six milestones, one per week.</w:t>
      </w:r>
      <w:r>
        <w:rPr>
          <w:sz w:val="20"/>
        </w:rPr>
        <w:t xml:space="preserve"> M1–M6 are natural check-in points for review and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