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segurança da informação</w:t>
      </w:r>
    </w:p>
    <w:p>
      <w:pPr>
        <w:pStyle w:val="Subtitle"/>
      </w:pPr>
      <w:r>
        <w:t>Ateliê Digital Paineira · aprovada pelo comitê de segurança</w:t>
      </w:r>
    </w:p>
    <w:p>
      <w:pPr>
        <w:pStyle w:val="Heading1"/>
      </w:pPr>
      <w:r>
        <w:t>1. Objetivo</w:t>
      </w:r>
    </w:p>
    <w:p>
      <w:r>
        <w:t>Esta política de segurança da informação define as regras que todas as pessoas do Ateliê Digital Paineira devem seguir para proteger as informações da empresa e dos clientes contra acesso indevido, perda, alteração não autorizada e indisponibilidade. Ela orienta o uso de senhas, equipamentos, dados de clientes e trabalho remoto, e explica o que fazer diante de um incidente.</w:t>
      </w:r>
    </w:p>
    <w:p>
      <w:r>
        <w:t>Segurança é responsabilidade de todos, não só da equipe de tecnologia. A maior parte dos incidentes começa com um clique apressado, uma senha repetida ou um arquivo enviado para a pessoa errada.</w:t>
      </w:r>
    </w:p>
    <w:p>
      <w:pPr>
        <w:pStyle w:val="Heading1"/>
      </w:pPr>
      <w:r>
        <w:t>2. Abrangência</w:t>
      </w:r>
    </w:p>
    <w:p>
      <w:r>
        <w:t>Esta política vale para colaboradores, estagiários, prestadores de serviço e qualquer pessoa com acesso aos sistemas, documentos ou instalações da empresa, em qualquer local de trabalho, inclusive em casa e em viagens.</w:t>
      </w:r>
    </w:p>
    <w:p>
      <w:pPr>
        <w:pStyle w:val="Heading1"/>
      </w:pPr>
      <w:r>
        <w:t>3. Princípios</w:t>
      </w:r>
    </w:p>
    <w:p>
      <w:pPr>
        <w:pStyle w:val="ListBullet"/>
      </w:pPr>
      <w:r>
        <w:rPr>
          <w:b/>
        </w:rPr>
        <w:t>Confidencialidade:</w:t>
      </w:r>
      <w:r>
        <w:t xml:space="preserve"> a informação só é acessada por quem precisa dela para trabalhar.</w:t>
      </w:r>
    </w:p>
    <w:p>
      <w:pPr>
        <w:pStyle w:val="ListBullet"/>
      </w:pPr>
      <w:r>
        <w:rPr>
          <w:b/>
        </w:rPr>
        <w:t>Integridade:</w:t>
      </w:r>
      <w:r>
        <w:t xml:space="preserve"> a informação é alterada apenas por quem tem autorização, e as alterações ficam registradas.</w:t>
      </w:r>
    </w:p>
    <w:p>
      <w:pPr>
        <w:pStyle w:val="ListBullet"/>
      </w:pPr>
      <w:r>
        <w:rPr>
          <w:b/>
        </w:rPr>
        <w:t>Disponibilidade:</w:t>
      </w:r>
      <w:r>
        <w:t xml:space="preserve"> a informação está acessível quando o trabalho exige.</w:t>
      </w:r>
    </w:p>
    <w:p>
      <w:pPr>
        <w:pStyle w:val="ListBullet"/>
      </w:pPr>
      <w:r>
        <w:rPr>
          <w:b/>
        </w:rPr>
        <w:t>Menor privilégio:</w:t>
      </w:r>
      <w:r>
        <w:t xml:space="preserve"> cada pessoa recebe apenas os acessos necessários para sua função.</w:t>
      </w:r>
    </w:p>
    <w:p>
      <w:pPr>
        <w:pStyle w:val="ListBullet"/>
      </w:pPr>
      <w:r>
        <w:rPr>
          <w:b/>
        </w:rPr>
        <w:t>Responsabilização:</w:t>
      </w:r>
      <w:r>
        <w:t xml:space="preserve"> as ações nos sistemas são individuais e rastreáveis.</w:t>
      </w:r>
    </w:p>
    <w:p>
      <w:pPr>
        <w:pStyle w:val="Heading1"/>
      </w:pPr>
      <w:r>
        <w:t>4. Classificação da informação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Nível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Exemplos</w:t>
            </w:r>
          </w:p>
        </w:tc>
        <w:tc>
          <w:tcPr>
            <w:tcW w:type="dxa" w:w="3061"/>
            <w:shd w:val="clear" w:color="auto" w:fill="F4F1DE"/>
          </w:tcPr>
          <w:p>
            <w:r/>
            <w:r>
              <w:rPr>
                <w:b/>
                <w:color w:val="2B3540"/>
              </w:rPr>
              <w:t>Cuidados</w:t>
            </w:r>
          </w:p>
        </w:tc>
      </w:tr>
      <w:tr>
        <w:tc>
          <w:tcPr>
            <w:tcW w:type="dxa" w:w="3061"/>
          </w:tcPr>
          <w:p>
            <w:r/>
            <w:r>
              <w:t>Pública</w:t>
            </w:r>
          </w:p>
        </w:tc>
        <w:tc>
          <w:tcPr>
            <w:tcW w:type="dxa" w:w="3061"/>
          </w:tcPr>
          <w:p>
            <w:r/>
            <w:r>
              <w:t>Site, portfólio aprovado, vagas abertas</w:t>
            </w:r>
          </w:p>
        </w:tc>
        <w:tc>
          <w:tcPr>
            <w:tcW w:type="dxa" w:w="3061"/>
          </w:tcPr>
          <w:p>
            <w:r/>
            <w:r>
              <w:t>Pode ser divulgada sem restrição</w:t>
            </w:r>
          </w:p>
        </w:tc>
      </w:tr>
      <w:tr>
        <w:tc>
          <w:tcPr>
            <w:tcW w:type="dxa" w:w="3061"/>
          </w:tcPr>
          <w:p>
            <w:r/>
            <w:r>
              <w:t>Interna</w:t>
            </w:r>
          </w:p>
        </w:tc>
        <w:tc>
          <w:tcPr>
            <w:tcW w:type="dxa" w:w="3061"/>
          </w:tcPr>
          <w:p>
            <w:r/>
            <w:r>
              <w:t>Processos, wiki, comunicados internos</w:t>
            </w:r>
          </w:p>
        </w:tc>
        <w:tc>
          <w:tcPr>
            <w:tcW w:type="dxa" w:w="3061"/>
          </w:tcPr>
          <w:p>
            <w:r/>
            <w:r>
              <w:t>Não compartilhar fora da empresa</w:t>
            </w:r>
          </w:p>
        </w:tc>
      </w:tr>
      <w:tr>
        <w:tc>
          <w:tcPr>
            <w:tcW w:type="dxa" w:w="3061"/>
          </w:tcPr>
          <w:p>
            <w:r/>
            <w:r>
              <w:t>Confidencial</w:t>
            </w:r>
          </w:p>
        </w:tc>
        <w:tc>
          <w:tcPr>
            <w:tcW w:type="dxa" w:w="3061"/>
          </w:tcPr>
          <w:p>
            <w:r/>
            <w:r>
              <w:t>Contratos, propostas, código de clientes</w:t>
            </w:r>
          </w:p>
        </w:tc>
        <w:tc>
          <w:tcPr>
            <w:tcW w:type="dxa" w:w="3061"/>
          </w:tcPr>
          <w:p>
            <w:r/>
            <w:r>
              <w:t>Acesso por projeto, envio só por canais aprovados</w:t>
            </w:r>
          </w:p>
        </w:tc>
      </w:tr>
      <w:tr>
        <w:tc>
          <w:tcPr>
            <w:tcW w:type="dxa" w:w="3061"/>
          </w:tcPr>
          <w:p>
            <w:r/>
            <w:r>
              <w:t>Restrita</w:t>
            </w:r>
          </w:p>
        </w:tc>
        <w:tc>
          <w:tcPr>
            <w:tcW w:type="dxa" w:w="3061"/>
          </w:tcPr>
          <w:p>
            <w:r/>
            <w:r>
              <w:t>Dados pessoais de clientes, credenciais, dados financeiros</w:t>
            </w:r>
          </w:p>
        </w:tc>
        <w:tc>
          <w:tcPr>
            <w:tcW w:type="dxa" w:w="3061"/>
          </w:tcPr>
          <w:p>
            <w:r/>
            <w:r>
              <w:t>Acesso mínimo, criptografia e registro de acesso</w:t>
            </w:r>
          </w:p>
        </w:tc>
      </w:tr>
    </w:tbl>
    <w:p/>
    <w:p>
      <w:r>
        <w:t>Na dúvida, trate a informação como confidencial e pergunte ao responsável pelo projeto.</w:t>
      </w:r>
    </w:p>
    <w:p>
      <w:pPr>
        <w:pStyle w:val="Heading1"/>
      </w:pPr>
      <w:r>
        <w:t>5. Senhas e autenticação</w:t>
      </w:r>
    </w:p>
    <w:p>
      <w:pPr>
        <w:pStyle w:val="ListNumber"/>
        <w:numPr>
          <w:ilvl w:val="0"/>
          <w:numId w:val="10"/>
        </w:numPr>
      </w:pPr>
      <w:r>
        <w:t>Use senhas longas, com pelo menos 14 caracteres, de preferência frases fáceis de lembrar.</w:t>
      </w:r>
    </w:p>
    <w:p>
      <w:pPr>
        <w:pStyle w:val="ListNumber"/>
        <w:numPr>
          <w:ilvl w:val="0"/>
          <w:numId w:val="10"/>
        </w:numPr>
      </w:pPr>
      <w:r>
        <w:t>Nunca reutilize a senha da empresa em serviços pessoais.</w:t>
      </w:r>
    </w:p>
    <w:p>
      <w:pPr>
        <w:pStyle w:val="ListNumber"/>
        <w:numPr>
          <w:ilvl w:val="0"/>
          <w:numId w:val="10"/>
        </w:numPr>
      </w:pPr>
      <w:r>
        <w:t>Guarde senhas apenas no cofre de senhas corporativo.</w:t>
      </w:r>
    </w:p>
    <w:p>
      <w:pPr>
        <w:pStyle w:val="ListNumber"/>
        <w:numPr>
          <w:ilvl w:val="0"/>
          <w:numId w:val="10"/>
        </w:numPr>
      </w:pPr>
      <w:r>
        <w:t>Ative a autenticação em dois fatores em todos os sistemas que oferecem o recurso.</w:t>
      </w:r>
    </w:p>
    <w:p>
      <w:pPr>
        <w:pStyle w:val="ListNumber"/>
        <w:numPr>
          <w:ilvl w:val="0"/>
          <w:numId w:val="10"/>
        </w:numPr>
      </w:pPr>
      <w:r>
        <w:t>Não compartilhe credenciais, nem com colegas da mesma equipe; peça acesso próprio.</w:t>
      </w:r>
    </w:p>
    <w:p>
      <w:pPr>
        <w:pStyle w:val="Heading1"/>
      </w:pPr>
      <w:r>
        <w:t>6. Equipamentos e dispositivos</w:t>
      </w:r>
    </w:p>
    <w:p>
      <w:pPr>
        <w:pStyle w:val="ListBullet"/>
      </w:pPr>
      <w:r>
        <w:t>Bloqueie a tela sempre que se afastar do computador, mesmo por poucos minutos.</w:t>
      </w:r>
    </w:p>
    <w:p>
      <w:pPr>
        <w:pStyle w:val="ListBullet"/>
      </w:pPr>
      <w:r>
        <w:t>Mantenha sistema operacional e aplicativos atualizados; as atualizações automáticas devem ficar ligadas.</w:t>
      </w:r>
    </w:p>
    <w:p>
      <w:pPr>
        <w:pStyle w:val="ListBullet"/>
      </w:pPr>
      <w:r>
        <w:t>Não instale programas fora da lista aprovada sem falar com o suporte interno.</w:t>
      </w:r>
    </w:p>
    <w:p>
      <w:pPr>
        <w:pStyle w:val="ListBullet"/>
      </w:pPr>
      <w:r>
        <w:t>Dispositivos pessoais só acessam o e-mail e o chat, nunca repositórios ou dados de clientes.</w:t>
      </w:r>
    </w:p>
    <w:p>
      <w:pPr>
        <w:pStyle w:val="ListBullet"/>
      </w:pPr>
      <w:r>
        <w:t>Perda ou roubo de equipamento deve ser comunicada imediatamente.</w:t>
      </w:r>
    </w:p>
    <w:p>
      <w:pPr>
        <w:pStyle w:val="Heading1"/>
      </w:pPr>
      <w:r>
        <w:t>7. Trabalho remoto</w:t>
      </w:r>
    </w:p>
    <w:p>
      <w:r>
        <w:t>Trabalhe em redes confiáveis. Em locais públicos, use a VPN corporativa e evite conversas sobre clientes onde outras pessoas possam ouvir. Não imprima documentos confidenciais em casa e não deixe telas com informações sensíveis visíveis em chamadas de vídeo.</w:t>
      </w:r>
    </w:p>
    <w:p>
      <w:pPr>
        <w:pStyle w:val="Heading1"/>
      </w:pPr>
      <w:r>
        <w:t>8. Incidentes</w:t>
      </w:r>
    </w:p>
    <w:p>
      <w:r>
        <w:t>Um incidente é qualquer evento que possa comprometer a segurança da informação, como um e-mail suspeito aberto, um arquivo enviado ao destinatário errado ou um acesso estranho a um sistema. Diante de uma suspeita:</w:t>
      </w:r>
    </w:p>
    <w:p>
      <w:pPr>
        <w:pStyle w:val="ListNumber"/>
        <w:numPr>
          <w:ilvl w:val="0"/>
          <w:numId w:val="11"/>
        </w:numPr>
      </w:pPr>
      <w:r>
        <w:t>Não tente resolver sozinho nem apagar evidências.</w:t>
      </w:r>
    </w:p>
    <w:p>
      <w:pPr>
        <w:pStyle w:val="ListNumber"/>
        <w:numPr>
          <w:ilvl w:val="0"/>
          <w:numId w:val="11"/>
        </w:numPr>
      </w:pPr>
      <w:r>
        <w:t>Desconecte o equipamento da rede se houver suspeita de programa malicioso.</w:t>
      </w:r>
    </w:p>
    <w:p>
      <w:pPr>
        <w:pStyle w:val="ListNumber"/>
        <w:numPr>
          <w:ilvl w:val="0"/>
          <w:numId w:val="11"/>
        </w:numPr>
      </w:pPr>
      <w:r>
        <w:t>Comunique o suporte interno pelo canal de incidentes em até uma hora.</w:t>
      </w:r>
    </w:p>
    <w:p>
      <w:pPr>
        <w:pStyle w:val="ListNumber"/>
        <w:numPr>
          <w:ilvl w:val="0"/>
          <w:numId w:val="11"/>
        </w:numPr>
      </w:pPr>
      <w:r>
        <w:t>Registre o que aconteceu, quando e quais sistemas ou arquivos estavam envolvidos.</w:t>
      </w:r>
    </w:p>
    <w:p>
      <w:pPr>
        <w:pStyle w:val="ListNumber"/>
        <w:numPr>
          <w:ilvl w:val="0"/>
          <w:numId w:val="11"/>
        </w:numPr>
      </w:pPr>
      <w:r>
        <w:t>Acompanhe as orientações do comitê até o encerramento do caso.</w:t>
      </w:r>
    </w:p>
    <w:p>
      <w:r>
        <w:t>Comunicar um incidente rapidamente nunca gera punição. O que agrava qualquer situação é o silêncio.</w:t>
      </w:r>
    </w:p>
    <w:p>
      <w:pPr>
        <w:pStyle w:val="Heading1"/>
      </w:pPr>
      <w:r>
        <w:t>9.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Papel</w:t>
            </w:r>
          </w:p>
        </w:tc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Responsabilidade</w:t>
            </w:r>
          </w:p>
        </w:tc>
      </w:tr>
      <w:tr>
        <w:tc>
          <w:tcPr>
            <w:tcW w:type="dxa" w:w="4592"/>
          </w:tcPr>
          <w:p>
            <w:r/>
            <w:r>
              <w:t>Todas as pessoas</w:t>
            </w:r>
          </w:p>
        </w:tc>
        <w:tc>
          <w:tcPr>
            <w:tcW w:type="dxa" w:w="4592"/>
          </w:tcPr>
          <w:p>
            <w:r/>
            <w:r>
              <w:t>Conhecer e cumprir esta política e comunicar incidentes</w:t>
            </w:r>
          </w:p>
        </w:tc>
      </w:tr>
      <w:tr>
        <w:tc>
          <w:tcPr>
            <w:tcW w:type="dxa" w:w="4592"/>
          </w:tcPr>
          <w:p>
            <w:r/>
            <w:r>
              <w:t>Lideranças</w:t>
            </w:r>
          </w:p>
        </w:tc>
        <w:tc>
          <w:tcPr>
            <w:tcW w:type="dxa" w:w="4592"/>
          </w:tcPr>
          <w:p>
            <w:r/>
            <w:r>
              <w:t>Revisar acessos da equipe a cada trimestre e orientar novos integrantes</w:t>
            </w:r>
          </w:p>
        </w:tc>
      </w:tr>
      <w:tr>
        <w:tc>
          <w:tcPr>
            <w:tcW w:type="dxa" w:w="4592"/>
          </w:tcPr>
          <w:p>
            <w:r/>
            <w:r>
              <w:t>Suporte interno</w:t>
            </w:r>
          </w:p>
        </w:tc>
        <w:tc>
          <w:tcPr>
            <w:tcW w:type="dxa" w:w="4592"/>
          </w:tcPr>
          <w:p>
            <w:r/>
            <w:r>
              <w:t>Configurar equipamentos, manter atualizações e responder a incidentes</w:t>
            </w:r>
          </w:p>
        </w:tc>
      </w:tr>
      <w:tr>
        <w:tc>
          <w:tcPr>
            <w:tcW w:type="dxa" w:w="4592"/>
          </w:tcPr>
          <w:p>
            <w:r/>
            <w:r>
              <w:t>Comitê de segurança</w:t>
            </w:r>
          </w:p>
        </w:tc>
        <w:tc>
          <w:tcPr>
            <w:tcW w:type="dxa" w:w="4592"/>
          </w:tcPr>
          <w:p>
            <w:r/>
            <w:r>
              <w:t>Revisar a política, analisar incidentes e promover treinamentos</w:t>
            </w:r>
          </w:p>
        </w:tc>
      </w:tr>
    </w:tbl>
    <w:p/>
    <w:p>
      <w:pPr>
        <w:pStyle w:val="Heading1"/>
      </w:pPr>
      <w:r>
        <w:t>10. Revisão</w:t>
      </w:r>
    </w:p>
    <w:p>
      <w:r>
        <w:t>Esta política é revisada anualmente ou sempre que houver mudança relevante em sistemas, contratos ou legislação. O descumprimento pode resultar em medidas disciplinares proporcionais à gravidade e à intenção.</w:t>
      </w:r>
    </w:p>
    <w:p>
      <w:pPr>
        <w:pStyle w:val="Quote"/>
      </w:pPr>
      <w:r>
        <w:t>Segurança boa é aquela que vira hábito. Ninguém lembra de trancar a porta; simplesmente tranca.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C"/>
        <w:sz w:val="16"/>
      </w:rPr>
      <w:t xml:space="preserve">Política de segurança da informação · uso interno  ·  página </w:t>
    </w:r>
    <w:r>
      <w:rPr>
        <w:color w:val="5B6B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C35"/>
      <w:sz w:val="22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B3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4A5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7D6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395A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2B35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i/>
      <w:iCs/>
      <w:color w:val="5B6B7C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4446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segurança da informação</dc:title>
  <dc:subject>Regras de proteção da informação, senhas, dispositivos e incidentes</dc:subject>
  <dc:creator>Daniel Moretti</dc:creator>
  <cp:keywords>segurança, política, senhas, incidentes</cp:keywords>
  <dc:description>Documento fictício criado para demonstração.</dc:description>
  <cp:lastModifiedBy>Daniel Moretti</cp:lastModifiedBy>
  <cp:revision>3</cp:revision>
  <dcterms:created xsi:type="dcterms:W3CDTF">2026-09-14T09:30:00Z</dcterms:created>
  <dcterms:modified xsi:type="dcterms:W3CDTF">2026-10-02T16:10:00Z</dcterms:modified>
  <cp:category/>
  <dc:language>pt-BR</dc:language>
</cp:coreProperties>
</file>