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F4E79"/>
          <w:spacing w:val="0"/>
          <w:position w:val="0"/>
          <w:sz w:val="56"/>
          <w:shd w:fill="auto" w:val="clear"/>
        </w:rPr>
        <w:t xml:space="preserve">ALBOTHERM</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E75B6"/>
          <w:spacing w:val="0"/>
          <w:position w:val="0"/>
          <w:sz w:val="36"/>
          <w:shd w:fill="auto" w:val="clear"/>
        </w:rPr>
        <w:t xml:space="preserve">Production Quality Analysis Report</w:t>
      </w:r>
    </w:p>
    <w:p>
      <w:pPr>
        <w:spacing w:before="0" w:after="6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888888"/>
          <w:spacing w:val="0"/>
          <w:position w:val="0"/>
          <w:sz w:val="22"/>
          <w:shd w:fill="auto" w:val="clear"/>
        </w:rPr>
        <w:t xml:space="preserve">AXF Dataset  |  612 Production Runs  |  35 UV Formulations</w:t>
      </w:r>
    </w:p>
    <w:p>
      <w:pPr>
        <w:spacing w:before="0" w:after="2400" w:line="240"/>
        <w:ind w:right="0" w:left="0" w:firstLine="0"/>
        <w:jc w:val="left"/>
        <w:rPr>
          <w:rFonts w:ascii="Arial" w:hAnsi="Arial" w:cs="Arial" w:eastAsia="Arial"/>
          <w:color w:val="auto"/>
          <w:spacing w:val="0"/>
          <w:position w:val="0"/>
          <w:sz w:val="22"/>
          <w:shd w:fill="auto" w:val="clear"/>
        </w:rPr>
      </w:pPr>
    </w:p>
    <w:p>
      <w:pPr>
        <w:spacing w:before="4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44444"/>
          <w:spacing w:val="0"/>
          <w:position w:val="0"/>
          <w:sz w:val="22"/>
          <w:shd w:fill="auto" w:val="clear"/>
        </w:rPr>
        <w:t xml:space="preserve">Prepared for Albotherm</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444444"/>
          <w:spacing w:val="0"/>
          <w:position w:val="0"/>
          <w:sz w:val="22"/>
          <w:shd w:fill="auto" w:val="clear"/>
        </w:rPr>
        <w:t xml:space="preserve">Classification: Confidential</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1. The Problem</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Across 619 production runs tested with durability scores at 24hrs and 48hrs, only 17% passed quality control. As confirmed by Albotherm’s QC Lead Isabelle, a production run passes QC if its durability score is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35%.</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means for every 10 batches Albotherm produced, roughly 8 failed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either immediately or silently as time goes on.</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cost is not just material waste. It is time, formulation budget, and delayed scale-up. At current scale, that failure rate is not sustainable and calls for immediate optimisation as Albotherm extends its market.</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2. Two Root Causes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data reveals two root causes of capsule failures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immediately at 24hrs and silently degrading over time (48hrs).</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Chemical formulation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the UV and core ingredients determine whether a capsule shell can form correctly in the first place. A poor formulation cannot be rescued by adjusting process settings.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Process parameters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even with a strong formulation, running outside the safe operating window consistently produces failed durability scores at 24hr and 48hrs. The right chemistry, run incorrectly, still fails.</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means optimising for one without the other is not sufficient. Albotherm must use the best formulation under the right process parameter settings.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why in this report, we answer two questions: what formulation is good or bad and why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and what process window delivers consistent scores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35%?</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3. The Chemistry Behind Success and Failure</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Above core formulation</w:t>
      </w:r>
      <w:r>
        <w:rPr>
          <w:rFonts w:ascii="Arial" w:hAnsi="Arial" w:cs="Arial" w:eastAsia="Arial"/>
          <w:b/>
          <w:color w:val="auto"/>
          <w:spacing w:val="0"/>
          <w:position w:val="0"/>
          <w:sz w:val="22"/>
          <w:shd w:fill="auto" w:val="clear"/>
        </w:rPr>
        <w:t xml:space="preserve">, UV formulation</w:t>
      </w:r>
      <w:r>
        <w:rPr>
          <w:rFonts w:ascii="Arial" w:hAnsi="Arial" w:cs="Arial" w:eastAsia="Arial"/>
          <w:color w:val="auto"/>
          <w:spacing w:val="0"/>
          <w:position w:val="0"/>
          <w:sz w:val="22"/>
          <w:shd w:fill="auto" w:val="clear"/>
        </w:rPr>
        <w:t xml:space="preserve"> is clearly the primary driver of durability outcome. Getting the UV formulation right gives Albotherm a strong baseline chance of achieving a passing durability score.</w:t>
      </w:r>
    </w:p>
    <w:p>
      <w:pPr>
        <w:spacing w:before="80" w:after="16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UV shell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why it matters most</w:t>
      </w:r>
    </w:p>
    <w:p>
      <w:pPr>
        <w:spacing w:before="80" w:after="160" w:line="240"/>
        <w:ind w:right="0" w:left="0" w:firstLine="0"/>
        <w:jc w:val="left"/>
        <w:rPr>
          <w:rFonts w:ascii="Arial" w:hAnsi="Arial" w:cs="Arial" w:eastAsia="Arial"/>
          <w:color w:val="auto"/>
          <w:spacing w:val="0"/>
          <w:position w:val="0"/>
          <w:sz w:val="22"/>
          <w:shd w:fill="auto" w:val="clear"/>
        </w:rPr>
      </w:pPr>
      <w:r>
        <w:object w:dxaOrig="8422" w:dyaOrig="5750">
          <v:rect xmlns:o="urn:schemas-microsoft-com:office:office" xmlns:v="urn:schemas-microsoft-com:vml" id="rectole0000000000" style="width:421.100000pt;height:287.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UV layer is the protective shell around the core. That is why UV formulation is the first and most critical line of defence.</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 UV shell fails, it fails in one of two ways: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The shell breaks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air infiltrates the core immediately. In the humidity chamber, the capsule becomes wet and cannot dry. This failure is captured at the 24hr durability check.</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The shell fractures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capsule survives the 24hr check, but the fracture deepens over time. By 48hrs, air has infiltrated and the capsule can no longer dry. This is what explains the drift and instability seen between 24hr and 48hr durability scores.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The shell holds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good UV formulation protects the core fully. The capsule dries consistently at both 24hrs and 48hrs.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identifying the chemicals responsible for shell integrity is a highly valuable insight. </w:t>
      </w:r>
    </w:p>
    <w:p>
      <w:pPr>
        <w:spacing w:before="80" w:after="160" w:line="240"/>
        <w:ind w:right="0" w:left="0" w:firstLine="0"/>
        <w:jc w:val="left"/>
        <w:rPr>
          <w:rFonts w:ascii="Arial" w:hAnsi="Arial" w:cs="Arial" w:eastAsia="Arial"/>
          <w:b/>
          <w:i/>
          <w:color w:val="1F4E79"/>
          <w:spacing w:val="0"/>
          <w:position w:val="0"/>
          <w:sz w:val="22"/>
          <w:shd w:fill="auto" w:val="clear"/>
        </w:rPr>
      </w:pPr>
      <w:r>
        <w:rPr>
          <w:rFonts w:ascii="Arial" w:hAnsi="Arial" w:cs="Arial" w:eastAsia="Arial"/>
          <w:b/>
          <w:i/>
          <w:color w:val="1F4E79"/>
          <w:spacing w:val="0"/>
          <w:position w:val="0"/>
          <w:sz w:val="22"/>
          <w:shd w:fill="auto" w:val="clear"/>
        </w:rPr>
        <w:t xml:space="preserve">The shell either bends, fractures, or breaks. The chemistry decides which.</w:t>
      </w:r>
    </w:p>
    <w:p>
      <w:pPr>
        <w:spacing w:before="80" w:after="16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Comparing the chemical composition of good and poor performing production runs, a clear signal emerges across six ingredients.</w:t>
      </w:r>
    </w:p>
    <w:p>
      <w:pPr>
        <w:spacing w:before="280" w:after="10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What the best formulations have more of</w:t>
      </w:r>
    </w:p>
    <w:tbl>
      <w:tblPr/>
      <w:tblGrid>
        <w:gridCol w:w="2800"/>
        <w:gridCol w:w="2000"/>
        <w:gridCol w:w="2000"/>
        <w:gridCol w:w="2226"/>
      </w:tblGrid>
      <w:tr>
        <w:trPr>
          <w:trHeight w:val="1" w:hRule="atLeast"/>
          <w:jc w:val="left"/>
        </w:trPr>
        <w:tc>
          <w:tcPr>
            <w:tcW w:w="28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Ingredient</w:t>
            </w:r>
          </w:p>
        </w:tc>
        <w:tc>
          <w:tcPr>
            <w:tcW w:w="20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Best UV (avg)</w:t>
            </w:r>
          </w:p>
        </w:tc>
        <w:tc>
          <w:tcPr>
            <w:tcW w:w="20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Worst UV (avg)</w:t>
            </w:r>
          </w:p>
        </w:tc>
        <w:tc>
          <w:tcPr>
            <w:tcW w:w="2226"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Difference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TPGDA</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43.6%</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18.3%</w:t>
            </w:r>
          </w:p>
        </w:tc>
        <w:tc>
          <w:tcPr>
            <w:tcW w:w="22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+25.3</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ESBOA</w:t>
            </w:r>
          </w:p>
        </w:tc>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26.5%</w:t>
            </w:r>
          </w:p>
        </w:tc>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7.7%</w:t>
            </w:r>
          </w:p>
        </w:tc>
        <w:tc>
          <w:tcPr>
            <w:tcW w:w="2226"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+18.8</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Miramer PU2100NT</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16.5%</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0.0%</w:t>
            </w:r>
          </w:p>
        </w:tc>
        <w:tc>
          <w:tcPr>
            <w:tcW w:w="22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+16.5</w:t>
            </w:r>
          </w:p>
        </w:tc>
      </w:tr>
    </w:tbl>
    <w:p>
      <w:pPr>
        <w:spacing w:before="40" w:after="4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Good UV formulations carry significantly more TPGDA, ESBOA, and Miramer PU2100NT. Notably, Miramer PU2100NT is entirely absent from poor formulations.</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280" w:after="10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What the worst formulations have more of</w:t>
      </w:r>
    </w:p>
    <w:tbl>
      <w:tblPr/>
      <w:tblGrid>
        <w:gridCol w:w="2800"/>
        <w:gridCol w:w="2000"/>
        <w:gridCol w:w="2000"/>
        <w:gridCol w:w="2226"/>
      </w:tblGrid>
      <w:tr>
        <w:trPr>
          <w:trHeight w:val="1" w:hRule="atLeast"/>
          <w:jc w:val="left"/>
        </w:trPr>
        <w:tc>
          <w:tcPr>
            <w:tcW w:w="28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Ingredient</w:t>
            </w:r>
          </w:p>
        </w:tc>
        <w:tc>
          <w:tcPr>
            <w:tcW w:w="20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Best UV (avg)</w:t>
            </w:r>
          </w:p>
        </w:tc>
        <w:tc>
          <w:tcPr>
            <w:tcW w:w="20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Worst UV (avg)</w:t>
            </w:r>
          </w:p>
        </w:tc>
        <w:tc>
          <w:tcPr>
            <w:tcW w:w="2226"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Difference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SR833S</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0.0%</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45.3%</w:t>
            </w:r>
          </w:p>
        </w:tc>
        <w:tc>
          <w:tcPr>
            <w:tcW w:w="22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45.3</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SR399</w:t>
            </w:r>
          </w:p>
        </w:tc>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0.0%</w:t>
            </w:r>
          </w:p>
        </w:tc>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9.5%</w:t>
            </w:r>
          </w:p>
        </w:tc>
        <w:tc>
          <w:tcPr>
            <w:tcW w:w="2226"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9.5</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Miramer PU2560</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3.3%</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11.3%</w:t>
            </w:r>
          </w:p>
        </w:tc>
        <w:tc>
          <w:tcPr>
            <w:tcW w:w="22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7.9</w:t>
            </w:r>
          </w:p>
        </w:tc>
      </w:tr>
    </w:tbl>
    <w:p>
      <w:pPr>
        <w:spacing w:before="40" w:after="4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SR833S is entirely absent from good formulations yet dominates poor ones at 45.3%. SR399 follows the same pattern.</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mechanism is consistent with the data: SR833S and SR399 appear to produce a rigid UV shell that fractures under humidity stress. TPGDA, ESBOA, and Miramer PU2100NT do the opposite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they create a flexible shell capable of absorbing that stress without breaking.</w:t>
      </w:r>
    </w:p>
    <w:p>
      <w:pPr>
        <w:spacing w:before="80" w:after="160" w:line="240"/>
        <w:ind w:right="0" w:left="0" w:firstLine="0"/>
        <w:jc w:val="left"/>
        <w:rPr>
          <w:rFonts w:ascii="Arial" w:hAnsi="Arial" w:cs="Arial" w:eastAsia="Arial"/>
          <w:color w:val="auto"/>
          <w:spacing w:val="0"/>
          <w:position w:val="0"/>
          <w:sz w:val="22"/>
          <w:shd w:fill="auto" w:val="clear"/>
        </w:rPr>
      </w:pPr>
    </w:p>
    <w:p>
      <w:pPr>
        <w:spacing w:before="400" w:after="16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4. UV Formulation Performance </w:t>
      </w:r>
      <w:r>
        <w:rPr>
          <w:rFonts w:ascii="Arial" w:hAnsi="Arial" w:cs="Arial" w:eastAsia="Arial"/>
          <w:b/>
          <w:color w:val="1F4E79"/>
          <w:spacing w:val="0"/>
          <w:position w:val="0"/>
          <w:sz w:val="28"/>
          <w:shd w:fill="auto" w:val="clear"/>
        </w:rPr>
        <w:t xml:space="preserve">—</w:t>
      </w:r>
      <w:r>
        <w:rPr>
          <w:rFonts w:ascii="Arial" w:hAnsi="Arial" w:cs="Arial" w:eastAsia="Arial"/>
          <w:b/>
          <w:color w:val="1F4E79"/>
          <w:spacing w:val="0"/>
          <w:position w:val="0"/>
          <w:sz w:val="28"/>
          <w:shd w:fill="auto" w:val="clear"/>
        </w:rPr>
        <w:t xml:space="preserve"> A Three-Tier Structure</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Across 35 UV formulations tested, a clear three-tier structure emerges. Tier 1 consistently passes. Tier 3 consistently fails. Tier 2 is where process parameters become decisive.</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280" w:after="10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Tier 1 </w:t>
      </w:r>
      <w:r>
        <w:rPr>
          <w:rFonts w:ascii="Arial" w:hAnsi="Arial" w:cs="Arial" w:eastAsia="Arial"/>
          <w:b/>
          <w:color w:val="2E75B6"/>
          <w:spacing w:val="0"/>
          <w:position w:val="0"/>
          <w:sz w:val="24"/>
          <w:shd w:fill="auto" w:val="clear"/>
        </w:rPr>
        <w:t xml:space="preserve">—</w:t>
      </w:r>
      <w:r>
        <w:rPr>
          <w:rFonts w:ascii="Arial" w:hAnsi="Arial" w:cs="Arial" w:eastAsia="Arial"/>
          <w:b/>
          <w:color w:val="2E75B6"/>
          <w:spacing w:val="0"/>
          <w:position w:val="0"/>
          <w:sz w:val="24"/>
          <w:shd w:fill="auto" w:val="clear"/>
        </w:rPr>
        <w:t xml:space="preserve"> Consistently good</w:t>
      </w:r>
    </w:p>
    <w:tbl>
      <w:tblPr/>
      <w:tblGrid>
        <w:gridCol w:w="1800"/>
        <w:gridCol w:w="1200"/>
        <w:gridCol w:w="1400"/>
        <w:gridCol w:w="4626"/>
      </w:tblGrid>
      <w:tr>
        <w:trPr>
          <w:trHeight w:val="270" w:hRule="auto"/>
          <w:jc w:val="left"/>
        </w:trPr>
        <w:tc>
          <w:tcPr>
            <w:tcW w:w="18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Formulation</w:t>
            </w:r>
          </w:p>
        </w:tc>
        <w:tc>
          <w:tcPr>
            <w:tcW w:w="12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Runs (n)</w:t>
            </w:r>
          </w:p>
        </w:tc>
        <w:tc>
          <w:tcPr>
            <w:tcW w:w="14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Pass Rate</w:t>
            </w:r>
          </w:p>
        </w:tc>
        <w:tc>
          <w:tcPr>
            <w:tcW w:w="4626"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Notes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AUF076</w:t>
            </w:r>
          </w:p>
        </w:tc>
        <w:tc>
          <w:tcPr>
            <w:tcW w:w="12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82</w:t>
            </w:r>
          </w:p>
        </w:tc>
        <w:tc>
          <w:tcPr>
            <w:tcW w:w="14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84%</w:t>
            </w:r>
          </w:p>
        </w:tc>
        <w:tc>
          <w:tcPr>
            <w:tcW w:w="46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Strong best UV candidate </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AUF285</w:t>
            </w:r>
          </w:p>
        </w:tc>
        <w:tc>
          <w:tcPr>
            <w:tcW w:w="12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43</w:t>
            </w:r>
          </w:p>
        </w:tc>
        <w:tc>
          <w:tcPr>
            <w:tcW w:w="14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81%</w:t>
            </w:r>
          </w:p>
        </w:tc>
        <w:tc>
          <w:tcPr>
            <w:tcW w:w="4626"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Strong best UV candidate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AUF075</w:t>
            </w:r>
          </w:p>
        </w:tc>
        <w:tc>
          <w:tcPr>
            <w:tcW w:w="12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10</w:t>
            </w:r>
          </w:p>
        </w:tc>
        <w:tc>
          <w:tcPr>
            <w:tcW w:w="14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100%</w:t>
            </w:r>
          </w:p>
        </w:tc>
        <w:tc>
          <w:tcPr>
            <w:tcW w:w="46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Lowest mean score (11%) but small sample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AUF274</w:t>
            </w:r>
          </w:p>
        </w:tc>
        <w:tc>
          <w:tcPr>
            <w:tcW w:w="12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4</w:t>
            </w:r>
          </w:p>
        </w:tc>
        <w:tc>
          <w:tcPr>
            <w:tcW w:w="14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75%</w:t>
            </w:r>
          </w:p>
        </w:tc>
        <w:tc>
          <w:tcPr>
            <w:tcW w:w="4626"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Very small sample</w:t>
            </w:r>
          </w:p>
        </w:tc>
      </w:tr>
    </w:tbl>
    <w:p>
      <w:pPr>
        <w:spacing w:before="40" w:after="4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AUF076, AUF285, are the only formulations with both strong performance and sufficient statistical evidence to act on. They are the primary recommendation.</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280" w:after="10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Tier 2 </w:t>
      </w:r>
      <w:r>
        <w:rPr>
          <w:rFonts w:ascii="Arial" w:hAnsi="Arial" w:cs="Arial" w:eastAsia="Arial"/>
          <w:b/>
          <w:color w:val="2E75B6"/>
          <w:spacing w:val="0"/>
          <w:position w:val="0"/>
          <w:sz w:val="24"/>
          <w:shd w:fill="auto" w:val="clear"/>
        </w:rPr>
        <w:t xml:space="preserve">—</w:t>
      </w:r>
      <w:r>
        <w:rPr>
          <w:rFonts w:ascii="Arial" w:hAnsi="Arial" w:cs="Arial" w:eastAsia="Arial"/>
          <w:b/>
          <w:color w:val="2E75B6"/>
          <w:spacing w:val="0"/>
          <w:position w:val="0"/>
          <w:sz w:val="24"/>
          <w:shd w:fill="auto" w:val="clear"/>
        </w:rPr>
        <w:t xml:space="preserve"> Inconsistent</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AUF110 is the most consequential formulation in the dataset. It accounts for 213 of 619 runs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34% of all tested production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yet achieves only a 44% pass rate. Its variability is not a chemistry problem. It is a process problem. Section 5 addresses this directly.</w:t>
      </w:r>
    </w:p>
    <w:p>
      <w:pPr>
        <w:spacing w:before="40" w:after="40" w:line="240"/>
        <w:ind w:right="0" w:left="0" w:firstLine="0"/>
        <w:jc w:val="left"/>
        <w:rPr>
          <w:rFonts w:ascii="Arial" w:hAnsi="Arial" w:cs="Arial" w:eastAsia="Arial"/>
          <w:color w:val="auto"/>
          <w:spacing w:val="0"/>
          <w:position w:val="0"/>
          <w:sz w:val="22"/>
          <w:shd w:fill="auto" w:val="clear"/>
        </w:rPr>
      </w:pPr>
    </w:p>
    <w:p>
      <w:pPr>
        <w:spacing w:before="280" w:after="10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Tier 3 </w:t>
      </w:r>
      <w:r>
        <w:rPr>
          <w:rFonts w:ascii="Arial" w:hAnsi="Arial" w:cs="Arial" w:eastAsia="Arial"/>
          <w:b/>
          <w:color w:val="2E75B6"/>
          <w:spacing w:val="0"/>
          <w:position w:val="0"/>
          <w:sz w:val="24"/>
          <w:shd w:fill="auto" w:val="clear"/>
        </w:rPr>
        <w:t xml:space="preserve">—</w:t>
      </w:r>
      <w:r>
        <w:rPr>
          <w:rFonts w:ascii="Arial" w:hAnsi="Arial" w:cs="Arial" w:eastAsia="Arial"/>
          <w:b/>
          <w:color w:val="2E75B6"/>
          <w:spacing w:val="0"/>
          <w:position w:val="0"/>
          <w:sz w:val="24"/>
          <w:shd w:fill="auto" w:val="clear"/>
        </w:rPr>
        <w:t xml:space="preserve"> Consistently poor</w:t>
      </w:r>
    </w:p>
    <w:tbl>
      <w:tblPr/>
      <w:tblGrid>
        <w:gridCol w:w="2000"/>
        <w:gridCol w:w="1600"/>
        <w:gridCol w:w="2000"/>
        <w:gridCol w:w="3426"/>
      </w:tblGrid>
      <w:tr>
        <w:trPr>
          <w:trHeight w:val="1" w:hRule="atLeast"/>
          <w:jc w:val="left"/>
        </w:trPr>
        <w:tc>
          <w:tcPr>
            <w:tcW w:w="20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Formulation</w:t>
            </w:r>
          </w:p>
        </w:tc>
        <w:tc>
          <w:tcPr>
            <w:tcW w:w="16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Runs (n)</w:t>
            </w:r>
          </w:p>
        </w:tc>
        <w:tc>
          <w:tcPr>
            <w:tcW w:w="2000"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Mean Score</w:t>
            </w:r>
          </w:p>
        </w:tc>
        <w:tc>
          <w:tcPr>
            <w:tcW w:w="3426"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Pass Rate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AUF138</w:t>
            </w:r>
          </w:p>
        </w:tc>
        <w:tc>
          <w:tcPr>
            <w:tcW w:w="16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28</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92.5%</w:t>
            </w:r>
          </w:p>
        </w:tc>
        <w:tc>
          <w:tcPr>
            <w:tcW w:w="34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~0%</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AUF093</w:t>
            </w:r>
          </w:p>
        </w:tc>
        <w:tc>
          <w:tcPr>
            <w:tcW w:w="16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27</w:t>
            </w:r>
          </w:p>
        </w:tc>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92.6%</w:t>
            </w:r>
          </w:p>
        </w:tc>
        <w:tc>
          <w:tcPr>
            <w:tcW w:w="3426"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~0%</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AUF198</w:t>
            </w:r>
          </w:p>
        </w:tc>
        <w:tc>
          <w:tcPr>
            <w:tcW w:w="16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24</w:t>
            </w:r>
          </w:p>
        </w:tc>
        <w:tc>
          <w:tcPr>
            <w:tcW w:w="20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75.6%</w:t>
            </w:r>
          </w:p>
        </w:tc>
        <w:tc>
          <w:tcPr>
            <w:tcW w:w="3426"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~21%</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AUF275</w:t>
            </w:r>
          </w:p>
        </w:tc>
        <w:tc>
          <w:tcPr>
            <w:tcW w:w="16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59</w:t>
            </w:r>
          </w:p>
        </w:tc>
        <w:tc>
          <w:tcPr>
            <w:tcW w:w="20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~75%</w:t>
            </w:r>
          </w:p>
        </w:tc>
        <w:tc>
          <w:tcPr>
            <w:tcW w:w="3426"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~20%</w:t>
            </w:r>
          </w:p>
        </w:tc>
      </w:tr>
    </w:tbl>
    <w:p>
      <w:pPr>
        <w:spacing w:before="40" w:after="4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formulations consistently fail regardless of process settings. Their chemistry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high SR833S and SR399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is the root cause. They cannot be rescued. Albotherm should retire them from production trials.</w:t>
      </w:r>
    </w:p>
    <w:p>
      <w:pPr>
        <w:spacing w:before="80" w:after="16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Best UV formulation: The tradeoff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pass rate vs stability</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AUF076 and AUF285 are both strong candidates, but they represent a genuine tradeoff </w:t>
      </w:r>
    </w:p>
    <w:tbl>
      <w:tblPr/>
      <w:tblGrid>
        <w:gridCol w:w="1800"/>
        <w:gridCol w:w="1289"/>
        <w:gridCol w:w="1000"/>
        <w:gridCol w:w="600"/>
        <w:gridCol w:w="800"/>
        <w:gridCol w:w="1200"/>
        <w:gridCol w:w="3426"/>
      </w:tblGrid>
      <w:tr>
        <w:trPr>
          <w:trHeight w:val="1" w:hRule="atLeast"/>
          <w:jc w:val="left"/>
        </w:trPr>
        <w:tc>
          <w:tcPr>
            <w:tcW w:w="3089" w:type="dxa"/>
            <w:gridSpan w:val="2"/>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Formulation</w:t>
            </w:r>
          </w:p>
        </w:tc>
        <w:tc>
          <w:tcPr>
            <w:tcW w:w="1600" w:type="dxa"/>
            <w:gridSpan w:val="2"/>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Runs (n)</w:t>
            </w:r>
          </w:p>
        </w:tc>
        <w:tc>
          <w:tcPr>
            <w:tcW w:w="2000" w:type="dxa"/>
            <w:gridSpan w:val="2"/>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Pass(%) </w:t>
            </w:r>
          </w:p>
        </w:tc>
        <w:tc>
          <w:tcPr>
            <w:tcW w:w="3426"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Drift (24hr </w:t>
            </w:r>
            <w:r>
              <w:rPr>
                <w:rFonts w:ascii="Cambria Math" w:hAnsi="Cambria Math" w:cs="Cambria Math" w:eastAsia="Cambria Math"/>
                <w:b/>
                <w:color w:val="FFFFFF"/>
                <w:spacing w:val="0"/>
                <w:position w:val="0"/>
                <w:sz w:val="20"/>
                <w:shd w:fill="auto" w:val="clear"/>
              </w:rPr>
              <w:t xml:space="preserve">→</w:t>
            </w:r>
            <w:r>
              <w:rPr>
                <w:rFonts w:ascii="Calibri" w:hAnsi="Calibri" w:cs="Calibri" w:eastAsia="Calibri"/>
                <w:b/>
                <w:color w:val="FFFFFF"/>
                <w:spacing w:val="0"/>
                <w:position w:val="0"/>
                <w:sz w:val="20"/>
                <w:shd w:fill="auto" w:val="clear"/>
              </w:rPr>
              <w:t xml:space="preserve"> 48hr) Average</w:t>
            </w:r>
          </w:p>
        </w:tc>
      </w:tr>
      <w:tr>
        <w:trPr>
          <w:trHeight w:val="255" w:hRule="auto"/>
          <w:jc w:val="left"/>
        </w:trPr>
        <w:tc>
          <w:tcPr>
            <w:tcW w:w="1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AUF076</w:t>
            </w:r>
          </w:p>
        </w:tc>
        <w:tc>
          <w:tcPr>
            <w:tcW w:w="2289" w:type="dxa"/>
            <w:gridSpan w:val="2"/>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82</w:t>
            </w:r>
          </w:p>
        </w:tc>
        <w:tc>
          <w:tcPr>
            <w:tcW w:w="1400" w:type="dxa"/>
            <w:gridSpan w:val="2"/>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84%</w:t>
            </w:r>
          </w:p>
        </w:tc>
        <w:tc>
          <w:tcPr>
            <w:tcW w:w="4626" w:type="dxa"/>
            <w:gridSpan w:val="2"/>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                     +5% </w:t>
            </w:r>
          </w:p>
        </w:tc>
      </w:tr>
      <w:tr>
        <w:trPr>
          <w:trHeight w:val="390" w:hRule="auto"/>
          <w:jc w:val="left"/>
        </w:trPr>
        <w:tc>
          <w:tcPr>
            <w:tcW w:w="1800"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AUF285</w:t>
            </w:r>
          </w:p>
        </w:tc>
        <w:tc>
          <w:tcPr>
            <w:tcW w:w="2289" w:type="dxa"/>
            <w:gridSpan w:val="2"/>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43</w:t>
            </w:r>
          </w:p>
        </w:tc>
        <w:tc>
          <w:tcPr>
            <w:tcW w:w="1400" w:type="dxa"/>
            <w:gridSpan w:val="2"/>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81%</w:t>
            </w:r>
          </w:p>
        </w:tc>
        <w:tc>
          <w:tcPr>
            <w:tcW w:w="4626" w:type="dxa"/>
            <w:gridSpan w:val="2"/>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                       0% </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AUF075</w:t>
            </w:r>
          </w:p>
        </w:tc>
        <w:tc>
          <w:tcPr>
            <w:tcW w:w="2289" w:type="dxa"/>
            <w:gridSpan w:val="2"/>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10</w:t>
            </w:r>
          </w:p>
        </w:tc>
        <w:tc>
          <w:tcPr>
            <w:tcW w:w="1400" w:type="dxa"/>
            <w:gridSpan w:val="2"/>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100%</w:t>
            </w:r>
          </w:p>
        </w:tc>
        <w:tc>
          <w:tcPr>
            <w:tcW w:w="4626" w:type="dxa"/>
            <w:gridSpan w:val="2"/>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                     +35%</w:t>
            </w:r>
          </w:p>
        </w:tc>
      </w:tr>
    </w:tbl>
    <w:p>
      <w:pPr>
        <w:spacing w:before="40" w:after="40" w:line="240"/>
        <w:ind w:right="0" w:left="0" w:firstLine="0"/>
        <w:jc w:val="left"/>
        <w:rPr>
          <w:rFonts w:ascii="Arial" w:hAnsi="Arial" w:cs="Arial" w:eastAsia="Arial"/>
          <w:color w:val="auto"/>
          <w:spacing w:val="0"/>
          <w:position w:val="0"/>
          <w:sz w:val="22"/>
          <w:shd w:fill="auto" w:val="clear"/>
        </w:rPr>
      </w:pP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AUF076 has the strongest pass rate and the most production evidence. However, it carries an average drift of +5% between 24hr and 48hr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meaning some batches that pass at 24hrs continue to degrade.</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AUF285 shows zero median drift. What passes at 24hrs holds at 48hrs. That is a signal of true shell integrity.</w:t>
      </w:r>
    </w:p>
    <w:p>
      <w:pPr>
        <w:spacing w:before="40" w:after="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AUF075 has 100% pass rate in 24hrs on 10 runs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but its +35% mean drift is a red flag. It may be passing the 24hr gate while silently degrading. More runs are needed before it can be trusted.</w:t>
      </w:r>
    </w:p>
    <w:p>
      <w:pPr>
        <w:spacing w:before="400" w:after="16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5. The Process Window </w:t>
      </w:r>
      <w:r>
        <w:rPr>
          <w:rFonts w:ascii="Arial" w:hAnsi="Arial" w:cs="Arial" w:eastAsia="Arial"/>
          <w:b/>
          <w:color w:val="1F4E79"/>
          <w:spacing w:val="0"/>
          <w:position w:val="0"/>
          <w:sz w:val="28"/>
          <w:shd w:fill="auto" w:val="clear"/>
        </w:rPr>
        <w:t xml:space="preserve">—</w:t>
      </w:r>
      <w:r>
        <w:rPr>
          <w:rFonts w:ascii="Arial" w:hAnsi="Arial" w:cs="Arial" w:eastAsia="Arial"/>
          <w:b/>
          <w:color w:val="1F4E79"/>
          <w:spacing w:val="0"/>
          <w:position w:val="0"/>
          <w:sz w:val="28"/>
          <w:shd w:fill="auto" w:val="clear"/>
        </w:rPr>
        <w:t xml:space="preserve"> AUF110 Case Study</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section 2, we discussed how formulation and process settings must not be optimised in isolation. AUF110 is a perfect case study. A good formulation run outside the safe process window will produce inconsistent durability scores.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AUF110 is the most used UV formulation in the dataset, accounting for 34% of all tested production runs. Yet it passes only 44% of the time. The chemistry is not the problem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AUF110’s UV composition does not carry the SR833S or SR399 signatures of a failing formulation.</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Within AUF110 runs alone, batches operating at different parameter values produce dramatically different durability outcomes. Three process parameters are the decisive factors:</w:t>
      </w:r>
    </w:p>
    <w:p>
      <w:pPr>
        <w:spacing w:before="40" w:after="40" w:line="240"/>
        <w:ind w:right="0" w:left="0" w:firstLine="0"/>
        <w:jc w:val="left"/>
        <w:rPr>
          <w:rFonts w:ascii="Arial" w:hAnsi="Arial" w:cs="Arial" w:eastAsia="Arial"/>
          <w:color w:val="auto"/>
          <w:spacing w:val="0"/>
          <w:position w:val="0"/>
          <w:sz w:val="22"/>
          <w:shd w:fill="auto" w:val="clear"/>
        </w:rPr>
      </w:pPr>
    </w:p>
    <w:tbl>
      <w:tblPr/>
      <w:tblGrid>
        <w:gridCol w:w="4513"/>
        <w:gridCol w:w="4513"/>
      </w:tblGrid>
      <w:tr>
        <w:trPr>
          <w:trHeight w:val="1" w:hRule="atLeast"/>
          <w:jc w:val="left"/>
        </w:trPr>
        <w:tc>
          <w:tcPr>
            <w:tcW w:w="4513"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Parameter</w:t>
            </w:r>
          </w:p>
        </w:tc>
        <w:tc>
          <w:tcPr>
            <w:tcW w:w="4513" w:type="dxa"/>
            <w:tcBorders>
              <w:top w:val="single" w:color="1f4e79" w:sz="1"/>
              <w:left w:val="single" w:color="1f4e79" w:sz="1"/>
              <w:bottom w:val="single" w:color="1f4e79" w:sz="1"/>
              <w:right w:val="single" w:color="1f4e79" w:sz="1"/>
            </w:tcBorders>
            <w:shd w:color="auto" w:fill="1f4e79"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FFFFFF"/>
                <w:spacing w:val="0"/>
                <w:position w:val="0"/>
                <w:sz w:val="20"/>
                <w:shd w:fill="auto" w:val="clear"/>
              </w:rPr>
              <w:t xml:space="preserve">Safe Operating Range</w:t>
            </w:r>
          </w:p>
        </w:tc>
      </w:tr>
      <w:tr>
        <w:trPr>
          <w:trHeight w:val="1" w:hRule="atLeast"/>
          <w:jc w:val="left"/>
        </w:trPr>
        <w:tc>
          <w:tcPr>
            <w:tcW w:w="4513"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Flow rate ratio</w:t>
            </w:r>
          </w:p>
        </w:tc>
        <w:tc>
          <w:tcPr>
            <w:tcW w:w="4513"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6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8</w:t>
            </w:r>
          </w:p>
        </w:tc>
      </w:tr>
      <w:tr>
        <w:trPr>
          <w:trHeight w:val="1" w:hRule="atLeast"/>
          <w:jc w:val="left"/>
        </w:trPr>
        <w:tc>
          <w:tcPr>
            <w:tcW w:w="4513"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Dispersed flow rate</w:t>
            </w:r>
          </w:p>
        </w:tc>
        <w:tc>
          <w:tcPr>
            <w:tcW w:w="4513" w:type="dxa"/>
            <w:tcBorders>
              <w:top w:val="single" w:color="cccccc" w:sz="1"/>
              <w:left w:val="single" w:color="cccccc" w:sz="1"/>
              <w:bottom w:val="single" w:color="cccccc" w:sz="1"/>
              <w:right w:val="single" w:color="cccccc" w:sz="1"/>
            </w:tcBorders>
            <w:shd w:color="auto"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24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30 mL/min</w:t>
            </w:r>
          </w:p>
        </w:tc>
      </w:tr>
      <w:tr>
        <w:trPr>
          <w:trHeight w:val="1" w:hRule="atLeast"/>
          <w:jc w:val="left"/>
        </w:trPr>
        <w:tc>
          <w:tcPr>
            <w:tcW w:w="4513"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Impeller speed</w:t>
            </w:r>
          </w:p>
        </w:tc>
        <w:tc>
          <w:tcPr>
            <w:tcW w:w="4513" w:type="dxa"/>
            <w:tcBorders>
              <w:top w:val="single" w:color="cccccc" w:sz="1"/>
              <w:left w:val="single" w:color="cccccc" w:sz="1"/>
              <w:bottom w:val="single" w:color="cccccc" w:sz="1"/>
              <w:right w:val="single" w:color="cccccc" w:sz="1"/>
            </w:tcBorders>
            <w:shd w:color="auto" w:fill="f2f7fc"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50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112 rpm</w:t>
            </w:r>
          </w:p>
        </w:tc>
      </w:tr>
    </w:tbl>
    <w:p>
      <w:pPr>
        <w:spacing w:before="40" w:after="4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Inside this operating window, performance is reliably good. Outside it, failure is likely regardless of how strong the formulation is. Albotherm must consistently operate AUF110 within these settings.</w:t>
      </w:r>
    </w:p>
    <w:p>
      <w:pPr>
        <w:spacing w:before="80" w:after="160" w:line="240"/>
        <w:ind w:right="0" w:left="0" w:firstLine="0"/>
        <w:jc w:val="left"/>
        <w:rPr>
          <w:rFonts w:ascii="Arial" w:hAnsi="Arial" w:cs="Arial" w:eastAsia="Arial"/>
          <w:color w:val="auto"/>
          <w:spacing w:val="0"/>
          <w:position w:val="0"/>
          <w:sz w:val="22"/>
          <w:shd w:fill="auto" w:val="clear"/>
        </w:rPr>
      </w:pP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F4E79"/>
          <w:spacing w:val="0"/>
          <w:position w:val="0"/>
          <w:sz w:val="28"/>
          <w:shd w:fill="auto" w:val="clear"/>
        </w:rPr>
        <w:t xml:space="preserve">6. Next phase -- </w:t>
      </w:r>
      <w:r>
        <w:rPr>
          <w:rFonts w:ascii="Arial" w:hAnsi="Arial" w:cs="Arial" w:eastAsia="Arial"/>
          <w:b/>
          <w:color w:val="1F4E79"/>
          <w:spacing w:val="0"/>
          <w:position w:val="0"/>
          <w:sz w:val="28"/>
          <w:shd w:fill="auto" w:val="clear"/>
        </w:rPr>
        <w:t xml:space="preserve">Optimisation</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next phase now asks the deeper questions: what is the truly optimal UV formulation, and what are the optimal process settings ?</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requires a structured optimisation experiment </w:t>
      </w:r>
      <w:r>
        <w:rPr>
          <w:rFonts w:ascii="Arial" w:hAnsi="Arial" w:cs="Arial" w:eastAsia="Arial"/>
          <w:color w:val="auto"/>
          <w:spacing w:val="0"/>
          <w:position w:val="0"/>
          <w:sz w:val="22"/>
          <w:shd w:fill="auto" w:val="clear"/>
        </w:rPr>
        <w:t xml:space="preserve">— and to design it correctly, we need Albotherm's input on three things.</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We ask Albotherm to feedback:</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Is AUF110 a preferred UV formulation?</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data shows AUF110 is by far the most used formulation, accounting for 34% of all production runs. Does that reflect a deliberate preference — and if so, should we focus optimisation around AUF110 within its optimal process window? Or is Albotherm open to redirecting toward other formulation like AUF285, AUF076 as the primary formulation going forward?</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What is the monetary cost of a single experimental run?</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directly determines which optimisation technique we recommend. A lower cost per run opens the door to broader exploration. A higher cost per run points us toward Bayesian optimisation — which learns from each experiment and reaches an optimum in 20–30 runs rather than 50–100.</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How long does a single experimental run take to produce a result?</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turnaround is fast, we can run more experiments in sequence. If each run takes days or weeks, we will design for the fewest experiments possible without sacrificing confidence.</w:t>
      </w:r>
    </w:p>
    <w:p>
      <w:pPr>
        <w:spacing w:before="8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answers to these three questions will directly shape the experimental design delivered in our next report.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