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[Deal Name]: Customer Diligence</w:t>
      </w:r>
    </w:p>
    <w:p>
      <w:pPr>
        <w:spacing w:after="120" w:line="264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Layout and style guide for the Customer Diligence skill. Placeholders are in brackets. A section, table or row appears only when the sources carry data for it; anything not disclosed is listed once under Diligence Gaps. This template is a guideline for consistent output, not the canonical form of a read.</w:t>
      </w:r>
    </w:p>
    <w:p>
      <w:pPr>
        <w:spacing w:after="120" w:line="264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[One line: built from the Customers answers and the Customers &amp; Markets page. Staleness line here if flagged.]</w:t>
      </w:r>
    </w:p>
    <w:p>
      <w:pPr>
        <w:pStyle w:val="Heading1"/>
        <w:keepNext/>
        <w:pBdr>
          <w:bottom w:val="single" w:color="1F3864" w:sz="8" w:space="2"/>
        </w:pBdr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Overview</w:t>
      </w:r>
    </w:p>
    <w:p>
      <w:pPr>
        <w:spacing w:after="120" w:line="264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[One to three sentences. Open with the position (strength, weakness or mixed) and the reason. Connect concentration, retention, churn and contract structure.]</w:t>
      </w:r>
    </w:p>
    <w:p>
      <w:pPr>
        <w:pStyle w:val="Heading1"/>
        <w:keepNext/>
        <w:pBdr>
          <w:bottom w:val="single" w:color="1F3864" w:sz="8" w:space="2"/>
        </w:pBdr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Customer Profile and Concentration</w:t>
      </w:r>
    </w:p>
    <w:p>
      <w:pPr>
        <w:spacing w:after="120" w:line="264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Concentration overview.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[One to three sentences.]</w:t>
      </w:r>
    </w:p>
    <w:p>
      <w:pPr>
        <w:spacing w:after="120" w:line="264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Credit Read.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[Verbatim from the Customers &amp; Markets page, if present.]</w:t>
      </w: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Concentration figures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80"/>
        <w:gridCol w:w="2980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Grouping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Cumulative revenue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Cumulative % of revenue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Top customer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Top 5 customers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Top 10 customers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Top 25 customers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Analogous concentrations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Concentration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Credit note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[Product / channel / supplier / geographic / payor]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[figure]</w:t>
            </w:r>
          </w:p>
        </w:tc>
        <w:tc>
          <w:tcPr>
            <w:tcW w:type="dxa" w:w="3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[one line]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[count and basis]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Customer segments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Scale (ARR or revenue)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Concentration basis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[entity or perimeter the figures are on]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Revenue mix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0"/>
        <w:gridCol w:w="2480"/>
      </w:tblGrid>
      <w:tr>
        <w:trPr>
          <w:cantSplit/>
          <w:tblHeader/>
        </w:trPr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of revenue</w:t>
            </w:r>
          </w:p>
        </w:tc>
      </w:tr>
      <w:tr>
        <w:trPr>
          <w:cantSplit/>
        </w:trPr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[true label]</w:t>
            </w:r>
          </w:p>
        </w:tc>
        <w:tc>
          <w:tcPr>
            <w:tcW w:type="dxa" w:w="2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Distribution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900"/>
        <w:gridCol w:w="3360"/>
      </w:tblGrid>
      <w:tr>
        <w:trPr>
          <w:cantSplit/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Share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Basis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[bookings or revenue]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 ]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1F3864" w:sz="8" w:space="2"/>
        </w:pBdr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Named Customer Examples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[Account].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[What the documents say, and the source.]</w:t>
      </w:r>
    </w:p>
    <w:p>
      <w:pPr>
        <w:pStyle w:val="Heading1"/>
        <w:keepNext/>
        <w:pBdr>
          <w:bottom w:val="single" w:color="1F3864" w:sz="8" w:space="2"/>
        </w:pBdr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Relationship Durability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[Mechanism].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[Evidence.]</w:t>
      </w:r>
    </w:p>
    <w:p>
      <w:pPr>
        <w:pStyle w:val="Heading1"/>
        <w:keepNext/>
        <w:pBdr>
          <w:bottom w:val="single" w:color="1F3864" w:sz="8" w:space="2"/>
        </w:pBdr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Credit-Framed Blocks</w:t>
      </w:r>
    </w:p>
    <w:p>
      <w:pPr>
        <w:spacing w:after="120" w:line="264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[One line on whether the source carries Credit Reads for these blocks.]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[Wins / Losses / Retention (frame) / Contracts / Satisfaction / Churn Rate]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point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Disclosed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 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Partial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[evidence]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1F3864" w:sz="8" w:space="2"/>
        </w:pBdr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Customer Risks</w:t>
      </w:r>
    </w:p>
    <w:p>
      <w:pPr>
        <w:pStyle w:val="ListParagraph"/>
        <w:numPr>
          <w:ilvl w:val="0"/>
          <w:numId w:val="3"/>
        </w:numPr>
        <w:spacing w:after="60" w:line="259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[Risk and its credit consequence, one or two sentences.]</w:t>
      </w:r>
    </w:p>
    <w:p>
      <w:pPr>
        <w:pStyle w:val="Heading1"/>
        <w:keepNext/>
        <w:pBdr>
          <w:bottom w:val="single" w:color="1F3864" w:sz="8" w:space="2"/>
        </w:pBdr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Peer and Competitor Data (not company-specific)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[Labeled peer data.]</w:t>
      </w:r>
    </w:p>
    <w:p>
      <w:pPr>
        <w:pStyle w:val="Heading1"/>
        <w:keepNext/>
        <w:pBdr>
          <w:bottom w:val="single" w:color="1F3864" w:sz="8" w:space="2"/>
        </w:pBdr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Diligence Gaps</w:t>
      </w:r>
    </w:p>
    <w:p>
      <w:pPr>
        <w:spacing w:after="120" w:line="264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[Priorities on the HIGH, MEDIUM, LOW test. Evidence Base Limitations: [none or the limitation].]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2200"/>
        <w:gridCol w:w="2500"/>
        <w:gridCol w:w="8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Topic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What is not disclosed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Why it matters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Ask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[ 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[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[document, dataset or call]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 / MEDIUM / LOW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1F3864" w:sz="8" w:space="2"/>
        </w:pBdr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Pass 2 Findings</w:t>
      </w:r>
    </w:p>
    <w:p>
      <w:pPr>
        <w:pStyle w:val="ListParagraph"/>
        <w:numPr>
          <w:ilvl w:val="0"/>
          <w:numId w:val="4"/>
        </w:numPr>
        <w:spacing w:after="60" w:line="259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[Finding, labeled by origin: deal document, peer signal or open search.]</w:t>
      </w:r>
    </w:p>
    <w:sectPr>
      <w:headerReference w:type="default" r:id="rId7"/>
      <w:footerReference w:type="default" r:id="rId8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[Deal Name] | Customer Diligence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143079854A54D9892AFDB502399A0" ma:contentTypeVersion="15" ma:contentTypeDescription="Create a new document." ma:contentTypeScope="" ma:versionID="22e601a24562e73b2f5afc1046dcfba6">
  <xsd:schema xmlns:xsd="http://www.w3.org/2001/XMLSchema" xmlns:xs="http://www.w3.org/2001/XMLSchema" xmlns:p="http://schemas.microsoft.com/office/2006/metadata/properties" xmlns:ns2="7945be74-f550-42ae-be50-e20c01470fa8" xmlns:ns3="41866f6e-3c95-4ce7-90cd-084695edabd7" targetNamespace="http://schemas.microsoft.com/office/2006/metadata/properties" ma:root="true" ma:fieldsID="4c891952338fb39d319fedeac18bb4f8" ns2:_="" ns3:_="">
    <xsd:import namespace="7945be74-f550-42ae-be50-e20c01470fa8"/>
    <xsd:import namespace="41866f6e-3c95-4ce7-90cd-084695edab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45be74-f550-42ae-be50-e20c01470f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d09cff7-3085-437c-9583-5564e34a3e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866f6e-3c95-4ce7-90cd-084695edabd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dc2924a-1837-4a5f-9c22-6b8d8f490986}" ma:internalName="TaxCatchAll" ma:showField="CatchAllData" ma:web="41866f6e-3c95-4ce7-90cd-084695edab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866f6e-3c95-4ce7-90cd-084695edabd7" xsi:nil="true"/>
    <lcf76f155ced4ddcb4097134ff3c332f xmlns="7945be74-f550-42ae-be50-e20c01470f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CDF04C-5641-4E43-AC89-C285F1CFB7CE}"/>
</file>

<file path=customXml/itemProps2.xml><?xml version="1.0" encoding="utf-8"?>
<ds:datastoreItem xmlns:ds="http://schemas.openxmlformats.org/officeDocument/2006/customXml" ds:itemID="{514BF88D-8C4F-4A53-AF6E-9D1A99460624}"/>
</file>

<file path=customXml/itemProps3.xml><?xml version="1.0" encoding="utf-8"?>
<ds:datastoreItem xmlns:ds="http://schemas.openxmlformats.org/officeDocument/2006/customXml" ds:itemID="{582FF3C7-81A0-486E-9445-EFF95D1C0CAD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Raven</dc:creator>
  <cp:lastModifiedBy>Un-named</cp:lastModifiedBy>
  <cp:revision>1</cp:revision>
  <dcterms:created xsi:type="dcterms:W3CDTF">2026-10-20T00:35:36Z</dcterms:created>
  <dcterms:modified xsi:type="dcterms:W3CDTF">2026-10-20T00:35:36Z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0x010100979143079854A54D9892AFDB502399A0</vt:lpwstr>
  </property>
</Properties>
</file>