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50"/>
      </w:pPr>
      <w:r>
        <w:rPr>
          <w:rFonts w:ascii="Open Sans" w:cs="Open Sans" w:eastAsia="Open Sans" w:hAnsi="Open Sans"/>
          <w:b/>
          <w:bCs/>
          <w:color w:val="1F3A52"/>
          <w:sz w:val="36"/>
          <w:szCs w:val="36"/>
        </w:rPr>
        <w:t xml:space="preserve">[Company]</w:t>
      </w:r>
    </w:p>
    <w:p>
      <w:pPr>
        <w:spacing w:after="30" w:before="0" w:line="250"/>
      </w:pPr>
      <w:r>
        <w:rPr>
          <w:rFonts w:ascii="Open Sans" w:cs="Open Sans" w:eastAsia="Open Sans" w:hAnsi="Open Sans"/>
          <w:color w:val="1F3A52"/>
          <w:sz w:val="22"/>
          <w:szCs w:val="22"/>
        </w:rPr>
        <w:t xml:space="preserve">Software tearsheet</w:t>
      </w:r>
    </w:p>
    <w:p>
      <w:pPr>
        <w:spacing w:after="20" w:before="0" w:line="250"/>
      </w:pPr>
      <w:r>
        <w:rPr>
          <w:rFonts w:ascii="Open Sans" w:cs="Open Sans" w:eastAsia="Open Sans" w:hAnsi="Open Sans"/>
          <w:color w:val="5A636A"/>
          <w:sz w:val="15"/>
          <w:szCs w:val="15"/>
        </w:rPr>
        <w:t xml:space="preserve">[Project]  ·  USD in millions (MM)  ·  Actuals (A) unless marked B (budget) or P (projected)  ·  EBITDA (earnings before interest, taxes, depreciation and amortization) basis: [layer title]</w:t>
      </w:r>
    </w:p>
    <w:p>
      <w:pPr>
        <w:spacing w:after="30" w:before="0" w:line="25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[Optional: one line giving the stated reason when it is stale. Delete the field when not stale.]</w:t>
      </w:r>
    </w:p>
    <w:p>
      <w:pPr>
        <w:spacing w:after="40" w:before="0" w:line="250"/>
      </w:pPr>
      <w:r>
        <w:rPr>
          <w:rFonts w:ascii="Open Sans" w:cs="Open Sans" w:eastAsia="Open Sans" w:hAnsi="Open Sans"/>
          <w:i/>
          <w:iCs/>
          <w:sz w:val="16"/>
          <w:szCs w:val="16"/>
        </w:rPr>
        <w:t xml:space="preserve">Application: [..]  ·  Delivery: [..]  ·  Customers: [..]  ·  Revenue: [..]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600"/>
        <w:gridCol w:w="2200"/>
        <w:gridCol w:w="3036"/>
      </w:tblGrid>
      <w:tr>
        <w:trPr>
          <w:cantSplit/>
          <w:tblHeader/>
        </w:trPr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Facilities</w:t>
            </w:r>
          </w:p>
        </w:tc>
        <w:tc>
          <w:tcPr>
            <w:tcW w:type="dxa" w:w="16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Sponsor equity</w:t>
            </w:r>
          </w:p>
        </w:tc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Total capitalization</w:t>
            </w:r>
          </w:p>
        </w:tc>
        <w:tc>
          <w:tcPr>
            <w:tcW w:type="dxa" w:w="3036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Leverage (as stated)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[facilities]</w:t>
            </w:r>
          </w:p>
        </w:tc>
        <w:tc>
          <w:tcPr>
            <w:tcW w:type="dxa" w:w="1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[amount]</w:t>
            </w:r>
          </w:p>
        </w:tc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[amount and basis]</w:t>
            </w:r>
          </w:p>
        </w:tc>
        <w:tc>
          <w:tcPr>
            <w:tcW w:type="dxa" w:w="30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[as stated]</w:t>
            </w:r>
          </w:p>
        </w:tc>
      </w:tr>
    </w:tbl>
    <w:p>
      <w:pPr>
        <w:keepNext/>
        <w:pBdr>
          <w:bottom w:val="single" w:color="1F3A52" w:sz="6" w:space="2"/>
        </w:pBdr>
        <w:spacing w:after="50" w:before="90"/>
      </w:pPr>
      <w:r>
        <w:rPr>
          <w:rFonts w:ascii="Open Sans" w:cs="Open Sans" w:eastAsia="Open Sans" w:hAnsi="Open Sans"/>
          <w:b/>
          <w:bCs/>
          <w:color w:val="1F3A52"/>
          <w:sz w:val="22"/>
          <w:szCs w:val="22"/>
        </w:rPr>
        <w:t xml:space="preserve">Business</w:t>
      </w:r>
    </w:p>
    <w:p>
      <w:pPr>
        <w:spacing w:after="40" w:before="0" w:line="250"/>
      </w:pPr>
      <w:r>
        <w:rPr>
          <w:rFonts w:ascii="Open Sans" w:cs="Open Sans" w:eastAsia="Open Sans" w:hAnsi="Open Sans"/>
          <w:sz w:val="18"/>
          <w:szCs w:val="18"/>
        </w:rPr>
        <w:t xml:space="preserve">[Paragraph 1: what it does, who buys it, how delivered, where it operates]</w:t>
      </w:r>
    </w:p>
    <w:p>
      <w:pPr>
        <w:spacing w:after="10" w:before="0" w:line="250"/>
      </w:pPr>
      <w:r>
        <w:rPr>
          <w:rFonts w:ascii="Open Sans" w:cs="Open Sans" w:eastAsia="Open Sans" w:hAnsi="Open Sans"/>
          <w:sz w:val="18"/>
          <w:szCs w:val="18"/>
        </w:rPr>
        <w:t xml:space="preserve">[Paragraph 2: scale with periods and what supports revenue visibility]</w:t>
      </w:r>
    </w:p>
    <w:p>
      <w:pPr>
        <w:keepNext/>
        <w:pBdr>
          <w:bottom w:val="single" w:color="1F3A52" w:sz="6" w:space="2"/>
        </w:pBdr>
        <w:spacing w:after="50" w:before="90"/>
      </w:pPr>
      <w:r>
        <w:rPr>
          <w:rFonts w:ascii="Open Sans" w:cs="Open Sans" w:eastAsia="Open Sans" w:hAnsi="Open Sans"/>
          <w:b/>
          <w:bCs/>
          <w:color w:val="1F3A52"/>
          <w:sz w:val="22"/>
          <w:szCs w:val="22"/>
        </w:rPr>
        <w:t xml:space="preserve">Revenue model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6"/>
        <w:gridCol w:w="1900"/>
        <w:gridCol w:w="1900"/>
        <w:gridCol w:w="2200"/>
      </w:tblGrid>
      <w:tr>
        <w:trPr>
          <w:cantSplit/>
          <w:tblHeader/>
        </w:trPr>
        <w:tc>
          <w:tcPr>
            <w:tcW w:type="dxa" w:w="3936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Revenue stream</w:t>
            </w:r>
          </w:p>
        </w:tc>
        <w:tc>
          <w:tcPr>
            <w:tcW w:type="dxa" w:w="19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[Period A]</w:t>
            </w:r>
          </w:p>
        </w:tc>
        <w:tc>
          <w:tcPr>
            <w:tcW w:type="dxa" w:w="19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[Period B]</w:t>
            </w:r>
          </w:p>
        </w:tc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Share of [Period B] revenue</w:t>
            </w:r>
          </w:p>
        </w:tc>
      </w:tr>
      <w:tr>
        <w:trPr>
          <w:cantSplit/>
        </w:trPr>
        <w:tc>
          <w:tcPr>
            <w:tcW w:type="dxa" w:w="39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[Company's own stream name]</w:t>
            </w:r>
          </w:p>
        </w:tc>
        <w:tc>
          <w:tcPr>
            <w:tcW w:type="dxa" w:w="19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  <w:tc>
          <w:tcPr>
            <w:tcW w:type="dxa" w:w="19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936"/>
            <w:tcBorders>
              <w:top w:val="single" w:color="1F3A52" w:sz="6"/>
              <w:left w:val="single" w:color="BFC5CA" w:sz="4"/>
              <w:bottom w:val="single" w:color="BFC5CA" w:sz="4"/>
              <w:right w:val="single" w:color="BFC5CA" w:sz="4"/>
            </w:tcBorders>
            <w:shd w:fill="E6EAEC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[Total revenue]</w:t>
            </w:r>
          </w:p>
        </w:tc>
        <w:tc>
          <w:tcPr>
            <w:tcW w:type="dxa" w:w="1900"/>
            <w:tcBorders>
              <w:top w:val="single" w:color="1F3A52" w:sz="6"/>
              <w:left w:val="single" w:color="BFC5CA" w:sz="4"/>
              <w:bottom w:val="single" w:color="BFC5CA" w:sz="4"/>
              <w:right w:val="single" w:color="BFC5CA" w:sz="4"/>
            </w:tcBorders>
            <w:shd w:fill="E6EAEC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[ ]</w:t>
            </w:r>
          </w:p>
        </w:tc>
        <w:tc>
          <w:tcPr>
            <w:tcW w:type="dxa" w:w="1900"/>
            <w:tcBorders>
              <w:top w:val="single" w:color="1F3A52" w:sz="6"/>
              <w:left w:val="single" w:color="BFC5CA" w:sz="4"/>
              <w:bottom w:val="single" w:color="BFC5CA" w:sz="4"/>
              <w:right w:val="single" w:color="BFC5CA" w:sz="4"/>
            </w:tcBorders>
            <w:shd w:fill="E6EAEC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[ ]</w:t>
            </w:r>
          </w:p>
        </w:tc>
        <w:tc>
          <w:tcPr>
            <w:tcW w:type="dxa" w:w="2200"/>
            <w:tcBorders>
              <w:top w:val="single" w:color="1F3A52" w:sz="6"/>
              <w:left w:val="single" w:color="BFC5CA" w:sz="4"/>
              <w:bottom w:val="single" w:color="BFC5CA" w:sz="4"/>
              <w:right w:val="single" w:color="BFC5CA" w:sz="4"/>
            </w:tcBorders>
            <w:shd w:fill="E6EAEC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/>
            </w:r>
          </w:p>
        </w:tc>
      </w:tr>
    </w:tbl>
    <w:p>
      <w:pPr>
        <w:spacing w:after="10" w:before="40" w:line="250"/>
      </w:pPr>
      <w:r>
        <w:rPr>
          <w:rFonts w:ascii="Open Sans" w:cs="Open Sans" w:eastAsia="Open Sans" w:hAnsi="Open Sans"/>
          <w:sz w:val="18"/>
          <w:szCs w:val="18"/>
        </w:rPr>
        <w:t xml:space="preserve">[What is committed and what is transactional; pricing; items not disclosed]</w:t>
      </w:r>
    </w:p>
    <w:p>
      <w:pPr>
        <w:spacing w:after="40" w:before="40" w:line="250"/>
      </w:pPr>
      <w:r>
        <w:rPr>
          <w:rFonts w:ascii="Open Sans" w:cs="Open Sans" w:eastAsia="Open Sans" w:hAnsi="Open Sans"/>
          <w:b/>
          <w:bCs/>
          <w:color w:val="1F3A52"/>
          <w:sz w:val="17"/>
          <w:szCs w:val="17"/>
        </w:rPr>
        <w:t xml:space="preserve">Credit implication. </w:t>
      </w:r>
      <w:r>
        <w:rPr>
          <w:rFonts w:ascii="Open Sans" w:cs="Open Sans" w:eastAsia="Open Sans" w:hAnsi="Open Sans"/>
          <w:sz w:val="17"/>
          <w:szCs w:val="17"/>
        </w:rPr>
        <w:t xml:space="preserve">[One or two sentences]</w:t>
      </w:r>
    </w:p>
    <w:p>
      <w:pPr>
        <w:keepNext/>
        <w:pBdr>
          <w:bottom w:val="single" w:color="1F3A52" w:sz="6" w:space="2"/>
        </w:pBdr>
        <w:spacing w:after="50" w:before="90"/>
      </w:pPr>
      <w:r>
        <w:rPr>
          <w:rFonts w:ascii="Open Sans" w:cs="Open Sans" w:eastAsia="Open Sans" w:hAnsi="Open Sans"/>
          <w:b/>
          <w:bCs/>
          <w:color w:val="1F3A52"/>
          <w:sz w:val="22"/>
          <w:szCs w:val="22"/>
        </w:rPr>
        <w:t xml:space="preserve">Market position and barriers to entry</w:t>
      </w:r>
    </w:p>
    <w:p>
      <w:pPr>
        <w:spacing w:after="40" w:before="0" w:line="250"/>
      </w:pPr>
      <w:r>
        <w:rPr>
          <w:rFonts w:ascii="Open Sans" w:cs="Open Sans" w:eastAsia="Open Sans" w:hAnsi="Open Sans"/>
          <w:sz w:val="18"/>
          <w:szCs w:val="18"/>
        </w:rPr>
        <w:t xml:space="preserve">[Position paragraph]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6336"/>
      </w:tblGrid>
      <w:tr>
        <w:trPr>
          <w:cantSplit/>
          <w:tblHeader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Barrier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Assessment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Regulatory requirements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Economies of scale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Capital requirements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Scarcity of input resources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R&amp;D requirements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Intangible assets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Network effects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Distribution and channel access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Experience curve</w:t>
            </w:r>
          </w:p>
        </w:tc>
        <w:tc>
          <w:tcPr>
            <w:tcW w:type="dxa" w:w="1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verdict]</w:t>
            </w:r>
          </w:p>
        </w:tc>
        <w:tc>
          <w:tcPr>
            <w:tcW w:type="dxa" w:w="63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line]</w:t>
            </w:r>
          </w:p>
        </w:tc>
      </w:tr>
    </w:tbl>
    <w:p>
      <w:pPr>
        <w:spacing w:after="10" w:before="30" w:line="250"/>
      </w:pPr>
      <w:r>
        <w:rPr>
          <w:rFonts w:ascii="Open Sans" w:cs="Open Sans" w:eastAsia="Open Sans" w:hAnsi="Open Sans"/>
          <w:b/>
          <w:bCs/>
          <w:sz w:val="16"/>
          <w:szCs w:val="16"/>
        </w:rPr>
        <w:t xml:space="preserve">Overall assessment of barriers to entry: [stated verdict].</w:t>
      </w:r>
      <w:r>
        <w:rPr>
          <w:rFonts w:ascii="Open Sans" w:cs="Open Sans" w:eastAsia="Open Sans" w:hAnsi="Open Sans"/>
          <w:sz w:val="16"/>
          <w:szCs w:val="16"/>
        </w:rPr>
        <w:t xml:space="preserve"> [Counts, direction, switching cost statement]</w:t>
      </w:r>
    </w:p>
    <w:p>
      <w:pPr>
        <w:spacing w:after="40" w:before="40" w:line="250"/>
      </w:pPr>
      <w:r>
        <w:rPr>
          <w:rFonts w:ascii="Open Sans" w:cs="Open Sans" w:eastAsia="Open Sans" w:hAnsi="Open Sans"/>
          <w:b/>
          <w:bCs/>
          <w:color w:val="1F3A52"/>
          <w:sz w:val="17"/>
          <w:szCs w:val="17"/>
        </w:rPr>
        <w:t xml:space="preserve">Credit implication. </w:t>
      </w:r>
      <w:r>
        <w:rPr>
          <w:rFonts w:ascii="Open Sans" w:cs="Open Sans" w:eastAsia="Open Sans" w:hAnsi="Open Sans"/>
          <w:sz w:val="17"/>
          <w:szCs w:val="17"/>
        </w:rPr>
        <w:t xml:space="preserve">[One or two sentences]</w:t>
      </w:r>
    </w:p>
    <w:p>
      <w:pPr>
        <w:keepNext/>
        <w:pageBreakBefore/>
        <w:pBdr>
          <w:bottom w:val="single" w:color="1F3A52" w:sz="6" w:space="2"/>
        </w:pBdr>
        <w:spacing w:after="50" w:before="0"/>
      </w:pPr>
      <w:r>
        <w:rPr>
          <w:rFonts w:ascii="Open Sans" w:cs="Open Sans" w:eastAsia="Open Sans" w:hAnsi="Open Sans"/>
          <w:b/>
          <w:bCs/>
          <w:color w:val="1F3A52"/>
          <w:sz w:val="22"/>
          <w:szCs w:val="22"/>
        </w:rPr>
        <w:t xml:space="preserve">Customers and contracts</w:t>
      </w:r>
    </w:p>
    <w:p>
      <w:pPr>
        <w:spacing w:after="50" w:before="0" w:line="250"/>
      </w:pPr>
      <w:r>
        <w:rPr>
          <w:rFonts w:ascii="Open Sans" w:cs="Open Sans" w:eastAsia="Open Sans" w:hAnsi="Open Sans"/>
          <w:sz w:val="18"/>
          <w:szCs w:val="18"/>
        </w:rPr>
        <w:t xml:space="preserve">[Composition and concentration]</w:t>
      </w:r>
    </w:p>
    <w:p>
      <w:pPr>
        <w:spacing w:after="50" w:before="0" w:line="250"/>
      </w:pPr>
      <w:r>
        <w:rPr>
          <w:rFonts w:ascii="Open Sans" w:cs="Open Sans" w:eastAsia="Open Sans" w:hAnsi="Open Sans"/>
          <w:sz w:val="18"/>
          <w:szCs w:val="18"/>
        </w:rPr>
        <w:t xml:space="preserve">[Tenure, wins and losses]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36"/>
      </w:tblGrid>
      <w:tr>
        <w:trPr>
          <w:cantSplit/>
          <w:tblHeader/>
        </w:trPr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Measure</w:t>
            </w:r>
          </w:p>
        </w:tc>
        <w:tc>
          <w:tcPr>
            <w:tcW w:type="dxa" w:w="7736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Clients</w:t>
            </w:r>
          </w:p>
        </w:tc>
        <w:tc>
          <w:tcPr>
            <w:tcW w:type="dxa" w:w="7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Top 5 and largest client</w:t>
            </w:r>
          </w:p>
        </w:tc>
        <w:tc>
          <w:tcPr>
            <w:tcW w:type="dxa" w:w="7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Backlog</w:t>
            </w:r>
          </w:p>
        </w:tc>
        <w:tc>
          <w:tcPr>
            <w:tcW w:type="dxa" w:w="7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ARR (annual recurring revenue) up for renewal</w:t>
            </w:r>
          </w:p>
        </w:tc>
        <w:tc>
          <w:tcPr>
            <w:tcW w:type="dxa" w:w="7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Net revenue retention</w:t>
            </w:r>
          </w:p>
        </w:tc>
        <w:tc>
          <w:tcPr>
            <w:tcW w:type="dxa" w:w="7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Satisfaction evidence</w:t>
            </w:r>
          </w:p>
        </w:tc>
        <w:tc>
          <w:tcPr>
            <w:tcW w:type="dxa" w:w="7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10" w:before="50" w:line="250"/>
      </w:pPr>
      <w:r>
        <w:rPr>
          <w:rFonts w:ascii="Open Sans" w:cs="Open Sans" w:eastAsia="Open Sans" w:hAnsi="Open Sans"/>
          <w:sz w:val="18"/>
          <w:szCs w:val="18"/>
        </w:rPr>
        <w:t xml:space="preserve">[Contract structure]</w:t>
      </w:r>
    </w:p>
    <w:p>
      <w:pPr>
        <w:spacing w:after="40" w:before="40" w:line="250"/>
      </w:pPr>
      <w:r>
        <w:rPr>
          <w:rFonts w:ascii="Open Sans" w:cs="Open Sans" w:eastAsia="Open Sans" w:hAnsi="Open Sans"/>
          <w:b/>
          <w:bCs/>
          <w:color w:val="1F3A52"/>
          <w:sz w:val="17"/>
          <w:szCs w:val="17"/>
        </w:rPr>
        <w:t xml:space="preserve">Credit implication. </w:t>
      </w:r>
      <w:r>
        <w:rPr>
          <w:rFonts w:ascii="Open Sans" w:cs="Open Sans" w:eastAsia="Open Sans" w:hAnsi="Open Sans"/>
          <w:sz w:val="17"/>
          <w:szCs w:val="17"/>
        </w:rPr>
        <w:t xml:space="preserve">[Concentration read with renewal timing]</w:t>
      </w:r>
    </w:p>
    <w:p>
      <w:pPr>
        <w:keepNext/>
        <w:pBdr>
          <w:bottom w:val="single" w:color="1F3A52" w:sz="6" w:space="2"/>
        </w:pBdr>
        <w:spacing w:after="50" w:before="90"/>
      </w:pPr>
      <w:r>
        <w:rPr>
          <w:rFonts w:ascii="Open Sans" w:cs="Open Sans" w:eastAsia="Open Sans" w:hAnsi="Open Sans"/>
          <w:b/>
          <w:bCs/>
          <w:color w:val="1F3A52"/>
          <w:sz w:val="22"/>
          <w:szCs w:val="22"/>
        </w:rPr>
        <w:t xml:space="preserve">Financial summary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6"/>
        <w:gridCol w:w="1725"/>
        <w:gridCol w:w="1725"/>
        <w:gridCol w:w="1725"/>
        <w:gridCol w:w="1725"/>
      </w:tblGrid>
      <w:tr>
        <w:trPr>
          <w:cantSplit/>
          <w:tblHeader/>
        </w:trPr>
        <w:tc>
          <w:tcPr>
            <w:tcW w:type="dxa" w:w="3036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USD MM</w:t>
            </w:r>
          </w:p>
        </w:tc>
        <w:tc>
          <w:tcPr>
            <w:tcW w:type="dxa" w:w="1725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[A]</w:t>
            </w:r>
          </w:p>
        </w:tc>
        <w:tc>
          <w:tcPr>
            <w:tcW w:type="dxa" w:w="1725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[A]</w:t>
            </w:r>
          </w:p>
        </w:tc>
        <w:tc>
          <w:tcPr>
            <w:tcW w:type="dxa" w:w="1725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[A]</w:t>
            </w:r>
          </w:p>
        </w:tc>
        <w:tc>
          <w:tcPr>
            <w:tcW w:type="dxa" w:w="1725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[A]</w:t>
            </w:r>
          </w:p>
        </w:tc>
      </w:tr>
      <w:tr>
        <w:trPr>
          <w:cantSplit/>
        </w:trPr>
        <w:tc>
          <w:tcPr>
            <w:tcW w:type="dxa" w:w="30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Revenue</w:t>
            </w:r>
          </w:p>
        </w:tc>
        <w:tc>
          <w:tcPr>
            <w:tcW w:type="dxa" w:w="1725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[ ]</w:t>
            </w:r>
          </w:p>
        </w:tc>
        <w:tc>
          <w:tcPr>
            <w:tcW w:type="dxa" w:w="1725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[ ]</w:t>
            </w:r>
          </w:p>
        </w:tc>
        <w:tc>
          <w:tcPr>
            <w:tcW w:type="dxa" w:w="1725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[ ]</w:t>
            </w:r>
          </w:p>
        </w:tc>
        <w:tc>
          <w:tcPr>
            <w:tcW w:type="dxa" w:w="1725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righ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[ ]</w:t>
            </w:r>
          </w:p>
        </w:tc>
      </w:tr>
    </w:tbl>
    <w:p>
      <w:pPr>
        <w:spacing w:after="10" w:before="20" w:line="25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[Dash meaning and perimeter]</w:t>
      </w:r>
    </w:p>
    <w:p>
      <w:pPr>
        <w:spacing w:after="10" w:before="40" w:line="250"/>
      </w:pPr>
      <w:r>
        <w:rPr>
          <w:rFonts w:ascii="Open Sans" w:cs="Open Sans" w:eastAsia="Open Sans" w:hAnsi="Open Sans"/>
          <w:sz w:val="18"/>
          <w:szCs w:val="18"/>
        </w:rPr>
        <w:t xml:space="preserve">[Actuals trend; projected figures marked P]</w:t>
      </w:r>
    </w:p>
    <w:p>
      <w:pPr>
        <w:spacing w:after="40" w:before="40" w:line="250"/>
      </w:pPr>
      <w:r>
        <w:rPr>
          <w:rFonts w:ascii="Open Sans" w:cs="Open Sans" w:eastAsia="Open Sans" w:hAnsi="Open Sans"/>
          <w:b/>
          <w:bCs/>
          <w:color w:val="1F3A52"/>
          <w:sz w:val="17"/>
          <w:szCs w:val="17"/>
        </w:rPr>
        <w:t xml:space="preserve">Credit implication. </w:t>
      </w:r>
      <w:r>
        <w:rPr>
          <w:rFonts w:ascii="Open Sans" w:cs="Open Sans" w:eastAsia="Open Sans" w:hAnsi="Open Sans"/>
          <w:sz w:val="17"/>
          <w:szCs w:val="17"/>
        </w:rPr>
        <w:t xml:space="preserve">[One or two sentences]</w:t>
      </w:r>
    </w:p>
    <w:p>
      <w:pPr>
        <w:spacing w:after="0" w:before="10" w:line="250"/>
      </w:pPr>
      <w:r>
        <w:rPr>
          <w:rFonts w:ascii="Open Sans" w:cs="Open Sans" w:eastAsia="Open Sans" w:hAnsi="Open Sans"/>
          <w:i/>
          <w:iCs/>
          <w:color w:val="5A636A"/>
          <w:sz w:val="15"/>
          <w:szCs w:val="15"/>
        </w:rPr>
        <w:t xml:space="preserve">Sources: [document, pages].</w:t>
      </w:r>
    </w:p>
    <w:p>
      <w:pPr>
        <w:keepNext/>
        <w:pageBreakBefore/>
        <w:pBdr>
          <w:bottom w:val="single" w:color="1F3A52" w:sz="6" w:space="2"/>
        </w:pBdr>
        <w:spacing w:after="50" w:before="0"/>
      </w:pPr>
      <w:r>
        <w:rPr>
          <w:rFonts w:ascii="Open Sans" w:cs="Open Sans" w:eastAsia="Open Sans" w:hAnsi="Open Sans"/>
          <w:b/>
          <w:bCs/>
          <w:color w:val="1F3A52"/>
          <w:sz w:val="22"/>
          <w:szCs w:val="22"/>
        </w:rPr>
        <w:t xml:space="preserve">AI exposure</w:t>
      </w:r>
    </w:p>
    <w:p>
      <w:pPr>
        <w:spacing w:after="50" w:before="0" w:line="250"/>
      </w:pPr>
      <w:r>
        <w:rPr>
          <w:rFonts w:ascii="Open Sans" w:cs="Open Sans" w:eastAsia="Open Sans" w:hAnsi="Open Sans"/>
          <w:sz w:val="18"/>
          <w:szCs w:val="18"/>
        </w:rPr>
        <w:t xml:space="preserve">[Status]</w:t>
      </w:r>
    </w:p>
    <w:p>
      <w:pPr>
        <w:spacing w:after="40" w:before="0" w:line="250"/>
      </w:pPr>
      <w:r>
        <w:rPr>
          <w:rFonts w:ascii="Open Sans" w:cs="Open Sans" w:eastAsia="Open Sans" w:hAnsi="Open Sans"/>
          <w:sz w:val="18"/>
          <w:szCs w:val="18"/>
        </w:rPr>
        <w:t xml:space="preserve">[Threat and opportunity as stated; evidence limits]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4136"/>
      </w:tblGrid>
      <w:tr>
        <w:trPr>
          <w:cantSplit/>
          <w:tblHeader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Exposure</w:t>
            </w:r>
          </w:p>
        </w:tc>
        <w:tc>
          <w:tcPr>
            <w:tcW w:type="dxa" w:w="35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Most exposed revenue</w:t>
            </w:r>
          </w:p>
        </w:tc>
        <w:tc>
          <w:tcPr>
            <w:tcW w:type="dxa" w:w="4136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[ ]</w:t>
            </w:r>
          </w:p>
        </w:tc>
        <w:tc>
          <w:tcPr>
            <w:tcW w:type="dxa" w:w="35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  <w:tc>
          <w:tcPr>
            <w:tcW w:type="dxa" w:w="41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40" w:before="40" w:line="250"/>
      </w:pPr>
      <w:r>
        <w:rPr>
          <w:rFonts w:ascii="Open Sans" w:cs="Open Sans" w:eastAsia="Open Sans" w:hAnsi="Open Sans"/>
          <w:b/>
          <w:bCs/>
          <w:color w:val="1F3A52"/>
          <w:sz w:val="17"/>
          <w:szCs w:val="17"/>
        </w:rPr>
        <w:t xml:space="preserve">Credit implication. </w:t>
      </w:r>
      <w:r>
        <w:rPr>
          <w:rFonts w:ascii="Open Sans" w:cs="Open Sans" w:eastAsia="Open Sans" w:hAnsi="Open Sans"/>
          <w:sz w:val="17"/>
          <w:szCs w:val="17"/>
        </w:rPr>
        <w:t xml:space="preserve">[One or two sentences]</w:t>
      </w:r>
    </w:p>
    <w:p>
      <w:pPr>
        <w:keepNext/>
        <w:pBdr>
          <w:bottom w:val="single" w:color="1F3A52" w:sz="6" w:space="2"/>
        </w:pBdr>
        <w:spacing w:after="50" w:before="90"/>
      </w:pPr>
      <w:r>
        <w:rPr>
          <w:rFonts w:ascii="Open Sans" w:cs="Open Sans" w:eastAsia="Open Sans" w:hAnsi="Open Sans"/>
          <w:b/>
          <w:bCs/>
          <w:color w:val="1F3A52"/>
          <w:sz w:val="22"/>
          <w:szCs w:val="22"/>
        </w:rPr>
        <w:t xml:space="preserve">Key issues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4636"/>
        <w:gridCol w:w="2700"/>
      </w:tblGrid>
      <w:tr>
        <w:trPr>
          <w:cantSplit/>
          <w:tblHeader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Type</w:t>
            </w:r>
          </w:p>
        </w:tc>
        <w:tc>
          <w:tcPr>
            <w:tcW w:type="dxa" w:w="4636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Evidence</w:t>
            </w:r>
          </w:p>
        </w:tc>
        <w:tc>
          <w:tcPr>
            <w:tcW w:type="dxa" w:w="27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Credit implication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1. [Plain-noun issue]</w:t>
            </w:r>
          </w:p>
        </w:tc>
        <w:tc>
          <w:tcPr>
            <w:tcW w:type="dxa" w:w="9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Business</w:t>
            </w:r>
          </w:p>
        </w:tc>
        <w:tc>
          <w:tcPr>
            <w:tcW w:type="dxa" w:w="46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[Stated figures with period and perimeter]</w:t>
            </w:r>
          </w:p>
        </w:tc>
        <w:tc>
          <w:tcPr>
            <w:tcW w:type="dxa" w:w="2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[One sentence]</w:t>
            </w:r>
          </w:p>
        </w:tc>
      </w:tr>
    </w:tbl>
    <w:p>
      <w:pPr>
        <w:keepNext/>
        <w:pageBreakBefore/>
        <w:pBdr>
          <w:bottom w:val="single" w:color="1F3A52" w:sz="6" w:space="2"/>
        </w:pBdr>
        <w:spacing w:after="50" w:before="0"/>
      </w:pPr>
      <w:r>
        <w:rPr>
          <w:rFonts w:ascii="Open Sans" w:cs="Open Sans" w:eastAsia="Open Sans" w:hAnsi="Open Sans"/>
          <w:b/>
          <w:bCs/>
          <w:color w:val="1F3A52"/>
          <w:sz w:val="22"/>
          <w:szCs w:val="22"/>
        </w:rPr>
        <w:t xml:space="preserve">Key metrics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736"/>
        <w:gridCol w:w="2300"/>
      </w:tblGrid>
      <w:tr>
        <w:trPr>
          <w:cantSplit/>
          <w:tblHeader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Company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How measured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1F3A52" w:sz="10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F3A52"/>
                <w:sz w:val="16"/>
                <w:szCs w:val="16"/>
              </w:rPr>
              <w:t xml:space="preserve">Reference range</w:t>
            </w:r>
          </w:p>
        </w:tc>
      </w:tr>
      <w:tr>
        <w:trPr>
          <w:cantSplit/>
        </w:trPr>
        <w:tc>
          <w:tcPr>
            <w:tcW w:type="dxa" w:w="9936"/>
            <w:gridSpan w:val="4"/>
            <w:tcBorders>
              <w:top w:val="single" w:color="1F3A52" w:sz="6"/>
              <w:left w:val="single" w:color="BFC5CA" w:sz="4"/>
              <w:bottom w:val="single" w:color="BFC5CA" w:sz="4"/>
              <w:right w:val="single" w:color="BFC5CA" w:sz="4"/>
            </w:tcBorders>
            <w:shd w:fill="E6EAEC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Revenue quality and growth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Revenue line analysis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Split of revenue between subscription, term and perpetual license, maintenance, services and consumption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More subscription and maintenance than perpetual license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Annual recurring revenue (ARR)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ARR as stated by the company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ARR growth 20 to 40% (ARR above $200MM); 40 to 60% ($50MM to $200MM)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Billings and bookings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Billings: revenue plus change in deferred revenue. Bookings: revenue plus change in remaining performance obligation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Bookings are a leading indicator (qualitative)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Professional services mix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Professional services as a share of total revenue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No greater than 20 to 25%</w:t>
            </w:r>
          </w:p>
        </w:tc>
      </w:tr>
      <w:tr>
        <w:trPr>
          <w:cantSplit/>
        </w:trPr>
        <w:tc>
          <w:tcPr>
            <w:tcW w:type="dxa" w:w="9936"/>
            <w:gridSpan w:val="4"/>
            <w:tcBorders>
              <w:top w:val="single" w:color="1F3A52" w:sz="6"/>
              <w:left w:val="single" w:color="BFC5CA" w:sz="4"/>
              <w:bottom w:val="single" w:color="BFC5CA" w:sz="4"/>
              <w:right w:val="single" w:color="BFC5CA" w:sz="4"/>
            </w:tcBorders>
            <w:shd w:fill="E6EAEC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Customers and retention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Gross retention and churn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(Beginning customers less customers lost) / beginning customers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Gross retention 90%+; churn no more than 10%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Net dollar retention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(Beginning revenue + up-sells less down-sells less churn) / beginning revenue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Above 100%; ARR $50MM to $200MM: 110%+; ARR $200MM+: 115%+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Client concentration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Revenue from the top clients as a share of total revenue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Top 10 under 30% preferred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Small and medium-sized business (SMB) exposure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SMB revenue as a share of total revenue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SMB clients carry higher risk</w:t>
            </w:r>
          </w:p>
        </w:tc>
      </w:tr>
      <w:tr>
        <w:trPr>
          <w:cantSplit/>
        </w:trPr>
        <w:tc>
          <w:tcPr>
            <w:tcW w:type="dxa" w:w="9936"/>
            <w:gridSpan w:val="4"/>
            <w:tcBorders>
              <w:top w:val="single" w:color="1F3A52" w:sz="6"/>
              <w:left w:val="single" w:color="BFC5CA" w:sz="4"/>
              <w:bottom w:val="single" w:color="BFC5CA" w:sz="4"/>
              <w:right w:val="single" w:color="BFC5CA" w:sz="4"/>
            </w:tcBorders>
            <w:shd w:fill="E6EAEC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Profitability, efficiency and cash flow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Gross margin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(Revenue less cost of revenue) / revenue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80%+ for subscription; about 75% blended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Adjusted EBITDA margin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Adjusted EBITDA / revenue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Rule of 40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Revenue growth plus free cash flow margin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Above 40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Sales efficiency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Lifetime value to customer acquisition cost (LTV to CAC), CAC payback and magic number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LTV to CAC 3x minimum, 5x healthy; CAC payback 24 months or less ($50MM to $200MM ARR), 18 months or less ($200MM+); magic number above 0.75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6"/>
                <w:szCs w:val="16"/>
              </w:rPr>
              <w:t xml:space="preserve">Cash conversion</w:t>
            </w:r>
          </w:p>
        </w:tc>
        <w:tc>
          <w:tcPr>
            <w:tcW w:type="dxa" w:w="32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[company value or Not disclosed]</w:t>
            </w:r>
          </w:p>
        </w:tc>
        <w:tc>
          <w:tcPr>
            <w:tcW w:type="dxa" w:w="2736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(Adjusted EBITDA less capex) / adjusted EBITDA</w:t>
            </w:r>
          </w:p>
        </w:tc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6"/>
              <w:jc w:val="left"/>
            </w:pPr>
            <w:r>
              <w:rPr>
                <w:rFonts w:ascii="Open Sans" w:cs="Open Sans" w:eastAsia="Open Sans" w:hAnsi="Open Sans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40" w:before="80" w:line="250"/>
      </w:pPr>
      <w:r>
        <w:rPr>
          <w:rFonts w:ascii="Open Sans" w:cs="Open Sans" w:eastAsia="Open Sans" w:hAnsi="Open Sans"/>
          <w:b/>
          <w:bCs/>
          <w:color w:val="1F3A52"/>
          <w:sz w:val="16"/>
          <w:szCs w:val="16"/>
        </w:rPr>
        <w:t xml:space="preserve">Open diligence: </w:t>
      </w:r>
      <w:r>
        <w:rPr>
          <w:rFonts w:ascii="Open Sans" w:cs="Open Sans" w:eastAsia="Open Sans" w:hAnsi="Open Sans"/>
          <w:sz w:val="16"/>
          <w:szCs w:val="16"/>
        </w:rPr>
        <w:t xml:space="preserve">[Up to five asks]</w:t>
      </w:r>
    </w:p>
    <w:p>
      <w:pPr>
        <w:spacing w:after="0" w:before="0" w:line="250"/>
      </w:pPr>
      <w:r>
        <w:rPr>
          <w:rFonts w:ascii="Open Sans" w:cs="Open Sans" w:eastAsia="Open Sans" w:hAnsi="Open Sans"/>
          <w:b/>
          <w:bCs/>
          <w:color w:val="1F3A52"/>
          <w:sz w:val="16"/>
          <w:szCs w:val="16"/>
        </w:rPr>
        <w:t xml:space="preserve">Figures that do not reconcile: </w:t>
      </w:r>
      <w:r>
        <w:rPr>
          <w:rFonts w:ascii="Open Sans" w:cs="Open Sans" w:eastAsia="Open Sans" w:hAnsi="Open Sans"/>
          <w:sz w:val="16"/>
          <w:szCs w:val="16"/>
        </w:rPr>
        <w:t xml:space="preserve">[Optional: borrower figures that do not reconcile, each with both figures]</w:t>
      </w:r>
    </w:p>
    <w:sectPr>
      <w:footerReference w:type="default" r:id="rId7"/>
      <w:pgSz w:w="12240" w:h="15840" w:orient="portrait"/>
      <w:pgMar w:top="700" w:right="1152" w:bottom="7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Open Sans" w:cs="Open Sans" w:eastAsia="Open Sans" w:hAnsi="Open Sans"/>
        <w:color w:val="5A636A"/>
        <w:sz w:val="14"/>
        <w:szCs w:val="14"/>
      </w:rPr>
      <w:t xml:space="preserve">Reference ranges are context, not pass or fail.</w:t>
    </w:r>
    <w:r>
      <w:rPr>
        <w:rFonts w:ascii="Open Sans" w:cs="Open Sans" w:eastAsia="Open Sans" w:hAnsi="Open Sans"/>
        <w:color w:val="5A636A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5CB24B-485C-463A-89B3-279B846DB191}"/>
</file>

<file path=customXml/itemProps2.xml><?xml version="1.0" encoding="utf-8"?>
<ds:datastoreItem xmlns:ds="http://schemas.openxmlformats.org/officeDocument/2006/customXml" ds:itemID="{9856F4D1-902C-4C52-9ED0-E951C573E5B5}"/>
</file>

<file path=customXml/itemProps3.xml><?xml version="1.0" encoding="utf-8"?>
<ds:datastoreItem xmlns:ds="http://schemas.openxmlformats.org/officeDocument/2006/customXml" ds:itemID="{1815FB91-4EEB-4825-8A00-A237DF3D279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[Company] software tearsheet</dc:title>
  <dc:creator>Credit analysis</dc:creator>
  <cp:lastModifiedBy>Un-named</cp:lastModifiedBy>
  <cp:revision>1</cp:revision>
  <dcterms:created xsi:type="dcterms:W3CDTF">2026-10-20T01:54:27Z</dcterms:created>
  <dcterms:modified xsi:type="dcterms:W3CDTF">2026-10-20T01:54:27Z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