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[Deal Name]: Suppliers and Supply Chain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[Entity scope and anchor period. Staleness line if flagged.]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[One to three sentences: main inputs and spend, concentration and single-source exposure, share of input-cost risk passed through, sharpest exposure.]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Supplier Concentration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[One to two sentences of narrative before the table.]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supplier (% of spend)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5 suppliers (% of spend)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single supplier over 15%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Single-source / sole-source inputs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Country-of-origin concentration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Supply-base structure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Input Cost &amp; Pass-Through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[One to two sentences of narrative before the table.]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inputs / commodities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Direct-material spend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Pass-through / recovery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Residual exposure (state basis)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 mechanism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Switching &amp; Contract Terms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[One to two sentences of narrative before the table.]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Switching / qualification difficulty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vs spot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Typical contract length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counterparty risk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[value or Not disclosed]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Supply-Chain Flow &amp; Resilience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[One to two sentences of narrative before the table.]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2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flows here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 (if disclosed)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Exposure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inputs / commodities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 / sub-tier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Logistics / freight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Borrower (conversion) ◀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 / distribution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use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Resilience. [Disruption history, geography and tariff exposure, inventory held, regionalization or dual-sourcing.]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Peer Supply-Chain Commentary (same-stage filings)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[One sentence on what the filings add and their filing period.]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Peer (ticker)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Filing / section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Supply-chain point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Relevance to borrower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Diligence Required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[PRIORITY]: [Topic]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 </w:t>
      </w:r>
      <w:r>
        <w:rPr>
          <w:rFonts w:ascii="Arial" w:cs="Arial" w:eastAsia="Arial" w:hAnsi="Arial"/>
          <w:sz w:val="20"/>
          <w:szCs w:val="20"/>
        </w:rPr>
        <w:t xml:space="preserve">[One sentence: the data point missing and why it matters.]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Diligence ask: </w:t>
      </w:r>
      <w:r>
        <w:rPr>
          <w:rFonts w:ascii="Arial" w:cs="Arial" w:eastAsia="Arial" w:hAnsi="Arial"/>
          <w:sz w:val="20"/>
          <w:szCs w:val="20"/>
        </w:rPr>
        <w:t xml:space="preserve">[One sentence: the document, data point or question that would close it.]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Gaps identified: [n] · By priority: [HIGH n | MEDIUM n | LOW n]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Pass 2 Findings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[What the sweep found, or "nothing new".]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34A040-9D4C-4759-8E89-47C92B9F7665}"/>
</file>

<file path=customXml/itemProps2.xml><?xml version="1.0" encoding="utf-8"?>
<ds:datastoreItem xmlns:ds="http://schemas.openxmlformats.org/officeDocument/2006/customXml" ds:itemID="{3E83D17A-C4BB-40FA-A3A2-C74E70FB0CD9}"/>
</file>

<file path=customXml/itemProps3.xml><?xml version="1.0" encoding="utf-8"?>
<ds:datastoreItem xmlns:ds="http://schemas.openxmlformats.org/officeDocument/2006/customXml" ds:itemID="{FEDC3311-B3FD-4D0F-8631-B52C4625966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2026-10-20T00:46:25Z</dcterms:created>
  <dcterms:modified xsi:type="dcterms:W3CDTF">2026-10-20T00:46:25Z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