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Libre Baskerville" w:cs="Libre Baskerville" w:eastAsia="Libre Baskerville" w:hAnsi="Libre Baskerville"/>
          <w:b/>
          <w:bCs/>
          <w:i w:val="false"/>
          <w:iCs w:val="false"/>
          <w:color w:val="000000"/>
          <w:sz w:val="38"/>
          <w:szCs w:val="38"/>
        </w:rPr>
        <w:t xml:space="preserve">Earnings Quality</w:t>
      </w:r>
    </w:p>
    <w:tbl>
      <w:tblPr>
        <w:tblW w:type="dxa" w:w="135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8"/>
        <w:gridCol w:w="2200"/>
        <w:gridCol w:w="4568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Project and company</w:t>
            </w:r>
          </w:p>
        </w:tc>
        <w:tc>
          <w:tcPr>
            <w:tcW w:type="dxa" w:w="4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[Project name; company; project used if several matched]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Sponsor and sector</w:t>
            </w:r>
          </w:p>
        </w:tc>
        <w:tc>
          <w:tcPr>
            <w:tcW w:type="dxa" w:w="4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[Sponsor; sector]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Anchor period and basis</w:t>
            </w:r>
          </w:p>
        </w:tc>
        <w:tc>
          <w:tcPr>
            <w:tcW w:type="dxa" w:w="4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[Anchor period; EBITDA basis label]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Projection source</w:t>
            </w:r>
          </w:p>
        </w:tc>
        <w:tc>
          <w:tcPr>
            <w:tcW w:type="dxa" w:w="4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[Model; date; projection period]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Peer set</w:t>
            </w:r>
          </w:p>
        </w:tc>
        <w:tc>
          <w:tcPr>
            <w:tcW w:type="dxa" w:w="4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[Available or not available]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Lowest data confidence</w:t>
            </w:r>
          </w:p>
        </w:tc>
        <w:tc>
          <w:tcPr>
            <w:tcW w:type="dxa" w:w="4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[Level, among the reads used]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Reads missing or empty</w:t>
            </w:r>
          </w:p>
        </w:tc>
        <w:tc>
          <w:tcPr>
            <w:tcW w:type="dxa" w:w="4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[List, or none]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Stored reads as of</w:t>
            </w:r>
          </w:p>
        </w:tc>
        <w:tc>
          <w:tcPr>
            <w:tcW w:type="dxa" w:w="4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[Latest and earliest field dates]</w:t>
            </w:r>
          </w:p>
        </w:tc>
      </w:tr>
    </w:tbl>
    <w:p>
      <w:pPr>
        <w:spacing w:after="80" w:before="0"/>
      </w:pPr>
    </w:p>
    <w:tbl>
      <w:tblPr>
        <w:tblW w:type="dxa" w:w="135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36"/>
      </w:tblGrid>
      <w:tr>
        <w:tc>
          <w:tcPr>
            <w:tcW w:type="dxa" w:w="13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Analyst Note: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[One to three sentences, only when a trigger applies: history and projection on different EBITDA bases, a read empty or missing, two reads in conflict, or a stale read.]</w:t>
            </w:r>
          </w:p>
        </w:tc>
      </w:tr>
    </w:tbl>
    <w:p>
      <w:pPr>
        <w:keepNext w:val="false"/>
        <w:spacing w:after="60" w:before="6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A636A"/>
          <w:sz w:val="15"/>
          <w:szCs w:val="15"/>
        </w:rPr>
        <w:t xml:space="preserve">[Terms line, 7.5 pt grey: define EBITDA and any basis labels; state the units; explain "appears" and "suggests" as inference; explain page references and D numbers.]</w:t>
      </w:r>
    </w:p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Libre Baskerville" w:cs="Libre Baskerville" w:eastAsia="Libre Baskerville" w:hAnsi="Libre Baskerville"/>
          <w:b/>
          <w:bCs/>
          <w:i w:val="false"/>
          <w:iCs w:val="false"/>
          <w:color w:val="000000"/>
          <w:sz w:val="24"/>
          <w:szCs w:val="24"/>
        </w:rPr>
        <w:t xml:space="preserve">1. Executive Summary</w:t>
      </w:r>
    </w:p>
    <w:p>
      <w:pPr>
        <w:keepNext w:val="false"/>
        <w:spacing w:after="15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[One sentence: the conclusion on revenue and EBITDA quality and forecast credibility.]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[One sentence with its key figure.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2"/>
          <w:szCs w:val="22"/>
        </w:rPr>
        <w:t xml:space="preserve">Bold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the key figures.]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[One sentence with its key figure.]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[One sentence with its key figure. About 120 words in all; no questions.]</w:t>
      </w:r>
    </w:p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Libre Baskerville" w:cs="Libre Baskerville" w:eastAsia="Libre Baskerville" w:hAnsi="Libre Baskerville"/>
          <w:b/>
          <w:bCs/>
          <w:i w:val="false"/>
          <w:iCs w:val="false"/>
          <w:color w:val="000000"/>
          <w:sz w:val="24"/>
          <w:szCs w:val="24"/>
        </w:rPr>
        <w:t xml:space="preserve">2. Revenue Quality</w:t>
      </w:r>
    </w:p>
    <w:p>
      <w:pPr>
        <w:keepNext w:val="false"/>
        <w:spacing w:after="15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[One-line conclusion with its figure.]</w:t>
      </w:r>
    </w:p>
    <w:p>
      <w:pPr>
        <w:keepNext/>
        <w:spacing w:after="60" w:before="100" w:line="288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2"/>
          <w:szCs w:val="22"/>
        </w:rPr>
        <w:t xml:space="preserve">[Subheading, for example Growth and mix]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[One to three bullets, at most two sentences each: growth and mix.]</w:t>
      </w:r>
    </w:p>
    <w:p>
      <w:pPr>
        <w:keepNext/>
        <w:spacing w:after="60" w:before="100" w:line="288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2"/>
          <w:szCs w:val="22"/>
        </w:rPr>
        <w:t xml:space="preserve">[Subheading, for example Retention]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[Retention and churn by product.]</w:t>
      </w:r>
    </w:p>
    <w:p>
      <w:pPr>
        <w:keepNext/>
        <w:spacing w:after="60" w:before="100" w:line="288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2"/>
          <w:szCs w:val="22"/>
        </w:rPr>
        <w:t xml:space="preserve">[Subheading, for example Concentration and visibility]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[Concentration; contract visibility.]</w:t>
      </w:r>
    </w:p>
    <w:p>
      <w:pPr>
        <w:keepNext/>
        <w:spacing w:after="60" w:before="100" w:line="288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2"/>
          <w:szCs w:val="22"/>
        </w:rPr>
        <w:t xml:space="preserve">[Subheading, for example Durability]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[Competitive, barrier and industry evidence on durability. The section totals 4 to 7 bullets.]</w:t>
      </w:r>
    </w:p>
    <w:p>
      <w:pPr>
        <w:keepNext w:val="false"/>
        <w:spacing w:after="20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A636A"/>
          <w:sz w:val="16"/>
          <w:szCs w:val="16"/>
        </w:rPr>
        <w:t xml:space="preserve">Basis: [source documents as the reads cite them; derived D numbers]</w:t>
      </w:r>
    </w:p>
    <w:p>
      <w:pPr>
        <w:keepNext/>
        <w:spacing w:after="50" w:before="140" w:line="288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19"/>
          <w:szCs w:val="19"/>
        </w:rPr>
        <w:t xml:space="preserve">Table 2.1  [Revenue and retention by period]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A636A"/>
          <w:sz w:val="19"/>
          <w:szCs w:val="19"/>
        </w:rPr>
        <w:t xml:space="preserve">;  USD in millions (MM)</w:t>
      </w:r>
    </w:p>
    <w:tbl>
      <w:tblPr>
        <w:tblW w:type="dxa" w:w="135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6"/>
        <w:gridCol w:w="2475"/>
        <w:gridCol w:w="2475"/>
        <w:gridCol w:w="2475"/>
        <w:gridCol w:w="2475"/>
      </w:tblGrid>
      <w:tr>
        <w:trPr>
          <w:cantSplit/>
          <w:tblHeader/>
        </w:trPr>
        <w:tc>
          <w:tcPr>
            <w:tcW w:type="dxa" w:w="3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Line</w:t>
            </w:r>
          </w:p>
        </w:tc>
        <w:tc>
          <w:tcPr>
            <w:tcW w:type="dxa" w:w="2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[P1]</w:t>
            </w:r>
          </w:p>
        </w:tc>
        <w:tc>
          <w:tcPr>
            <w:tcW w:type="dxa" w:w="2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[P2]</w:t>
            </w:r>
          </w:p>
        </w:tc>
        <w:tc>
          <w:tcPr>
            <w:tcW w:type="dxa" w:w="2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[P3]</w:t>
            </w:r>
          </w:p>
        </w:tc>
        <w:tc>
          <w:tcPr>
            <w:tcW w:type="dxa" w:w="2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[LTM]</w:t>
            </w:r>
          </w:p>
        </w:tc>
      </w:tr>
      <w:tr>
        <w:trPr>
          <w:cantSplit/>
          <w:tblHeader w:val="false"/>
        </w:trPr>
        <w:tc>
          <w:tcPr>
            <w:tcW w:type="dxa" w:w="3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[Line]</w:t>
            </w:r>
          </w:p>
        </w:tc>
        <w:tc>
          <w:tcPr>
            <w:tcW w:type="dxa" w:w="2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2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2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2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</w:t>
            </w:r>
          </w:p>
        </w:tc>
      </w:tr>
      <w:tr>
        <w:trPr>
          <w:cantSplit/>
          <w:tblHeader w:val="false"/>
        </w:trPr>
        <w:tc>
          <w:tcPr>
            <w:tcW w:type="dxa" w:w="3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[Growth or retention line]</w:t>
            </w:r>
          </w:p>
        </w:tc>
        <w:tc>
          <w:tcPr>
            <w:tcW w:type="dxa" w:w="2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0.0%</w:t>
            </w:r>
          </w:p>
        </w:tc>
        <w:tc>
          <w:tcPr>
            <w:tcW w:type="dxa" w:w="2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0.0%</w:t>
            </w:r>
          </w:p>
        </w:tc>
        <w:tc>
          <w:tcPr>
            <w:tcW w:type="dxa" w:w="2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0.0%</w:t>
            </w:r>
          </w:p>
        </w:tc>
        <w:tc>
          <w:tcPr>
            <w:tcW w:type="dxa" w:w="2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0.0%</w:t>
            </w:r>
          </w:p>
        </w:tc>
      </w:tr>
    </w:tbl>
    <w:p>
      <w:pPr>
        <w:keepNext w:val="false"/>
        <w:spacing w:after="160" w:before="4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A636A"/>
          <w:sz w:val="16"/>
          <w:szCs w:val="16"/>
        </w:rPr>
        <w:t xml:space="preserve">Source: [source documents as the reads cite them]; derived rows (D number). Credit assessment ratings: [lens name and rating only].</w:t>
      </w:r>
    </w:p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Libre Baskerville" w:cs="Libre Baskerville" w:eastAsia="Libre Baskerville" w:hAnsi="Libre Baskerville"/>
          <w:b/>
          <w:bCs/>
          <w:i w:val="false"/>
          <w:iCs w:val="false"/>
          <w:color w:val="000000"/>
          <w:sz w:val="24"/>
          <w:szCs w:val="24"/>
        </w:rPr>
        <w:t xml:space="preserve">3. EBITDA Quality</w:t>
      </w:r>
    </w:p>
    <w:p>
      <w:pPr>
        <w:keepNext w:val="false"/>
        <w:spacing w:after="15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[One-line conclusion with its figure.]</w:t>
      </w:r>
    </w:p>
    <w:p>
      <w:pPr>
        <w:keepNext/>
        <w:spacing w:after="60" w:before="100" w:line="288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2"/>
          <w:szCs w:val="22"/>
        </w:rPr>
        <w:t xml:space="preserve">[Subheading, for example Margin]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[One to three bullets, at most two sentences each: margin on one basis; gross margin.]</w:t>
      </w:r>
    </w:p>
    <w:p>
      <w:pPr>
        <w:keepNext/>
        <w:spacing w:after="60" w:before="100" w:line="288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2"/>
          <w:szCs w:val="22"/>
        </w:rPr>
        <w:t xml:space="preserve">[Subheading, for example Cost structure]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[Cost lines and cost position; peer margins where a peer set exists.]</w:t>
      </w:r>
    </w:p>
    <w:p>
      <w:pPr>
        <w:keepNext/>
        <w:spacing w:after="60" w:before="100" w:line="288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2"/>
          <w:szCs w:val="22"/>
        </w:rPr>
        <w:t xml:space="preserve">[Subheading, for example Cash conversion and reinvestment]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[Cash conversion and reinvestment; structural against temporary. The section totals 4 to 7 bullets.]</w:t>
      </w:r>
    </w:p>
    <w:p>
      <w:pPr>
        <w:keepNext w:val="false"/>
        <w:spacing w:after="20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A636A"/>
          <w:sz w:val="16"/>
          <w:szCs w:val="16"/>
        </w:rPr>
        <w:t xml:space="preserve">Basis: [source documents; derived D numbers]</w:t>
      </w:r>
    </w:p>
    <w:p>
      <w:pPr>
        <w:keepNext/>
        <w:spacing w:after="50" w:before="140" w:line="288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19"/>
          <w:szCs w:val="19"/>
        </w:rPr>
        <w:t xml:space="preserve">Table 3.1  [Margins, EBITDA and reinvestment by period]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A636A"/>
          <w:sz w:val="19"/>
          <w:szCs w:val="19"/>
        </w:rPr>
        <w:t xml:space="preserve">;  USD in millions (MM)</w:t>
      </w:r>
    </w:p>
    <w:tbl>
      <w:tblPr>
        <w:tblW w:type="dxa" w:w="135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6"/>
        <w:gridCol w:w="2475"/>
        <w:gridCol w:w="2475"/>
        <w:gridCol w:w="2475"/>
        <w:gridCol w:w="2475"/>
      </w:tblGrid>
      <w:tr>
        <w:trPr>
          <w:cantSplit/>
          <w:tblHeader/>
        </w:trPr>
        <w:tc>
          <w:tcPr>
            <w:tcW w:type="dxa" w:w="3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Line</w:t>
            </w:r>
          </w:p>
        </w:tc>
        <w:tc>
          <w:tcPr>
            <w:tcW w:type="dxa" w:w="2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[P1]</w:t>
            </w:r>
          </w:p>
        </w:tc>
        <w:tc>
          <w:tcPr>
            <w:tcW w:type="dxa" w:w="2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[P2]</w:t>
            </w:r>
          </w:p>
        </w:tc>
        <w:tc>
          <w:tcPr>
            <w:tcW w:type="dxa" w:w="2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[P3]</w:t>
            </w:r>
          </w:p>
        </w:tc>
        <w:tc>
          <w:tcPr>
            <w:tcW w:type="dxa" w:w="2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[LTM]</w:t>
            </w:r>
          </w:p>
        </w:tc>
      </w:tr>
      <w:tr>
        <w:trPr>
          <w:cantSplit/>
          <w:tblHeader w:val="false"/>
        </w:trPr>
        <w:tc>
          <w:tcPr>
            <w:tcW w:type="dxa" w:w="3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[Line]</w:t>
            </w:r>
          </w:p>
        </w:tc>
        <w:tc>
          <w:tcPr>
            <w:tcW w:type="dxa" w:w="2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2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2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2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</w:t>
            </w:r>
          </w:p>
        </w:tc>
      </w:tr>
      <w:tr>
        <w:trPr>
          <w:cantSplit/>
          <w:tblHeader w:val="false"/>
        </w:trPr>
        <w:tc>
          <w:tcPr>
            <w:tcW w:type="dxa" w:w="3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[Margin line]</w:t>
            </w:r>
          </w:p>
        </w:tc>
        <w:tc>
          <w:tcPr>
            <w:tcW w:type="dxa" w:w="2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0.0%</w:t>
            </w:r>
          </w:p>
        </w:tc>
        <w:tc>
          <w:tcPr>
            <w:tcW w:type="dxa" w:w="2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0.0%</w:t>
            </w:r>
          </w:p>
        </w:tc>
        <w:tc>
          <w:tcPr>
            <w:tcW w:type="dxa" w:w="2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0.0%</w:t>
            </w:r>
          </w:p>
        </w:tc>
        <w:tc>
          <w:tcPr>
            <w:tcW w:type="dxa" w:w="2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0.0%</w:t>
            </w:r>
          </w:p>
        </w:tc>
      </w:tr>
    </w:tbl>
    <w:p>
      <w:pPr>
        <w:keepNext w:val="false"/>
        <w:spacing w:after="160" w:before="4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A636A"/>
          <w:sz w:val="16"/>
          <w:szCs w:val="16"/>
        </w:rPr>
        <w:t xml:space="preserve">Source: [source documents as the reads cite them]. Credit assessment ratings: [lens name and rating only].</w:t>
      </w:r>
    </w:p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Libre Baskerville" w:cs="Libre Baskerville" w:eastAsia="Libre Baskerville" w:hAnsi="Libre Baskerville"/>
          <w:b/>
          <w:bCs/>
          <w:i w:val="false"/>
          <w:iCs w:val="false"/>
          <w:color w:val="000000"/>
          <w:sz w:val="24"/>
          <w:szCs w:val="24"/>
        </w:rPr>
        <w:t xml:space="preserve">4. Forecast Credibility</w:t>
      </w:r>
    </w:p>
    <w:p>
      <w:pPr>
        <w:keepNext w:val="false"/>
        <w:spacing w:after="15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[One-line conclusion: reasonable, aggressive or conservative, and the comparison behind the judgment.]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[4 to 7 bullets: the largest departures first, each with its figures, the comparison and what would have to be true; then any contradiction between reads and what would resolve it. If history and projection are on different bases, the first bullet says so.]</w:t>
      </w:r>
    </w:p>
    <w:p>
      <w:pPr>
        <w:keepNext w:val="false"/>
        <w:spacing w:after="20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A636A"/>
          <w:sz w:val="16"/>
          <w:szCs w:val="16"/>
        </w:rPr>
        <w:t xml:space="preserve">Basis: [source documents; derived D numbers]</w:t>
      </w:r>
    </w:p>
    <w:p>
      <w:pPr>
        <w:keepNext/>
        <w:spacing w:after="50" w:before="140" w:line="288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19"/>
          <w:szCs w:val="19"/>
        </w:rPr>
        <w:t xml:space="preserve">Table 4.1  History, projection and benchmark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A636A"/>
          <w:sz w:val="19"/>
          <w:szCs w:val="19"/>
        </w:rPr>
        <w:t xml:space="preserve">;  basis and period in each cell</w:t>
      </w:r>
    </w:p>
    <w:tbl>
      <w:tblPr>
        <w:tblW w:type="dxa" w:w="135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2300"/>
        <w:gridCol w:w="2300"/>
        <w:gridCol w:w="1200"/>
        <w:gridCol w:w="3636"/>
      </w:tblGrid>
      <w:tr>
        <w:trPr>
          <w:cantSplit/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Metric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Historical result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Projection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External benchmark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Departure</w:t>
            </w:r>
          </w:p>
        </w:tc>
        <w:tc>
          <w:tcPr>
            <w:tcW w:type="dxa" w:w="3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What would have to be true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Revenue growth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[Result, period, basis]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[Result, period, basis]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[Peer or industry, source]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[Historical, Peer or industry, Unsupported, Not testable, None]</w:t>
            </w:r>
          </w:p>
        </w:tc>
        <w:tc>
          <w:tcPr>
            <w:tcW w:type="dxa" w:w="3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[Condition]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]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]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]</w:t>
            </w:r>
          </w:p>
        </w:tc>
        <w:tc>
          <w:tcPr>
            <w:tcW w:type="dxa" w:w="3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]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]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]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]</w:t>
            </w:r>
          </w:p>
        </w:tc>
        <w:tc>
          <w:tcPr>
            <w:tcW w:type="dxa" w:w="3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]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[Major cost category]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]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]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]</w:t>
            </w:r>
          </w:p>
        </w:tc>
        <w:tc>
          <w:tcPr>
            <w:tcW w:type="dxa" w:w="3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]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[Each key assumption the projections list]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]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]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]</w:t>
            </w:r>
          </w:p>
        </w:tc>
        <w:tc>
          <w:tcPr>
            <w:tcW w:type="dxa" w:w="3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]</w:t>
            </w:r>
          </w:p>
        </w:tc>
      </w:tr>
    </w:tbl>
    <w:p>
      <w:pPr>
        <w:keepNext w:val="false"/>
        <w:spacing w:after="160" w:before="4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A636A"/>
          <w:sz w:val="16"/>
          <w:szCs w:val="16"/>
        </w:rPr>
        <w:t xml:space="preserve">Source: [source documents as the reads cite them]. A cell the stored reads do not carry reads "not in the stored read".</w:t>
      </w:r>
    </w:p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Libre Baskerville" w:cs="Libre Baskerville" w:eastAsia="Libre Baskerville" w:hAnsi="Libre Baskerville"/>
          <w:b/>
          <w:bCs/>
          <w:i w:val="false"/>
          <w:iCs w:val="false"/>
          <w:color w:val="000000"/>
          <w:sz w:val="24"/>
          <w:szCs w:val="24"/>
        </w:rPr>
        <w:t xml:space="preserve">5. Priority Diligence Questions</w:t>
      </w:r>
    </w:p>
    <w:p>
      <w:pPr>
        <w:pStyle w:val="ListParagraph"/>
        <w:numPr>
          <w:ilvl w:val="0"/>
          <w:numId w:val="3"/>
        </w:numPr>
        <w:spacing w:after="10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[Question naming the figure or read it comes from. Up to six. Plain numbered list: no framing, no ranking.]</w:t>
      </w:r>
    </w:p>
    <w:p>
      <w:pPr>
        <w:pStyle w:val="ListParagraph"/>
        <w:numPr>
          <w:ilvl w:val="0"/>
          <w:numId w:val="3"/>
        </w:numPr>
        <w:spacing w:after="10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[Next question.]</w:t>
      </w:r>
    </w:p>
    <w:p>
      <w:pPr>
        <w:pStyle w:val="Heading1"/>
        <w:keepNext/>
        <w:pageBreakBefore/>
        <w:pBdr>
          <w:bottom w:val="single" w:color="000000" w:sz="6" w:space="2"/>
        </w:pBdr>
        <w:spacing w:after="100" w:before="240"/>
      </w:pPr>
      <w:r>
        <w:rPr>
          <w:rFonts w:ascii="Libre Baskerville" w:cs="Libre Baskerville" w:eastAsia="Libre Baskerville" w:hAnsi="Libre Baskerville"/>
          <w:b/>
          <w:bCs/>
          <w:i w:val="false"/>
          <w:iCs w:val="false"/>
          <w:color w:val="000000"/>
          <w:sz w:val="24"/>
          <w:szCs w:val="24"/>
        </w:rPr>
        <w:t xml:space="preserve">Appendix A: Inputs and Conflicts</w:t>
      </w:r>
    </w:p>
    <w:p>
      <w:pPr>
        <w:keepNext/>
        <w:spacing w:after="15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[One sentence: what the register covers and which reads were missing or empty.]</w:t>
      </w:r>
    </w:p>
    <w:p>
      <w:pPr>
        <w:keepNext/>
        <w:spacing w:after="50" w:before="140" w:line="288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19"/>
          <w:szCs w:val="19"/>
        </w:rPr>
        <w:t xml:space="preserve">Table A.1  Inputs register</w:t>
      </w:r>
    </w:p>
    <w:tbl>
      <w:tblPr>
        <w:tblW w:type="dxa" w:w="135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3000"/>
        <w:gridCol w:w="2000"/>
        <w:gridCol w:w="3436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Read (by topic)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Period covered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Basis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Data confidence</w:t>
            </w:r>
          </w:p>
        </w:tc>
        <w:tc>
          <w:tcPr>
            <w:tcW w:type="dxa" w:w="3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Date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[Historical financials]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]</w:t>
            </w:r>
          </w:p>
        </w:tc>
        <w:tc>
          <w:tcPr>
            <w:tcW w:type="dxa" w:w="3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[Field date or "not dated in the freshness record"]</w:t>
            </w:r>
          </w:p>
        </w:tc>
      </w:tr>
    </w:tbl>
    <w:p>
      <w:pPr>
        <w:keepNext/>
        <w:spacing w:after="50" w:before="140" w:line="288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19"/>
          <w:szCs w:val="19"/>
        </w:rPr>
        <w:t xml:space="preserve">Table A.2  Differences between reads</w:t>
      </w:r>
    </w:p>
    <w:tbl>
      <w:tblPr>
        <w:tblW w:type="dxa" w:w="135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2900"/>
        <w:gridCol w:w="3436"/>
        <w:gridCol w:w="2100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Item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First read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Second read</w:t>
            </w:r>
          </w:p>
        </w:tc>
        <w:tc>
          <w:tcPr>
            <w:tcW w:type="dxa" w:w="3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Difference or note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Type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[Item]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[Value, read]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[Value, read]</w:t>
            </w:r>
          </w:p>
        </w:tc>
        <w:tc>
          <w:tcPr>
            <w:tcW w:type="dxa" w:w="3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[Note; neither is chosen]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[Numerical conflict, Definition or period difference, or Contradiction between reads]</w:t>
            </w:r>
          </w:p>
        </w:tc>
      </w:tr>
    </w:tbl>
    <w:p>
      <w:pPr>
        <w:keepNext w:val="false"/>
        <w:spacing w:after="160" w:before="4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A636A"/>
          <w:sz w:val="16"/>
          <w:szCs w:val="16"/>
        </w:rPr>
        <w:t xml:space="preserve">Source: [reads by topic]. If there are no conflicts, say so in one sentence.</w:t>
      </w:r>
    </w:p>
    <w:sectPr>
      <w:footerReference w:type="default" r:id="rId7"/>
      <w:pgSz w:w="15840" w:h="12240" w:orient="landscape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 Sans">
    <w:charset w:val="00"/>
    <w:family w:val="swiss"/>
    <w:pitch w:val="variable"/>
    <w:embedRegular r:id="rIdFont1" w:fontKey="{CA18C509-CCCE-4259-A7DA-40603EAED8BE}"/>
    <w:embedBold r:id="rIdFont2" w:fontKey="{BC3A0357-CF09-411B-8FA1-0C7FBC197ED1}"/>
  </w:font>
  <w:font w:name="Libre Baskerville">
    <w:charset w:val="00"/>
    <w:family w:val="swiss"/>
    <w:pitch w:val="variable"/>
    <w:embedRegular r:id="rIdFont3" w:fontKey="{DBFC1FCF-E103-4582-9D3D-85B8F940FE1C}"/>
    <w:embedBold r:id="rIdFont4" w:fontKey="{B2915055-C02C-4067-89EB-74A7C45FCEA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3536"/>
      </w:tabs>
    </w:pPr>
    <w:r>
      <w:rPr>
        <w:rFonts w:ascii="Open Sans" w:cs="Open Sans" w:eastAsia="Open Sans" w:hAnsi="Open Sans"/>
        <w:color w:val="5A636A"/>
        <w:sz w:val="15"/>
        <w:szCs w:val="15"/>
      </w:rPr>
      <w:t xml:space="preserve">Confidential: internal work product</w:t>
    </w:r>
    <w:r>
      <w:rPr>
        <w:rFonts w:ascii="Open Sans" w:cs="Open Sans" w:eastAsia="Open Sans" w:hAnsi="Open Sans"/>
        <w:color w:val="5A636A"/>
        <w:sz w:val="15"/>
        <w:szCs w:val="15"/>
      </w:rPr>
      <w:t xml:space="preserve">	Page </w:t>
    </w:r>
    <w:r>
      <w:rPr>
        <w:rFonts w:ascii="Open Sans" w:cs="Open Sans" w:eastAsia="Open Sans" w:hAnsi="Open Sans"/>
        <w:color w:val="5A636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  <w:rPr>
        <w:rFonts w:ascii="Open Sans" w:cs="Open Sans" w:eastAsia="Open Sans" w:hAnsi="Open Sans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Open Sans" w:cs="Open Sans" w:eastAsia="Open Sans" w:hAnsi="Open Sans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Libre Baskerville" w:cs="Libre Baskerville" w:eastAsia="Libre Baskerville" w:hAnsi="Libre Baskerville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9143079854A54D9892AFDB502399A0" ma:contentTypeVersion="15" ma:contentTypeDescription="Create a new document." ma:contentTypeScope="" ma:versionID="22e601a24562e73b2f5afc1046dcfba6">
  <xsd:schema xmlns:xsd="http://www.w3.org/2001/XMLSchema" xmlns:xs="http://www.w3.org/2001/XMLSchema" xmlns:p="http://schemas.microsoft.com/office/2006/metadata/properties" xmlns:ns2="7945be74-f550-42ae-be50-e20c01470fa8" xmlns:ns3="41866f6e-3c95-4ce7-90cd-084695edabd7" targetNamespace="http://schemas.microsoft.com/office/2006/metadata/properties" ma:root="true" ma:fieldsID="4c891952338fb39d319fedeac18bb4f8" ns2:_="" ns3:_="">
    <xsd:import namespace="7945be74-f550-42ae-be50-e20c01470fa8"/>
    <xsd:import namespace="41866f6e-3c95-4ce7-90cd-084695edab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45be74-f550-42ae-be50-e20c01470f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d09cff7-3085-437c-9583-5564e34a3e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866f6e-3c95-4ce7-90cd-084695edabd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dc2924a-1837-4a5f-9c22-6b8d8f490986}" ma:internalName="TaxCatchAll" ma:showField="CatchAllData" ma:web="41866f6e-3c95-4ce7-90cd-084695edab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866f6e-3c95-4ce7-90cd-084695edabd7" xsi:nil="true"/>
    <lcf76f155ced4ddcb4097134ff3c332f xmlns="7945be74-f550-42ae-be50-e20c01470f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CB0A11D-5275-4A61-AEF6-F5007C7E7833}"/>
</file>

<file path=customXml/itemProps2.xml><?xml version="1.0" encoding="utf-8"?>
<ds:datastoreItem xmlns:ds="http://schemas.openxmlformats.org/officeDocument/2006/customXml" ds:itemID="{ABC07C39-83DE-4370-87FA-8D3E73C87385}"/>
</file>

<file path=customXml/itemProps3.xml><?xml version="1.0" encoding="utf-8"?>
<ds:datastoreItem xmlns:ds="http://schemas.openxmlformats.org/officeDocument/2006/customXml" ds:itemID="{C2A227FD-75A9-409B-B2CC-6F5F3DCADE0C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Earnings Quality (template)</dc:title>
  <dc:creator>Raven</dc:creator>
  <cp:lastModifiedBy>Un-named</cp:lastModifiedBy>
  <cp:revision>1</cp:revision>
  <dcterms:created xsi:type="dcterms:W3CDTF">2026-10-11T23:54:29Z</dcterms:created>
  <dcterms:modified xsi:type="dcterms:W3CDTF">2026-10-11T23:54:29Z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0x010100979143079854A54D9892AFDB502399A0</vt:lpwstr>
  </property>
</Properties>
</file>