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38"/>
          <w:szCs w:val="38"/>
        </w:rPr>
        <w:t xml:space="preserve">Financial Due Diligence Summary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8"/>
        <w:gridCol w:w="2200"/>
        <w:gridCol w:w="456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[Project name; company]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Report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[Provider; report title; draft or final; date]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Provider and client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[Provider (side: buy or sell); client]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Periods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[Fiscal periods and any TTM; year end]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Audit status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[Audit status by period]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Reliance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[Who may rely; scope limits]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Direction of provider adjustments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[Raised, lowered or unchanged the earnings figure; amount]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Other documents compared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[CIM, lender model, others]</w:t>
            </w:r>
          </w:p>
        </w:tc>
      </w:tr>
    </w:tbl>
    <w:p>
      <w:pPr>
        <w:spacing w:after="80" w:before="0"/>
      </w:pP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6"/>
      </w:tblGrid>
      <w:tr>
        <w:tc>
          <w:tcPr>
            <w:tcW w:type="dxa" w:w="1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Analyst Note: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[One to three sentences, only when a trigger applies: draft status, later documents that change the report, items shown outside the earnings figure, or the provider's own direction of adjustment.]</w:t>
            </w:r>
          </w:p>
        </w:tc>
      </w:tr>
    </w:tbl>
    <w:p>
      <w:pPr>
        <w:keepNext w:val="false"/>
        <w:spacing w:after="60" w:before="6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5"/>
          <w:szCs w:val="15"/>
        </w:rPr>
        <w:t xml:space="preserve">[Terms line, 7.5 pt grey: define EBITDA and any provider labels; state that tables are in USD thousands (K); explain "appears" and "suggests" as inference; explain page references and D numbers.]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1. Executive Assessment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on overall earnings quality.]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[Key Finding 1 (favorable or unfavorable): what the diligence established, with its figure and page, then why it matters to a lender.]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[Key Findings 2 to 5, mixing favorable and unfavorable.]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Priority Diligence Questions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[Question likely to affect earnings sustainability, liquidity or the transaction; also listed in Open Items.]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[Up to 5 questions. Plain numbered list.]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2. Quality of Earnings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bullets, one finding each, at most two sentences: who stands behind each layer of the bridge and what was tested; which adjustments recur, add income, overlap or are not quantified; items shown outside the figure with amount, basis and whether procedures were performed.]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Figure 1  [Composition or bridge chart]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USD in thousands (K)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[Chart image, 860 px wide. Use only when it shows something the table does not.]</w:t>
      </w:r>
    </w:p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[report, pages]; [derived grouping (D number)].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2.1  [Reconciliation by layer]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USD in thousands (K)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1600"/>
        <w:gridCol w:w="1845"/>
        <w:gridCol w:w="1845"/>
        <w:gridCol w:w="1846"/>
      </w:tblGrid>
      <w:tr>
        <w:trPr>
          <w:cantSplit/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Identified by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[Period 1]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[Period 2]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[Period 3]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[Reported figure]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[Ledger]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[Adjustments by layer]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[Management]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[Subtotal]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[Provider]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[Role]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  <w:tc>
          <w:tcPr>
            <w:tcW w:type="dxa" w:w="1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  <w:tc>
          <w:tcPr>
            <w:tcW w:type="dxa" w:w="1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[0,000]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[report, pages]. Role mapping: [provider label to Reported, Subtotal, Adjusted or Pro Forma Adjusted].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2.2  Adjustments by category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USD in thousands (K)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1900"/>
        <w:gridCol w:w="1900"/>
        <w:gridCol w:w="1900"/>
        <w:gridCol w:w="1936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Adjustment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[P1]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[P2]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[P3]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Recurrence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Support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Economic substance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Conditionality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[Layer, for example Management adjustments]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0,000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0,000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0,000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[Who identified it]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[1. Adjustment name]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0,000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(0,000)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[Recurs or not]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[Evidence]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[Cost disappears or is replaced]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[Depends on future events or not]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[report, pages]. [Notes on items with no EBITDA effect or netting to nil.]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3. [Growth section, only when the report gives a mechanism separate attention: for example Acquisitions and Roll-Up or New Markets]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bullets, one finding each, at most two sentences: what grew and at what price or ramp; how the growth enters the bridge; what is forward and untested.]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4. Revenue Analysis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bullets, one finding each, at most two sentences: how revenue is earned and what moved it; retention, or the statement that it is not measured with the nearest indicators; seasonality and concentration.]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4.1  [Revenue by type or driver]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USD in thousands (K)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6"/>
        <w:gridCol w:w="2050"/>
        <w:gridCol w:w="2050"/>
        <w:gridCol w:w="2050"/>
        <w:gridCol w:w="2050"/>
      </w:tblGrid>
      <w:tr>
        <w:trPr>
          <w:cantSplit/>
          <w:tblHeader/>
        </w:trPr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Line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[P1]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[P2]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[P3]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[Change or share]</w:t>
            </w:r>
          </w:p>
        </w:tc>
      </w:tr>
      <w:tr>
        <w:trPr>
          <w:cantSplit/>
          <w:tblHeader w:val="false"/>
        </w:trPr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[Line]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0,000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0,000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0,000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rPr>
          <w:cantSplit/>
          <w:tblHeader w:val="false"/>
        </w:trPr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[Total]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0,000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0,000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0,000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[report, pages]; derived rows (D number).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5. Cost Base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bullets, one finding each, at most two sentences: what drives cost of sales and overhead; what the margin depends on, including cost removals and run-rate items.]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6. Working Capital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bullets, one finding each, at most two sentences: what the measure includes and how it moves through the year; what it hides, including restricted cash and timing.]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7. Cash Flow and Conversion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bullets, one finding each, at most two sentences: EBITDA-to-cash conversion; capital expenditure; what the report shows about cash generation; where the report has no cash flow statement, say so once and use the nearest figures.]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8. Financial and Accounting Matters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[One-line conclusion with its figure.]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 to 7 bullets, one finding each, at most two sentences: the audit and trial balance reconciliation; the balance sheet, debt, cash and debt-like items, and carried against contractual amounts; who prepared the numbers, the reliance chain, systems, controls and pending standards.]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Basis: [report pages; derived D numbers]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9. Open Items</w:t>
      </w:r>
    </w:p>
    <w:p>
      <w:pPr>
        <w:pStyle w:val="ListParagraph"/>
        <w:numPr>
          <w:ilvl w:val="0"/>
          <w:numId w:val="4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item the report does not show, with the key figure in bold. Other documents: covered or not covered.]</w:t>
      </w:r>
    </w:p>
    <w:p>
      <w:pPr>
        <w:pStyle w:val="ListParagraph"/>
        <w:numPr>
          <w:ilvl w:val="0"/>
          <w:numId w:val="4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[Next item. Plain numbered list: no framing, no ranking.]</w:t>
      </w:r>
    </w:p>
    <w:p>
      <w:pPr>
        <w:pStyle w:val="Heading1"/>
        <w:keepNext/>
        <w:pageBreakBefore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Appendix A: Differences</w:t>
      </w:r>
    </w:p>
    <w:p>
      <w:pPr>
        <w:keepNext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sentence: what was compared, and every deal document that was not compared with the reason. State when no other deal documents were available.]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[Up to three differences that bear on earnings, with figures.]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A.1  Differences within the report, against the audited statements, and against the deal documents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USD in thousands (K)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3300"/>
        <w:gridCol w:w="3936"/>
        <w:gridCol w:w="14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[Report]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Other value</w:t>
            </w:r>
          </w:p>
        </w:tc>
        <w:tc>
          <w:tcPr>
            <w:tcW w:type="dxa" w:w="3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Difference or note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Within the report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[Item]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 (page)]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[Value]</w:t>
            </w:r>
          </w:p>
        </w:tc>
        <w:tc>
          <w:tcPr>
            <w:tcW w:type="dxa" w:w="3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[Difference]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[Source]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Against the audited statements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[Item]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 (page)]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[Value]</w:t>
            </w:r>
          </w:p>
        </w:tc>
        <w:tc>
          <w:tcPr>
            <w:tcW w:type="dxa" w:w="3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[Difference]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[Source]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Against the other deal documents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[Item]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 (page)]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[Value]</w:t>
            </w:r>
          </w:p>
        </w:tc>
        <w:tc>
          <w:tcPr>
            <w:tcW w:type="dxa" w:w="3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[Difference]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[Source]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Source: [report; other documents with short names]. [Audited figures are as presented in the report if the statements were not provided.]</w:t>
      </w:r>
    </w:p>
    <w:sectPr>
      <w:footerReference w:type="default" r:id="rId7"/>
      <w:pgSz w:w="15840" w:h="12240" w:orient="landscape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embedRegular r:id="rIdFont1" w:fontKey="{20655858-050A-4422-9957-B283797454B1}"/>
    <w:embedBold r:id="rIdFont2" w:fontKey="{7711711D-74C1-41CA-ADAD-42ED6F1E6D87}"/>
  </w:font>
  <w:font w:name="Libre Baskerville">
    <w:charset w:val="00"/>
    <w:family w:val="swiss"/>
    <w:pitch w:val="variable"/>
    <w:embedRegular r:id="rIdFont3" w:fontKey="{FBB058C4-4D5B-44E9-8A93-662F691926E4}"/>
    <w:embedBold r:id="rIdFont4" w:fontKey="{4EE16041-7A1B-4664-886A-667B33CADE7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536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Page </w:t>
    </w:r>
    <w:r>
      <w:rPr>
        <w:rFonts w:ascii="Open Sans" w:cs="Open Sans" w:eastAsia="Open Sans" w:hAnsi="Open Sans"/>
        <w:color w:val="5A63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  <w:rPr>
        <w:rFonts w:ascii="Open Sans" w:cs="Open Sans" w:eastAsia="Open Sans" w:hAnsi="Open Sans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Open Sans" w:cs="Open Sans" w:eastAsia="Open Sans" w:hAnsi="Open Sans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Libre Baskerville" w:cs="Libre Baskerville" w:eastAsia="Libre Baskerville" w:hAnsi="Libre Baskerville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EEC00D-A07A-4639-8D56-162C550E6664}"/>
</file>

<file path=customXml/itemProps2.xml><?xml version="1.0" encoding="utf-8"?>
<ds:datastoreItem xmlns:ds="http://schemas.openxmlformats.org/officeDocument/2006/customXml" ds:itemID="{55F7DAF8-04CF-4B6D-9324-A09098C58DC6}"/>
</file>

<file path=customXml/itemProps3.xml><?xml version="1.0" encoding="utf-8"?>
<ds:datastoreItem xmlns:ds="http://schemas.openxmlformats.org/officeDocument/2006/customXml" ds:itemID="{631872E3-756D-4533-945C-E923D8067AC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Due Diligence Summary (template)</dc:title>
  <dc:creator>Raven</dc:creator>
  <cp:lastModifiedBy>Un-named</cp:lastModifiedBy>
  <cp:revision>1</cp:revision>
  <dcterms:created xsi:type="dcterms:W3CDTF">2026-10-11T21:23:53Z</dcterms:created>
  <dcterms:modified xsi:type="dcterms:W3CDTF">2026-10-11T21:23:53Z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