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Libre Baskerville" w:cs="Libre Baskerville" w:eastAsia="Libre Baskerville" w:hAnsi="Libre Baskerville"/>
          <w:color w:val="242D27"/>
          <w:sz w:val="36"/>
          <w:szCs w:val="36"/>
        </w:rPr>
        <w:t xml:space="preserve">FIRST SCREEN MEMO</w:t>
      </w:r>
    </w:p>
    <w:p>
      <w:pPr>
        <w:pBdr>
          <w:bottom w:val="single" w:color="8FA087" w:sz="8" w:space="6"/>
        </w:pBdr>
        <w:spacing w:after="120"/>
      </w:pPr>
      <w:r>
        <w:rPr>
          <w:rFonts w:ascii="Open Sans Condensed" w:cs="Open Sans Condensed" w:eastAsia="Open Sans Condensed" w:hAnsi="Open Sans Condensed"/>
          <w:color w:val="8FA087"/>
          <w:sz w:val="26"/>
          <w:szCs w:val="26"/>
        </w:rPr>
        <w:t xml:space="preserve">Project [Name] | [Company] ("[Nickname]")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8"/>
      </w:tblGrid>
      <w:tr>
        <w:trPr>
          <w:cantSplit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Sponsor</w:t>
            </w:r>
          </w:p>
        </w:tc>
        <w:tc>
          <w:tcPr>
            <w:tcW w:type="dxa" w:w="7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[Sponsor; list both if co-sponsored]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Agent</w:t>
            </w:r>
          </w:p>
        </w:tc>
        <w:tc>
          <w:tcPr>
            <w:tcW w:type="dxa" w:w="7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[Administrative agent, or "Not yet disclosed"]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Facility under review</w:t>
            </w:r>
          </w:p>
        </w:tc>
        <w:tc>
          <w:tcPr>
            <w:tcW w:type="dxa" w:w="7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[Primary funded instrument and amount]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Earnings basis</w:t>
            </w:r>
          </w:p>
        </w:tc>
        <w:tc>
          <w:tcPr>
            <w:tcW w:type="dxa" w:w="7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[LTM period label and the EBITDA basis used throughout]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Date</w:t>
            </w:r>
          </w:p>
        </w:tc>
        <w:tc>
          <w:tcPr>
            <w:tcW w:type="dxa" w:w="7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[Memo date]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Template notes in grey italics (like this one) are guidance. Delete them, and any unused rows or sections, before delivery. Bracketed text is a placeholder to replace.</w:t>
      </w:r>
    </w:p>
    <w:p>
      <w:pPr>
        <w:pStyle w:val="Heading1"/>
      </w:pPr>
      <w:r>
        <w:t xml:space="preserve">1. Executive Summary &amp; Preliminary Credit View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page, about 300-350 words of prose plus two tables. Open the credit view with the tier label (Proceed, Proceed Conditional, or Pass) as a plain declarative sentence.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[Credit view: tier label first, then the reasoning in two to three sentences.]</w:t>
      </w:r>
    </w:p>
    <w:p>
      <w:pPr>
        <w:pStyle w:val="Heading2"/>
      </w:pPr>
      <w:r>
        <w:t xml:space="preserve">Deal Terms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Term</w:t>
            </w:r>
          </w:p>
        </w:tc>
        <w:tc>
          <w:tcPr>
            <w:tcW w:type="dxa" w:w="7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Transaction</w:t>
            </w:r>
          </w:p>
        </w:tc>
        <w:tc>
          <w:tcPr>
            <w:tcW w:type="dxa" w:w="7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[Type, purchase price or TEV, entry multiple and its EBITDA basis]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Facility</w:t>
            </w:r>
          </w:p>
        </w:tc>
        <w:tc>
          <w:tcPr>
            <w:tcW w:type="dxa" w:w="7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[Tranche, amount, tenor]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Pricing</w:t>
            </w:r>
          </w:p>
        </w:tc>
        <w:tc>
          <w:tcPr>
            <w:tcW w:type="dxa" w:w="7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[Margin, floor, OID]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Proposed leverage</w:t>
            </w:r>
          </w:p>
        </w:tc>
        <w:tc>
          <w:tcPr>
            <w:tcW w:type="dxa" w:w="7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[x, and the EBITDA it is struck against]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Sponsor equity</w:t>
            </w:r>
          </w:p>
        </w:tc>
        <w:tc>
          <w:tcPr>
            <w:tcW w:type="dxa" w:w="7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[Amount and % of capitalization]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Summary Scorecard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848"/>
      </w:tblGrid>
      <w:tr>
        <w:trPr>
          <w:tblHeader/>
        </w:trPr>
        <w:tc>
          <w:tcPr>
            <w:tcW w:type="dxa" w:w="2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Rating</w:t>
            </w:r>
          </w:p>
        </w:tc>
        <w:tc>
          <w:tcPr>
            <w:tcW w:type="dxa" w:w="5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Business quality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[Rating]</w:t>
            </w:r>
          </w:p>
        </w:tc>
        <w:tc>
          <w:tcPr>
            <w:tcW w:type="dxa" w:w="5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[One-line driver]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Cash flow durability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[Rating]</w:t>
            </w:r>
          </w:p>
        </w:tc>
        <w:tc>
          <w:tcPr>
            <w:tcW w:type="dxa" w:w="5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[One-line driver]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Customer concentration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[Rating]</w:t>
            </w:r>
          </w:p>
        </w:tc>
        <w:tc>
          <w:tcPr>
            <w:tcW w:type="dxa" w:w="5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[One-line driver]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Earnings quality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[Rating]</w:t>
            </w:r>
          </w:p>
        </w:tc>
        <w:tc>
          <w:tcPr>
            <w:tcW w:type="dxa" w:w="5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[One-line driver]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Collateral coverage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[Rating]</w:t>
            </w:r>
          </w:p>
        </w:tc>
        <w:tc>
          <w:tcPr>
            <w:tcW w:type="dxa" w:w="5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[One-line driver]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Leverage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[Rating]</w:t>
            </w:r>
          </w:p>
        </w:tc>
        <w:tc>
          <w:tcPr>
            <w:tcW w:type="dxa" w:w="5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[One-line driver]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Management / Sponsor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[Rating]</w:t>
            </w:r>
          </w:p>
        </w:tc>
        <w:tc>
          <w:tcPr>
            <w:tcW w:type="dxa" w:w="5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[One-line driver]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Headwinds / Tailwinds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[Rating]</w:t>
            </w:r>
          </w:p>
        </w:tc>
        <w:tc>
          <w:tcPr>
            <w:tcW w:type="dxa" w:w="5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000000"/>
                <w:sz w:val="16"/>
                <w:szCs w:val="16"/>
              </w:rPr>
              <w:t xml:space="preserve">[One-line driver]</w:t>
            </w:r>
          </w:p>
        </w:tc>
      </w:tr>
    </w:tbl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Ratings: Above Average, Average, Below Average, or Weak. Rendered as the credit assessment states them; do not re-rate.</w:t>
      </w:r>
    </w:p>
    <w:p>
      <w:pPr>
        <w:pStyle w:val="Heading1"/>
      </w:pPr>
      <w:r>
        <w:t xml:space="preserve">2. Transaction Overview &amp; Proposed Capital Structure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page, about 200-250 words of prose; the tables carry the section. Key Terms must be a table.</w:t>
      </w:r>
    </w:p>
    <w:p>
      <w:pPr>
        <w:pStyle w:val="Heading2"/>
      </w:pPr>
      <w:r>
        <w:t xml:space="preserve">Sources &amp; Uses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24"/>
        <w:gridCol w:w="3000"/>
        <w:gridCol w:w="1824"/>
      </w:tblGrid>
      <w:tr>
        <w:trPr>
          <w:tblHeader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Sources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Uses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[Source]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[Use]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[Source]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[Use]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[Source]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[Use]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Total sources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Total uses</w:t>
            </w:r>
          </w:p>
        </w:tc>
        <w:tc>
          <w:tcPr>
            <w:tcW w:type="dxa" w:w="1824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 Forma Capitalization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800"/>
        <w:gridCol w:w="1800"/>
        <w:gridCol w:w="1848"/>
      </w:tblGrid>
      <w:tr>
        <w:trPr>
          <w:tblHeader/>
        </w:trPr>
        <w:tc>
          <w:tcPr>
            <w:tcW w:type="dxa" w:w="27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Tranche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Cumulative leverage (x)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Cumulative % of capitalization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Tenor / ranking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[Tranche]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[Tenor; ranking]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[Tranche]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[Tenor; ranking]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Total debt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Sponsor equity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Total capitalization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100%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Tranches that rank pari passu show the same cumulative multiple and are grouped or labeled together. Name the EBITDA basis for every multiple.</w:t>
      </w:r>
    </w:p>
    <w:p>
      <w:pPr>
        <w:pStyle w:val="Heading2"/>
      </w:pPr>
      <w:r>
        <w:t xml:space="preserve">Structure Read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[Short prose read on the structure.]</w:t>
      </w:r>
    </w:p>
    <w:p>
      <w:pPr>
        <w:pStyle w:val="Heading2"/>
      </w:pPr>
      <w:r>
        <w:t xml:space="preserve">Key Terms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50"/>
        <w:gridCol w:w="1450"/>
        <w:gridCol w:w="1350"/>
        <w:gridCol w:w="1450"/>
        <w:gridCol w:w="1300"/>
        <w:gridCol w:w="1848"/>
      </w:tblGrid>
      <w:tr>
        <w:trPr>
          <w:tblHeader/>
        </w:trPr>
        <w:tc>
          <w:tcPr>
            <w:tcW w:type="dxa" w:w="11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Facility</w:t>
            </w:r>
          </w:p>
        </w:tc>
        <w:tc>
          <w:tcPr>
            <w:tcW w:type="dxa" w:w="11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Pricing</w:t>
            </w:r>
          </w:p>
        </w:tc>
        <w:tc>
          <w:tcPr>
            <w:tcW w:type="dxa" w:w="14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Amortization</w:t>
            </w:r>
          </w:p>
        </w:tc>
        <w:tc>
          <w:tcPr>
            <w:tcW w:type="dxa" w:w="13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Call protection</w:t>
            </w:r>
          </w:p>
        </w:tc>
        <w:tc>
          <w:tcPr>
            <w:tcW w:type="dxa" w:w="14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Mandatory prepayment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Financial covenant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Security &amp; guarantors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[RCF]</w:t>
            </w:r>
          </w:p>
        </w:tc>
        <w:tc>
          <w:tcPr>
            <w:tcW w:type="dxa" w:w="11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4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3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4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[First lien]</w:t>
            </w:r>
          </w:p>
        </w:tc>
        <w:tc>
          <w:tcPr>
            <w:tcW w:type="dxa" w:w="11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4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3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4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[Second lien]</w:t>
            </w:r>
          </w:p>
        </w:tc>
        <w:tc>
          <w:tcPr>
            <w:tcW w:type="dxa" w:w="11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4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3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45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8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</w:tbl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One row per facility, one column per term. Write "Not disclosed" only after the documents have been searched.</w:t>
      </w:r>
    </w:p>
    <w:p>
      <w:pPr>
        <w:pStyle w:val="Heading2"/>
      </w:pPr>
      <w:r>
        <w:t xml:space="preserve">Process / Timeline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[Process and timeline.]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5A636A" w:sz="24"/>
              <w:bottom w:val="none" w:color="FFFFFF" w:sz="0"/>
              <w:right w:val="none" w:color="FFFFFF" w:sz="0"/>
            </w:tcBorders>
            <w:shd w:fill="F7F4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Open Sans" w:cs="Open Sans" w:eastAsia="Open Sans" w:hAnsi="Open Sans"/>
                <w:b/>
                <w:bCs/>
                <w:color w:val="5A636A"/>
                <w:sz w:val="15"/>
                <w:szCs w:val="15"/>
              </w:rPr>
              <w:t xml:space="preserve">ANALYST NOTE</w:t>
            </w:r>
          </w:p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[Use for an unreconciled figure or a conflict between sources. State which figure the memo uses and why.]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Sponsor &amp; Management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page, about 250-300 words of prose.</w:t>
      </w:r>
    </w:p>
    <w:p>
      <w:pPr>
        <w:pStyle w:val="Heading2"/>
      </w:pPr>
      <w:r>
        <w:t xml:space="preserve">Sponsor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[Fund information, thesis, deal team, and track record, as disclosed.]</w:t>
      </w:r>
    </w:p>
    <w:p>
      <w:pPr>
        <w:pStyle w:val="Heading2"/>
      </w:pPr>
      <w:r>
        <w:t xml:space="preserve">Management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300"/>
        <w:gridCol w:w="4148"/>
      </w:tblGrid>
      <w:tr>
        <w:trPr>
          <w:tblHeader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Tenure</w:t>
            </w:r>
          </w:p>
        </w:tc>
        <w:tc>
          <w:tcPr>
            <w:tcW w:type="dxa" w:w="4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Experience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[Title]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[Years]</w:t>
            </w:r>
          </w:p>
        </w:tc>
        <w:tc>
          <w:tcPr>
            <w:tcW w:type="dxa" w:w="4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[Prior roles and employers]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[Title]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[Years]</w:t>
            </w:r>
          </w:p>
        </w:tc>
        <w:tc>
          <w:tcPr>
            <w:tcW w:type="dxa" w:w="4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[Prior roles and employers]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[Management narrative, including any gap: no CEO identified, interim CFO, or different sources naming different people for one role.]</w:t>
      </w:r>
    </w:p>
    <w:p>
      <w:pPr>
        <w:pStyle w:val="Heading2"/>
      </w:pPr>
      <w:r>
        <w:t xml:space="preserve">Sponsor &amp; Management Read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[Closing read, three to four sentences.]</w:t>
      </w:r>
    </w:p>
    <w:p>
      <w:pPr>
        <w:pStyle w:val="Heading1"/>
      </w:pPr>
      <w:r>
        <w:t xml:space="preserve">4. Business Overview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and a half to two pages. This is the one section allowed to run past one page.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[Lead description of the business: what it does, scale, and the deal rationale.]</w:t>
      </w:r>
    </w:p>
    <w:p>
      <w:pPr>
        <w:pStyle w:val="Heading2"/>
      </w:pPr>
      <w:r>
        <w:t xml:space="preserve">Business &amp; Market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[Prose.]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48"/>
      </w:tblGrid>
      <w:tr>
        <w:trPr>
          <w:tblHeader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Segment / product</w:t>
            </w:r>
          </w:p>
        </w:tc>
        <w:tc>
          <w:tcPr>
            <w:tcW w:type="dxa" w:w="2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% of revenue</w:t>
            </w:r>
          </w:p>
        </w:tc>
        <w:tc>
          <w:tcPr>
            <w:tcW w:type="dxa" w:w="26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Margin or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[Segment]</w:t>
            </w:r>
          </w:p>
        </w:tc>
        <w:tc>
          <w:tcPr>
            <w:tcW w:type="dxa" w:w="2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26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[Segment]</w:t>
            </w:r>
          </w:p>
        </w:tc>
        <w:tc>
          <w:tcPr>
            <w:tcW w:type="dxa" w:w="2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26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Competitive Position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 Label sponsor-sourced claims as sponsor-sourced.]</w:t>
      </w:r>
    </w:p>
    <w:p>
      <w:pPr>
        <w:pStyle w:val="Heading2"/>
      </w:pPr>
      <w:r>
        <w:t xml:space="preserve">Customers &amp; Concentration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048"/>
      </w:tblGrid>
      <w:tr>
        <w:trPr>
          <w:tblHeader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Customer or group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% of revenue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Tenure</w:t>
            </w:r>
          </w:p>
        </w:tc>
        <w:tc>
          <w:tcPr>
            <w:tcW w:type="dxa" w:w="3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Contract term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[Customer]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3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[Customer]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3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Top 10 total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State the as-of date of the concentration data if it differs from the memo anchor period.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8FA087" w:sz="24"/>
              <w:bottom w:val="none" w:color="FFFFFF" w:sz="0"/>
              <w:right w:val="none" w:color="FFFFFF" w:sz="0"/>
            </w:tcBorders>
            <w:shd w:fill="F7F4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Open Sans" w:cs="Open Sans" w:eastAsia="Open Sans" w:hAnsi="Open Sans"/>
                <w:b/>
                <w:bCs/>
                <w:color w:val="8FA087"/>
                <w:sz w:val="15"/>
                <w:szCs w:val="15"/>
              </w:rPr>
              <w:t xml:space="preserve">COUNTERARGUMENT</w:t>
            </w:r>
          </w:p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[Use where a claim cuts against the sponsor's framing.]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Industry &amp; Market Position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page, about 300-330 words of prose plus the barriers table.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[Intro.]</w:t>
      </w:r>
    </w:p>
    <w:p>
      <w:pPr>
        <w:pStyle w:val="Heading2"/>
      </w:pPr>
      <w:r>
        <w:t xml:space="preserve">Market Structure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[Prose.]</w:t>
      </w:r>
    </w:p>
    <w:p>
      <w:pPr>
        <w:pStyle w:val="Heading2"/>
      </w:pPr>
      <w:r>
        <w:t xml:space="preserve">Customers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[Prose.]</w:t>
      </w:r>
    </w:p>
    <w:p>
      <w:pPr>
        <w:pStyle w:val="Heading2"/>
      </w:pPr>
      <w:r>
        <w:t xml:space="preserve">Barriers to Entry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00"/>
        <w:gridCol w:w="2748"/>
      </w:tblGrid>
      <w:tr>
        <w:trPr>
          <w:tblHeader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Barrier</w:t>
            </w:r>
          </w:p>
        </w:tc>
        <w:tc>
          <w:tcPr>
            <w:tcW w:type="dxa" w:w="1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Evidence</w:t>
            </w:r>
          </w:p>
        </w:tc>
        <w:tc>
          <w:tcPr>
            <w:tcW w:type="dxa" w:w="27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Credit implication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[Barrier]</w:t>
            </w:r>
          </w:p>
        </w:tc>
        <w:tc>
          <w:tcPr>
            <w:tcW w:type="dxa" w:w="1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[H / M / L]</w:t>
            </w:r>
          </w:p>
        </w:tc>
        <w:tc>
          <w:tcPr>
            <w:tcW w:type="dxa" w:w="3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7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[Barrier]</w:t>
            </w:r>
          </w:p>
        </w:tc>
        <w:tc>
          <w:tcPr>
            <w:tcW w:type="dxa" w:w="12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[H / M / L]</w:t>
            </w:r>
          </w:p>
        </w:tc>
        <w:tc>
          <w:tcPr>
            <w:tcW w:type="dxa" w:w="3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7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Demand Drivers &amp; Threats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[Prose.]</w:t>
      </w:r>
    </w:p>
    <w:p>
      <w:pPr>
        <w:pStyle w:val="Heading1"/>
      </w:pPr>
      <w:r>
        <w:t xml:space="preserve">6. Financial Performance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page. Prose plus two tables; cap adjustment commentary to the four or five most material adjustments.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[Summary.]</w:t>
      </w:r>
    </w:p>
    <w:p>
      <w:pPr>
        <w:pStyle w:val="Heading2"/>
      </w:pPr>
      <w:r>
        <w:t xml:space="preserve">Historical Performance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12"/>
        <w:gridCol w:w="1712"/>
        <w:gridCol w:w="1712"/>
        <w:gridCol w:w="1712"/>
      </w:tblGrid>
      <w:tr>
        <w:trPr>
          <w:tblHeader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Metric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[FY]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[FY]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[FY]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[LTM]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Revenue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Growth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Adjusted EBITDA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EBITDA margin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Capex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EBITDA Bridge: Reported to Adjusted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  <w:gridCol w:w="2448"/>
      </w:tblGrid>
      <w:tr>
        <w:trPr>
          <w:tblHeader/>
        </w:trPr>
        <w:tc>
          <w:tcPr>
            <w:tcW w:type="dxa" w:w="4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Line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Type</w:t>
            </w:r>
          </w:p>
        </w:tc>
        <w:tc>
          <w:tcPr>
            <w:tcW w:type="dxa" w:w="2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Status / source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Reported EBITDA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Base</w:t>
            </w:r>
          </w:p>
        </w:tc>
        <w:tc>
          <w:tcPr>
            <w:tcW w:type="dxa" w:w="2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[Add-back]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Add-back</w:t>
            </w:r>
          </w:p>
        </w:tc>
        <w:tc>
          <w:tcPr>
            <w:tcW w:type="dxa" w:w="2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[Identified / included in LTM-PF / targeted run-rate]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[Synergy]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Synergy</w:t>
            </w:r>
          </w:p>
        </w:tc>
        <w:tc>
          <w:tcPr>
            <w:tcW w:type="dxa" w:w="2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Adjusted EBITDA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Subtotal</w:t>
            </w:r>
          </w:p>
        </w:tc>
        <w:tc>
          <w:tcPr>
            <w:tcW w:type="dxa" w:w="24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[Quality of earnings flag, one to two sentences.]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[Adjustment quality commentary.]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242D27" w:sz="24"/>
              <w:bottom w:val="none" w:color="FFFFFF" w:sz="0"/>
              <w:right w:val="none" w:color="FFFFFF" w:sz="0"/>
            </w:tcBorders>
            <w:shd w:fill="F7F4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5"/>
                <w:szCs w:val="15"/>
              </w:rPr>
              <w:t xml:space="preserve">KEY CREDIT CONCERN</w:t>
            </w:r>
          </w:p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[Use for a fact that materially governs the credit, such as an EBITDA basis built on unrealized synergies.]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Balance Sheet, Liquidity &amp; Collateral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page. If a balance sheet is not disclosed, say so in one line rather than building an empty table.</w:t>
      </w:r>
    </w:p>
    <w:p>
      <w:pPr>
        <w:pStyle w:val="Heading2"/>
      </w:pPr>
      <w:r>
        <w:t xml:space="preserve">Balance Sheet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 or one-line gap note.]</w:t>
      </w:r>
    </w:p>
    <w:p>
      <w:pPr>
        <w:pStyle w:val="Heading2"/>
      </w:pPr>
      <w:r>
        <w:t xml:space="preserve">Working Capital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 or one-line gap note.]</w:t>
      </w:r>
    </w:p>
    <w:p>
      <w:pPr>
        <w:pStyle w:val="Heading2"/>
      </w:pPr>
      <w:r>
        <w:t xml:space="preserve">Liquidity &amp; Coverage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12"/>
        <w:gridCol w:w="1712"/>
        <w:gridCol w:w="1712"/>
        <w:gridCol w:w="1712"/>
      </w:tblGrid>
      <w:tr>
        <w:trPr>
          <w:tblHeader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Metric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Close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[Year 1]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[Year 2]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[Year 3]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Net leverage (x)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Interest coverage (x)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Unlevered free cash flow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12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Capital Structure &amp; Recovery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800"/>
        <w:gridCol w:w="1800"/>
        <w:gridCol w:w="1948"/>
      </w:tblGrid>
      <w:tr>
        <w:trPr>
          <w:tblHeader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Tranche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Cumulative leverage (x)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Cumulative LTV</w:t>
            </w:r>
          </w:p>
        </w:tc>
        <w:tc>
          <w:tcPr>
            <w:tcW w:type="dxa" w:w="19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Recovery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[Tranche]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9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[Tranche]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9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AI Review &amp; Analysis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under one page; length follows disclosure. A thin-AI deal is a few sentences. No table.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[Overview.]</w:t>
      </w:r>
    </w:p>
    <w:p>
      <w:pPr>
        <w:pStyle w:val="Heading2"/>
      </w:pPr>
      <w:r>
        <w:t xml:space="preserve">Sector AI Landscape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[Prose.]</w:t>
      </w:r>
    </w:p>
    <w:p>
      <w:pPr>
        <w:pStyle w:val="Heading2"/>
      </w:pPr>
      <w:r>
        <w:t xml:space="preserve">Adoption &amp; Governance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[Prose.]</w:t>
      </w:r>
    </w:p>
    <w:p>
      <w:pPr>
        <w:pStyle w:val="Heading2"/>
      </w:pPr>
      <w:r>
        <w:t xml:space="preserve">Risks &amp; Opportunities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[Prose.]</w:t>
      </w:r>
    </w:p>
    <w:p>
      <w:pPr>
        <w:pStyle w:val="Heading2"/>
      </w:pPr>
      <w:r>
        <w:t xml:space="preserve">Signals &amp; Outlook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[Prose.]</w:t>
      </w:r>
    </w:p>
    <w:p>
      <w:pPr>
        <w:pStyle w:val="Heading2"/>
      </w:pPr>
      <w:r>
        <w:t xml:space="preserve">Gaps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[Prose.]</w:t>
      </w:r>
    </w:p>
    <w:p>
      <w:pPr>
        <w:pStyle w:val="Heading1"/>
      </w:pPr>
      <w:r>
        <w:t xml:space="preserve">9. Credit Strengths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page, up to eight rows. This section is a table, one row per strength. No severity column.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300"/>
        <w:gridCol w:w="2600"/>
        <w:gridCol w:w="2148"/>
        <w:gridCol w:w="1600"/>
      </w:tblGrid>
      <w:tr>
        <w:trPr>
          <w:tblHeader/>
        </w:trPr>
        <w:tc>
          <w:tcPr>
            <w:tcW w:type="dxa" w:w="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Stat line</w:t>
            </w:r>
          </w:p>
        </w:tc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Body</w:t>
            </w:r>
          </w:p>
        </w:tc>
        <w:tc>
          <w:tcPr>
            <w:tcW w:type="dxa" w:w="2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Credit implication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Peer benchmark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Key Risks &amp; Mitigating Factors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page, up to eight rows. This section is a table, one row per risk. Severity and mitigant type exactly as the credit assessment states them; a mitigant of "None disclosed" is stated as such.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500"/>
        <w:gridCol w:w="2900"/>
        <w:gridCol w:w="2148"/>
        <w:gridCol w:w="1600"/>
      </w:tblGrid>
      <w:tr>
        <w:trPr>
          <w:tblHeader/>
        </w:trPr>
        <w:tc>
          <w:tcPr>
            <w:tcW w:type="dxa" w:w="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#</w:t>
            </w:r>
          </w:p>
        </w:tc>
        <w:tc>
          <w:tcPr>
            <w:tcW w:type="dxa" w:w="1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Title</w:t>
            </w:r>
          </w:p>
        </w:tc>
        <w:tc>
          <w:tcPr>
            <w:tcW w:type="dxa" w:w="29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Body</w:t>
            </w:r>
          </w:p>
        </w:tc>
        <w:tc>
          <w:tcPr>
            <w:tcW w:type="dxa" w:w="2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Mitigant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Peer benchmark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9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[Type: genuine / limited / none. Detail.]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9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9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21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 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Valuation Benchmarking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well under one page. Render the peer coverage that exists and state plainly what does not.</w:t>
      </w:r>
    </w:p>
    <w:p>
      <w:pPr>
        <w:pStyle w:val="Heading2"/>
      </w:pPr>
      <w:r>
        <w:t xml:space="preserve">Entry Valuation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[Entry multiple, its EBITDA basis, and what it implies.]</w:t>
      </w:r>
    </w:p>
    <w:p>
      <w:pPr>
        <w:pStyle w:val="Heading2"/>
      </w:pPr>
      <w:r>
        <w:t xml:space="preserve">Peer Benchmarking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800"/>
        <w:gridCol w:w="2048"/>
      </w:tblGrid>
      <w:tr>
        <w:trPr>
          <w:tblHeader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Peer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Revenue</w:t>
            </w:r>
          </w:p>
        </w:tc>
        <w:tc>
          <w:tcPr>
            <w:tcW w:type="dxa" w:w="17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EBITDA margin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Leverage</w:t>
            </w:r>
          </w:p>
        </w:tc>
        <w:tc>
          <w:tcPr>
            <w:tcW w:type="dxa" w:w="2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shd w:fill="C1C8B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6"/>
                <w:szCs w:val="16"/>
              </w:rPr>
              <w:t xml:space="preserve">Valuation multiple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[Peer]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2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[Peer]</w:t>
            </w:r>
          </w:p>
        </w:tc>
        <w:tc>
          <w:tcPr>
            <w:tcW w:type="dxa" w:w="15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[$]</w:t>
            </w:r>
          </w:p>
        </w:tc>
        <w:tc>
          <w:tcPr>
            <w:tcW w:type="dxa" w:w="17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1800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2048"/>
            <w:tcBorders>
              <w:top w:val="single" w:color="C1C8BA" w:sz="4"/>
              <w:left w:val="single" w:color="C1C8BA" w:sz="4"/>
              <w:bottom w:val="single" w:color="C1C8BA" w:sz="4"/>
              <w:right w:val="single" w:color="C1C8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Selected Peer Set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[Peer set and how it was chosen.]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Precedent transactions: not yet built.</w:t>
      </w:r>
    </w:p>
    <w:p>
      <w:pPr>
        <w:pStyle w:val="Heading1"/>
      </w:pPr>
      <w:r>
        <w:t xml:space="preserve">12. Open Diligence Items &amp; Information Gaps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one page, at most ten lines, ranked by credit materiality. No callout boxes in this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[Item: what is missing, why it matters, and the specific document, call, or model run that closes it.]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[Item: what is missing, why it matters, and the specific document, call, or model run that closes it.]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[Item: what is missing, why it matters, and the specific document, call, or model run that closes it.]</w:t>
      </w:r>
    </w:p>
    <w:p>
      <w:pPr>
        <w:pStyle w:val="Heading1"/>
      </w:pPr>
      <w:r>
        <w:t xml:space="preserve">13. Recommendation &amp; Suggested Structural Considerations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Target: well under one page. Prose only; no table. Restate the section 1 tier label as given.</w:t>
      </w:r>
    </w:p>
    <w:p>
      <w:pPr>
        <w:spacing w:after="120" w:line="276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[Restatement of the preliminary recommendation and the conditions attached to it.]</w:t>
      </w:r>
    </w:p>
    <w:p>
      <w:pPr>
        <w:pStyle w:val="Heading2"/>
      </w:pPr>
      <w:r>
        <w:t xml:space="preserve">What would most improve conviction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[Item]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[Item]</w:t>
      </w:r>
    </w:p>
    <w:p>
      <w:pPr>
        <w:pStyle w:val="Heading2"/>
      </w:pPr>
      <w:r>
        <w:t xml:space="preserve">What would most reduce conviction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[Item]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pen Sans" w:cs="Open Sans" w:eastAsia="Open Sans" w:hAnsi="Open Sans"/>
          <w:color w:val="000000"/>
          <w:sz w:val="19"/>
          <w:szCs w:val="19"/>
        </w:rPr>
        <w:t xml:space="preserve">[Item]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Up to four items each way, taken from sections 9, 10, and 12. Do not add anything not already in the memo.</w:t>
      </w:r>
    </w:p>
    <w:p>
      <w:pPr>
        <w:spacing w:after="80"/>
      </w:pPr>
    </w:p>
    <w:p>
      <w:pPr>
        <w:spacing w:after="120" w:line="276"/>
      </w:pPr>
      <w:r>
        <w:rPr>
          <w:rFonts w:ascii="Open Sans" w:cs="Open Sans" w:eastAsia="Open Sans" w:hAnsi="Open Sans"/>
          <w:i/>
          <w:iCs/>
          <w:color w:val="5A636A"/>
          <w:sz w:val="16"/>
          <w:szCs w:val="16"/>
        </w:rPr>
        <w:t xml:space="preserve">This memo is internal work product prepared for Investment Committee discussion. It is based on data-room materials and Raven's analysis and is not a final credit approval.</w:t>
      </w:r>
    </w:p>
    <w:p>
      <w:pPr>
        <w:pageBreakBefore/>
      </w:pPr>
    </w:p>
    <w:p>
      <w:pPr>
        <w:pStyle w:val="Heading1"/>
      </w:pPr>
      <w:r>
        <w:t xml:space="preserve">A. Callout box library (delete this page before delivery)</w:t>
      </w:r>
    </w:p>
    <w:p>
      <w:pPr>
        <w:keepNext/>
        <w:spacing w:after="10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Copy the box that fits. Use only where something real is flagged. A clean section needs none.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5A636A" w:sz="24"/>
              <w:bottom w:val="none" w:color="FFFFFF" w:sz="0"/>
              <w:right w:val="none" w:color="FFFFFF" w:sz="0"/>
            </w:tcBorders>
            <w:shd w:fill="F7F4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Open Sans" w:cs="Open Sans" w:eastAsia="Open Sans" w:hAnsi="Open Sans"/>
                <w:b/>
                <w:bCs/>
                <w:color w:val="5A636A"/>
                <w:sz w:val="15"/>
                <w:szCs w:val="15"/>
              </w:rPr>
              <w:t xml:space="preserve">ANALYST NOTE</w:t>
            </w:r>
          </w:p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 observation a careful reader should weigh: an unreconciled figure or a source conflict (state which figure the memo uses and why), or a point to consider that no source states directly, such as how facts in two sections interact. Label any computed figure "analyst calculation, not disclosed."</w:t>
            </w:r>
          </w:p>
        </w:tc>
      </w:tr>
    </w:tbl>
    <w:p>
      <w:pPr>
        <w:spacing w:after="8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8FA087" w:sz="24"/>
              <w:bottom w:val="none" w:color="FFFFFF" w:sz="0"/>
              <w:right w:val="none" w:color="FFFFFF" w:sz="0"/>
            </w:tcBorders>
            <w:shd w:fill="F7F4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Open Sans" w:cs="Open Sans" w:eastAsia="Open Sans" w:hAnsi="Open Sans"/>
                <w:b/>
                <w:bCs/>
                <w:color w:val="8FA087"/>
                <w:sz w:val="15"/>
                <w:szCs w:val="15"/>
              </w:rPr>
              <w:t xml:space="preserve">COUNTERARGUMENT</w:t>
            </w:r>
          </w:p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 point that cuts against the sponsor's framing, with the evidence.</w:t>
            </w:r>
          </w:p>
        </w:tc>
      </w:tr>
    </w:tbl>
    <w:p>
      <w:pPr>
        <w:spacing w:after="8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242D27" w:sz="24"/>
              <w:bottom w:val="none" w:color="FFFFFF" w:sz="0"/>
              <w:right w:val="none" w:color="FFFFFF" w:sz="0"/>
            </w:tcBorders>
            <w:shd w:fill="F7F4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Open Sans" w:cs="Open Sans" w:eastAsia="Open Sans" w:hAnsi="Open Sans"/>
                <w:b/>
                <w:bCs/>
                <w:color w:val="242D27"/>
                <w:sz w:val="15"/>
                <w:szCs w:val="15"/>
              </w:rPr>
              <w:t xml:space="preserve">KEY CREDIT CONCERN</w:t>
            </w:r>
          </w:p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 fact that materially governs repayment, then where to look next. Example: high leverage points to cash conversion and interest coverage, because debt service is paid from cash, not EBITDA.</w:t>
            </w:r>
          </w:p>
        </w:tc>
      </w:tr>
    </w:tbl>
    <w:p>
      <w:pPr>
        <w:spacing w:after="8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C1C8BA" w:sz="24"/>
              <w:bottom w:val="none" w:color="FFFFFF" w:sz="0"/>
              <w:right w:val="none" w:color="FFFFFF" w:sz="0"/>
            </w:tcBorders>
            <w:shd w:fill="F7F4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Open Sans" w:cs="Open Sans" w:eastAsia="Open Sans" w:hAnsi="Open Sans"/>
                <w:b/>
                <w:bCs/>
                <w:color w:val="5A636A"/>
                <w:sz w:val="15"/>
                <w:szCs w:val="15"/>
              </w:rPr>
              <w:t xml:space="preserve">DILIGENCE ITEM</w:t>
            </w:r>
          </w:p>
          <w:p>
            <w:pPr>
              <w:spacing w:after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 open question, why it matters to repayment, and the specific ask that would close it. Refer to the numbered item in section 12.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296" w:right="1296" w:bottom="120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8"/>
      </w:tabs>
    </w:pPr>
    <w:r>
      <w:rPr>
        <w:rFonts w:ascii="Open Sans" w:cs="Open Sans" w:eastAsia="Open Sans" w:hAnsi="Open Sans"/>
        <w:color w:val="5A636A"/>
        <w:sz w:val="15"/>
        <w:szCs w:val="15"/>
      </w:rPr>
      <w:t xml:space="preserve">First Screen Memo | [Company]</w:t>
    </w:r>
    <w:r>
      <w:rPr>
        <w:rFonts w:ascii="Open Sans" w:cs="Open Sans" w:eastAsia="Open Sans" w:hAnsi="Open Sans"/>
        <w:color w:val="5A636A"/>
        <w:sz w:val="15"/>
        <w:szCs w:val="15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Open Sans" w:cs="Open Sans" w:eastAsia="Open Sans" w:hAnsi="Open Sans"/>
        <w:color w:val="5A636A"/>
        <w:sz w:val="15"/>
        <w:szCs w:val="15"/>
      </w:rPr>
      <w:t xml:space="preserve">Confidential: Internal Work Product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FA087" w:sz="6" w:space="3"/>
      </w:pBdr>
      <w:spacing w:after="140" w:before="320"/>
      <w:outlineLvl w:val="0"/>
    </w:pPr>
    <w:rPr>
      <w:rFonts w:ascii="Libre Baskerville" w:cs="Libre Baskerville" w:eastAsia="Libre Baskerville" w:hAnsi="Libre Baskerville"/>
      <w:color w:val="242D27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Open Sans Condensed" w:cs="Open Sans Condensed" w:eastAsia="Open Sans Condensed" w:hAnsi="Open Sans Condensed"/>
      <w:b/>
      <w:bCs/>
      <w:color w:val="242D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2DF209-6FA0-48D6-8EE5-3274228F0A9A}"/>
</file>

<file path=customXml/itemProps2.xml><?xml version="1.0" encoding="utf-8"?>
<ds:datastoreItem xmlns:ds="http://schemas.openxmlformats.org/officeDocument/2006/customXml" ds:itemID="{D8BF49BD-2777-4C14-AFB3-189CB7221079}"/>
</file>

<file path=customXml/itemProps3.xml><?xml version="1.0" encoding="utf-8"?>
<ds:datastoreItem xmlns:ds="http://schemas.openxmlformats.org/officeDocument/2006/customXml" ds:itemID="{8DC99334-37EE-4933-8ED1-201ABFA79F9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Screen Memo template</dc:title>
  <dc:creator>Raven Risk AI</dc:creator>
  <cp:lastModifiedBy>Un-named</cp:lastModifiedBy>
  <cp:revision>1</cp:revision>
  <dcterms:created xsi:type="dcterms:W3CDTF">2026-10-01T01:02:01Z</dcterms:created>
  <dcterms:modified xsi:type="dcterms:W3CDTF">2026-10-01T01:02:01Z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