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0000" w:sz="12" w:space="4"/>
        </w:pBdr>
        <w:spacing w:after="160" w:before="0"/>
      </w:pPr>
      <w:r>
        <w:rPr>
          <w:rFonts w:ascii="Open Sans" w:cs="Open Sans" w:eastAsia="Open Sans" w:hAnsi="Open Sans"/>
          <w:b/>
          <w:bCs/>
          <w:color w:val="000000"/>
          <w:sz w:val="40"/>
          <w:szCs w:val="40"/>
        </w:rPr>
        <w:t xml:space="preserve">Initial Deal Review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36"/>
      </w:tblGrid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Project</w:t>
            </w:r>
          </w:p>
        </w:tc>
        <w:tc>
          <w:tcPr>
            <w:tcW w:type="dxa" w:w="7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[Project name] | [Company] ("[Nickname]")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Sponsor</w:t>
            </w:r>
          </w:p>
        </w:tc>
        <w:tc>
          <w:tcPr>
            <w:tcW w:type="dxa" w:w="7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[Sponsor, list both if co-sponsored]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Agent</w:t>
            </w:r>
          </w:p>
        </w:tc>
        <w:tc>
          <w:tcPr>
            <w:tcW w:type="dxa" w:w="7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[Agent, or "Not yet disclosed"]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Facility under review</w:t>
            </w:r>
          </w:p>
        </w:tc>
        <w:tc>
          <w:tcPr>
            <w:tcW w:type="dxa" w:w="7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[Primary funded instrument and amount]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Earnings basis</w:t>
            </w:r>
          </w:p>
        </w:tc>
        <w:tc>
          <w:tcPr>
            <w:tcW w:type="dxa" w:w="7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[LTM period label]</w:t>
            </w:r>
          </w:p>
        </w:tc>
      </w:tr>
    </w:tbl>
    <w:p>
      <w:pPr>
        <w:spacing w:after="80" w:before="0"/>
      </w:pP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36"/>
      </w:tblGrid>
      <w:tr>
        <w:trPr>
          <w:cantSplit/>
          <w:tblHeader/>
        </w:trPr>
        <w:tc>
          <w:tcPr>
            <w:tcW w:type="dxa" w:w="9936"/>
            <w:tcBorders>
              <w:top w:val="none" w:color="FFFFFF" w:sz="0"/>
              <w:left w:val="single" w:color="5A636A" w:sz="18"/>
              <w:bottom w:val="none" w:color="FFFFFF" w:sz="0"/>
              <w:right w:val="none" w:color="FFFFFF" w:sz="0"/>
            </w:tcBorders>
            <w:shd w:fill="EDEDE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7"/>
                <w:szCs w:val="17"/>
              </w:rPr>
              <w:t xml:space="preserve">Analyst Note: [include only if the data is stale] The underlying analysis may be out of date as of [date]. See Open Diligence Items.</w:t>
            </w:r>
          </w:p>
        </w:tc>
      </w:tr>
    </w:tbl>
    <w:p>
      <w:pPr>
        <w:spacing w:after="0" w:before="80"/>
      </w:pPr>
      <w:r>
        <w:rPr>
          <w:rFonts w:ascii="Open Sans" w:cs="Open Sans" w:eastAsia="Open Sans" w:hAnsi="Open Sans"/>
          <w:i/>
          <w:iCs/>
          <w:color w:val="5A636A"/>
          <w:sz w:val="15"/>
          <w:szCs w:val="15"/>
        </w:rPr>
        <w:t xml:space="preserve">Confidential: internal work product, prepared for Investment Committee discussion. Based on data-room materials and the underlying analysis as of the [period] period. Unverified and not a final credit approval.</w:t>
      </w:r>
    </w:p>
    <w:p>
      <w:pPr>
        <w:pStyle w:val="Heading1"/>
        <w:keepNext/>
        <w:pBdr>
          <w:bottom w:val="single" w:color="000000" w:sz="6" w:space="2"/>
        </w:pBdr>
        <w:spacing w:after="100" w:before="240"/>
      </w:pPr>
      <w:r>
        <w:rPr>
          <w:rFonts w:ascii="Open Sans" w:cs="Open Sans" w:eastAsia="Open Sans" w:hAnsi="Open Sans"/>
          <w:b/>
          <w:bCs/>
          <w:color w:val="000000"/>
          <w:sz w:val="22"/>
          <w:szCs w:val="22"/>
        </w:rPr>
        <w:t xml:space="preserve">Initial Read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36"/>
      </w:tblGrid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Screening view</w:t>
            </w:r>
          </w:p>
        </w:tc>
        <w:tc>
          <w:tcPr>
            <w:tcW w:type="dxa" w:w="7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[Tranche]: [View]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Credit rating</w:t>
            </w:r>
          </w:p>
        </w:tc>
        <w:tc>
          <w:tcPr>
            <w:tcW w:type="dxa" w:w="7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[Rating]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Repayment read</w:t>
            </w:r>
          </w:p>
        </w:tc>
        <w:tc>
          <w:tcPr>
            <w:tcW w:type="dxa" w:w="7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[Repayment read, as stored]</w:t>
            </w:r>
          </w:p>
        </w:tc>
      </w:tr>
    </w:tbl>
    <w:p>
      <w:pPr>
        <w:spacing w:after="100" w:before="100"/>
      </w:pPr>
      <w:r>
        <w:rPr>
          <w:rFonts w:ascii="Open Sans" w:cs="Open Sans" w:eastAsia="Open Sans" w:hAnsi="Open Sans"/>
          <w:color w:val="000000"/>
          <w:sz w:val="18"/>
          <w:szCs w:val="18"/>
        </w:rPr>
        <w:t xml:space="preserve">[Basis, as stored in the Preliminary Screening View]</w:t>
      </w:r>
    </w:p>
    <w:p>
      <w:pPr>
        <w:spacing w:after="40" w:before="40"/>
      </w:pPr>
      <w:r>
        <w:rPr>
          <w:rFonts w:ascii="Open Sans" w:cs="Open Sans" w:eastAsia="Open Sans" w:hAnsi="Open Sans"/>
          <w:b/>
          <w:bCs/>
          <w:color w:val="000000"/>
          <w:sz w:val="18"/>
          <w:szCs w:val="18"/>
        </w:rPr>
        <w:t xml:space="preserve">Governing conditions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Open Sans" w:cs="Open Sans" w:eastAsia="Open Sans" w:hAnsi="Open Sans"/>
          <w:color w:val="000000"/>
          <w:sz w:val="18"/>
          <w:szCs w:val="18"/>
        </w:rPr>
        <w:t xml:space="preserve">[Condition, as stored]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Open Sans" w:cs="Open Sans" w:eastAsia="Open Sans" w:hAnsi="Open Sans"/>
          <w:color w:val="000000"/>
          <w:sz w:val="18"/>
          <w:szCs w:val="18"/>
        </w:rPr>
        <w:t xml:space="preserve">[Condition, as stored]</w:t>
      </w:r>
    </w:p>
    <w:p>
      <w:pPr>
        <w:spacing w:after="60" w:before="0"/>
      </w:pP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36"/>
      </w:tblGrid>
      <w:tr>
        <w:trPr>
          <w:cantSplit/>
          <w:tblHeader/>
        </w:trPr>
        <w:tc>
          <w:tcPr>
            <w:tcW w:type="dxa" w:w="9936"/>
            <w:tcBorders>
              <w:top w:val="none" w:color="FFFFFF" w:sz="0"/>
              <w:left w:val="single" w:color="5A636A" w:sz="18"/>
              <w:bottom w:val="none" w:color="FFFFFF" w:sz="0"/>
              <w:right w:val="none" w:color="FFFFFF" w:sz="0"/>
            </w:tcBorders>
            <w:shd w:fill="EDEDE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7"/>
                <w:szCs w:val="17"/>
              </w:rPr>
              <w:t xml:space="preserve">Analyst Note: [include only if a figure in the Basis differs from the figure in Sources &amp; Uses and Capitalization. Name both figures and where each came from.]</w:t>
            </w:r>
          </w:p>
        </w:tc>
      </w:tr>
    </w:tbl>
    <w:p>
      <w:pPr>
        <w:pStyle w:val="Heading1"/>
        <w:keepNext/>
        <w:pBdr>
          <w:bottom w:val="single" w:color="000000" w:sz="6" w:space="2"/>
        </w:pBdr>
        <w:spacing w:after="100" w:before="240"/>
      </w:pPr>
      <w:r>
        <w:rPr>
          <w:rFonts w:ascii="Open Sans" w:cs="Open Sans" w:eastAsia="Open Sans" w:hAnsi="Open Sans"/>
          <w:b/>
          <w:bCs/>
          <w:color w:val="000000"/>
          <w:sz w:val="22"/>
          <w:szCs w:val="22"/>
        </w:rPr>
        <w:t xml:space="preserve">Overview</w:t>
      </w:r>
    </w:p>
    <w:p>
      <w:pPr>
        <w:spacing w:after="0" w:before="0"/>
      </w:pPr>
      <w:r>
        <w:rPr>
          <w:rFonts w:ascii="Open Sans" w:cs="Open Sans" w:eastAsia="Open Sans" w:hAnsi="Open Sans"/>
          <w:color w:val="000000"/>
          <w:sz w:val="18"/>
          <w:szCs w:val="18"/>
        </w:rPr>
        <w:t xml:space="preserve">[2 to 3 sentences: deal type, who is acquiring what and from whom, headline price, and the stated rationale. State the funding structure in one clause without tranche amounts.]</w:t>
      </w:r>
    </w:p>
    <w:p>
      <w:pPr>
        <w:pStyle w:val="Heading1"/>
        <w:keepNext/>
        <w:pBdr>
          <w:bottom w:val="single" w:color="000000" w:sz="6" w:space="2"/>
        </w:pBdr>
        <w:spacing w:after="100" w:before="240"/>
      </w:pPr>
      <w:r>
        <w:rPr>
          <w:rFonts w:ascii="Open Sans" w:cs="Open Sans" w:eastAsia="Open Sans" w:hAnsi="Open Sans"/>
          <w:b/>
          <w:bCs/>
          <w:color w:val="000000"/>
          <w:sz w:val="22"/>
          <w:szCs w:val="22"/>
        </w:rPr>
        <w:t xml:space="preserve">Sources &amp; Uses and Capitalization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300"/>
        <w:gridCol w:w="236"/>
        <w:gridCol w:w="3300"/>
        <w:gridCol w:w="2200"/>
      </w:tblGrid>
      <w:tr>
        <w:trPr>
          <w:cantSplit/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Sources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Amount</w:t>
            </w:r>
          </w:p>
        </w:tc>
        <w:tc>
          <w:tcPr>
            <w:tcW w:type="dxa" w:w="2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Uses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Amount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[Source]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[amt]</w:t>
            </w:r>
          </w:p>
        </w:tc>
        <w:tc>
          <w:tcPr>
            <w:tcW w:type="dxa" w:w="2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[Use]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[amt]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[Source]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[amt]</w:t>
            </w:r>
          </w:p>
        </w:tc>
        <w:tc>
          <w:tcPr>
            <w:tcW w:type="dxa" w:w="2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[Use]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[amt]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[Source]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[amt]</w:t>
            </w:r>
          </w:p>
        </w:tc>
        <w:tc>
          <w:tcPr>
            <w:tcW w:type="dxa" w:w="2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[Use]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[amt]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Total sources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[amt]</w:t>
            </w:r>
          </w:p>
        </w:tc>
        <w:tc>
          <w:tcPr>
            <w:tcW w:type="dxa" w:w="2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Total uses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[amt]</w:t>
            </w:r>
          </w:p>
        </w:tc>
      </w:tr>
    </w:tbl>
    <w:p>
      <w:pPr>
        <w:spacing w:after="0" w:before="80"/>
      </w:pPr>
      <w:r>
        <w:rPr>
          <w:rFonts w:ascii="Open Sans" w:cs="Open Sans" w:eastAsia="Open Sans" w:hAnsi="Open Sans"/>
          <w:color w:val="000000"/>
          <w:sz w:val="17"/>
          <w:szCs w:val="17"/>
        </w:rPr>
        <w:t xml:space="preserve">Balance check: [result exactly as stored, or "not determinable"].</w:t>
      </w:r>
    </w:p>
    <w:p>
      <w:pPr>
        <w:spacing w:after="160" w:before="60"/>
      </w:pPr>
      <w:r>
        <w:rPr>
          <w:rFonts w:ascii="Open Sans" w:cs="Open Sans" w:eastAsia="Open Sans" w:hAnsi="Open Sans"/>
          <w:i/>
          <w:iCs/>
          <w:color w:val="5A636A"/>
          <w:sz w:val="15"/>
          <w:szCs w:val="15"/>
        </w:rPr>
        <w:t xml:space="preserve">Source: [documents and pages]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000"/>
        <w:gridCol w:w="1000"/>
        <w:gridCol w:w="1100"/>
        <w:gridCol w:w="1200"/>
        <w:gridCol w:w="2836"/>
      </w:tblGrid>
      <w:tr>
        <w:trPr>
          <w:cantSplit/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Instrument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Amount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Tenor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% of cap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x EBITDA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x EBITDA (cash)</w:t>
            </w:r>
          </w:p>
        </w:tc>
        <w:tc>
          <w:tcPr>
            <w:tcW w:type="dxa" w:w="2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Note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[Instrument]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[amt]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[tenor]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[%]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2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[note]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[Instrument]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[amt]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[tenor]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[%]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2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[note]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[Subtotal row, as stored]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[amt]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[tenor]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[%]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2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[note]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[Total debt]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[amt]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[tenor]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[%]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2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[note]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[Equity]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[amt]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[tenor]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[%]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2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[note]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[Total capitalization]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[amt]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[tenor]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[%]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2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[note]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[Pro forma cash]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[amt]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[tenor]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[%]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2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[note]</w:t>
            </w:r>
          </w:p>
        </w:tc>
      </w:tr>
    </w:tbl>
    <w:p>
      <w:pPr>
        <w:spacing w:after="0" w:before="80"/>
      </w:pPr>
      <w:r>
        <w:rPr>
          <w:rFonts w:ascii="Open Sans" w:cs="Open Sans" w:eastAsia="Open Sans" w:hAnsi="Open Sans"/>
          <w:color w:val="000000"/>
          <w:sz w:val="17"/>
          <w:szCs w:val="17"/>
        </w:rPr>
        <w:t xml:space="preserve">EBITDA reference: [label as stored].</w:t>
      </w:r>
    </w:p>
    <w:p>
      <w:pPr>
        <w:spacing w:after="160" w:before="60"/>
      </w:pPr>
      <w:r>
        <w:rPr>
          <w:rFonts w:ascii="Open Sans" w:cs="Open Sans" w:eastAsia="Open Sans" w:hAnsi="Open Sans"/>
          <w:i/>
          <w:iCs/>
          <w:color w:val="5A636A"/>
          <w:sz w:val="15"/>
          <w:szCs w:val="15"/>
        </w:rPr>
        <w:t xml:space="preserve">Source: [documents and pages]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36"/>
      </w:tblGrid>
      <w:tr>
        <w:trPr>
          <w:cantSplit/>
          <w:tblHeader/>
        </w:trPr>
        <w:tc>
          <w:tcPr>
            <w:tcW w:type="dxa" w:w="9936"/>
            <w:tcBorders>
              <w:top w:val="none" w:color="FFFFFF" w:sz="0"/>
              <w:left w:val="single" w:color="5A636A" w:sz="18"/>
              <w:bottom w:val="none" w:color="FFFFFF" w:sz="0"/>
              <w:right w:val="none" w:color="FFFFFF" w:sz="0"/>
            </w:tcBorders>
            <w:shd w:fill="EDEDE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7"/>
                <w:szCs w:val="17"/>
              </w:rPr>
              <w:t xml:space="preserve">Analyst Note: [include only if the stored figures differ from a restated value. Name the stored figure, the restated value, and where each came from.]</w:t>
            </w:r>
          </w:p>
        </w:tc>
      </w:tr>
    </w:tbl>
    <w:p>
      <w:pPr>
        <w:pStyle w:val="Heading1"/>
        <w:keepNext/>
        <w:pBdr>
          <w:bottom w:val="single" w:color="000000" w:sz="6" w:space="2"/>
        </w:pBdr>
        <w:spacing w:after="100" w:before="240"/>
      </w:pPr>
      <w:r>
        <w:rPr>
          <w:rFonts w:ascii="Open Sans" w:cs="Open Sans" w:eastAsia="Open Sans" w:hAnsi="Open Sans"/>
          <w:b/>
          <w:bCs/>
          <w:color w:val="000000"/>
          <w:sz w:val="22"/>
          <w:szCs w:val="22"/>
        </w:rPr>
        <w:t xml:space="preserve">Pricing and Terms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12"/>
        <w:gridCol w:w="2712"/>
        <w:gridCol w:w="2712"/>
      </w:tblGrid>
      <w:tr>
        <w:trPr>
          <w:cantSplit/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[Facility A (ranking)]</w:t>
            </w:r>
          </w:p>
        </w:tc>
        <w:tc>
          <w:tcPr>
            <w:tcW w:type="dxa" w:w="2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[Facility B (ranking)]</w:t>
            </w:r>
          </w:p>
        </w:tc>
        <w:tc>
          <w:tcPr>
            <w:tcW w:type="dxa" w:w="2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[Facility C (ranking)]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Size</w:t>
            </w:r>
          </w:p>
        </w:tc>
        <w:tc>
          <w:tcPr>
            <w:tcW w:type="dxa" w:w="2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[term, Same as [first facility], or n/a]</w:t>
            </w:r>
          </w:p>
        </w:tc>
        <w:tc>
          <w:tcPr>
            <w:tcW w:type="dxa" w:w="2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[term, Same as [first facility], or n/a]</w:t>
            </w:r>
          </w:p>
        </w:tc>
        <w:tc>
          <w:tcPr>
            <w:tcW w:type="dxa" w:w="2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[term, Same as [first facility], or n/a]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Drawn at close</w:t>
            </w:r>
          </w:p>
        </w:tc>
        <w:tc>
          <w:tcPr>
            <w:tcW w:type="dxa" w:w="2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[term, Same as [first facility], or n/a]</w:t>
            </w:r>
          </w:p>
        </w:tc>
        <w:tc>
          <w:tcPr>
            <w:tcW w:type="dxa" w:w="2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[term, Same as [first facility], or n/a]</w:t>
            </w:r>
          </w:p>
        </w:tc>
        <w:tc>
          <w:tcPr>
            <w:tcW w:type="dxa" w:w="2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[term, Same as [first facility], or n/a]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Maturity</w:t>
            </w:r>
          </w:p>
        </w:tc>
        <w:tc>
          <w:tcPr>
            <w:tcW w:type="dxa" w:w="2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[term, Same as [first facility], or n/a]</w:t>
            </w:r>
          </w:p>
        </w:tc>
        <w:tc>
          <w:tcPr>
            <w:tcW w:type="dxa" w:w="2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[term, Same as [first facility], or n/a]</w:t>
            </w:r>
          </w:p>
        </w:tc>
        <w:tc>
          <w:tcPr>
            <w:tcW w:type="dxa" w:w="2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[term, Same as [first facility], or n/a]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Margin</w:t>
            </w:r>
          </w:p>
        </w:tc>
        <w:tc>
          <w:tcPr>
            <w:tcW w:type="dxa" w:w="2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[term, Same as [first facility], or n/a]</w:t>
            </w:r>
          </w:p>
        </w:tc>
        <w:tc>
          <w:tcPr>
            <w:tcW w:type="dxa" w:w="2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[term, Same as [first facility], or n/a]</w:t>
            </w:r>
          </w:p>
        </w:tc>
        <w:tc>
          <w:tcPr>
            <w:tcW w:type="dxa" w:w="2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[term, Same as [first facility], or n/a]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Margin step-down</w:t>
            </w:r>
          </w:p>
        </w:tc>
        <w:tc>
          <w:tcPr>
            <w:tcW w:type="dxa" w:w="2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[term, Same as [first facility], or n/a]</w:t>
            </w:r>
          </w:p>
        </w:tc>
        <w:tc>
          <w:tcPr>
            <w:tcW w:type="dxa" w:w="2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[term, Same as [first facility], or n/a]</w:t>
            </w:r>
          </w:p>
        </w:tc>
        <w:tc>
          <w:tcPr>
            <w:tcW w:type="dxa" w:w="2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[term, Same as [first facility], or n/a]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Floor</w:t>
            </w:r>
          </w:p>
        </w:tc>
        <w:tc>
          <w:tcPr>
            <w:tcW w:type="dxa" w:w="2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[term, Same as [first facility], or n/a]</w:t>
            </w:r>
          </w:p>
        </w:tc>
        <w:tc>
          <w:tcPr>
            <w:tcW w:type="dxa" w:w="2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[term, Same as [first facility], or n/a]</w:t>
            </w:r>
          </w:p>
        </w:tc>
        <w:tc>
          <w:tcPr>
            <w:tcW w:type="dxa" w:w="2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[term, Same as [first facility], or n/a]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Margin step-up</w:t>
            </w:r>
          </w:p>
        </w:tc>
        <w:tc>
          <w:tcPr>
            <w:tcW w:type="dxa" w:w="2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[term, Same as [first facility], or n/a]</w:t>
            </w:r>
          </w:p>
        </w:tc>
        <w:tc>
          <w:tcPr>
            <w:tcW w:type="dxa" w:w="2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[term, Same as [first facility], or n/a]</w:t>
            </w:r>
          </w:p>
        </w:tc>
        <w:tc>
          <w:tcPr>
            <w:tcW w:type="dxa" w:w="2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[term, Same as [first facility], or n/a]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Amortization</w:t>
            </w:r>
          </w:p>
        </w:tc>
        <w:tc>
          <w:tcPr>
            <w:tcW w:type="dxa" w:w="2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[term, Same as [first facility], or n/a]</w:t>
            </w:r>
          </w:p>
        </w:tc>
        <w:tc>
          <w:tcPr>
            <w:tcW w:type="dxa" w:w="2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[term, Same as [first facility], or n/a]</w:t>
            </w:r>
          </w:p>
        </w:tc>
        <w:tc>
          <w:tcPr>
            <w:tcW w:type="dxa" w:w="2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[term, Same as [first facility], or n/a]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Fee</w:t>
            </w:r>
          </w:p>
        </w:tc>
        <w:tc>
          <w:tcPr>
            <w:tcW w:type="dxa" w:w="2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[term, Same as [first facility], or n/a]</w:t>
            </w:r>
          </w:p>
        </w:tc>
        <w:tc>
          <w:tcPr>
            <w:tcW w:type="dxa" w:w="2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[term, Same as [first facility], or n/a]</w:t>
            </w:r>
          </w:p>
        </w:tc>
        <w:tc>
          <w:tcPr>
            <w:tcW w:type="dxa" w:w="2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[term, Same as [first facility], or n/a]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Excess cash flow sweep</w:t>
            </w:r>
          </w:p>
        </w:tc>
        <w:tc>
          <w:tcPr>
            <w:tcW w:type="dxa" w:w="2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[term, Same as [first facility], or n/a]</w:t>
            </w:r>
          </w:p>
        </w:tc>
        <w:tc>
          <w:tcPr>
            <w:tcW w:type="dxa" w:w="2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[term, Same as [first facility], or n/a]</w:t>
            </w:r>
          </w:p>
        </w:tc>
        <w:tc>
          <w:tcPr>
            <w:tcW w:type="dxa" w:w="2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[term, Same as [first facility], or n/a]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MFN</w:t>
            </w:r>
          </w:p>
        </w:tc>
        <w:tc>
          <w:tcPr>
            <w:tcW w:type="dxa" w:w="2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[term, Same as [first facility], or n/a]</w:t>
            </w:r>
          </w:p>
        </w:tc>
        <w:tc>
          <w:tcPr>
            <w:tcW w:type="dxa" w:w="2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[term, Same as [first facility], or n/a]</w:t>
            </w:r>
          </w:p>
        </w:tc>
        <w:tc>
          <w:tcPr>
            <w:tcW w:type="dxa" w:w="2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[term, Same as [first facility], or n/a]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Financial covenant</w:t>
            </w:r>
          </w:p>
        </w:tc>
        <w:tc>
          <w:tcPr>
            <w:tcW w:type="dxa" w:w="2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[term, Same as [first facility], or n/a]</w:t>
            </w:r>
          </w:p>
        </w:tc>
        <w:tc>
          <w:tcPr>
            <w:tcW w:type="dxa" w:w="2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[term, Same as [first facility], or n/a]</w:t>
            </w:r>
          </w:p>
        </w:tc>
        <w:tc>
          <w:tcPr>
            <w:tcW w:type="dxa" w:w="2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[term, Same as [first facility], or n/a]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2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[term, Same as [first facility], or n/a]</w:t>
            </w:r>
          </w:p>
        </w:tc>
        <w:tc>
          <w:tcPr>
            <w:tcW w:type="dxa" w:w="2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[term, Same as [first facility], or n/a]</w:t>
            </w:r>
          </w:p>
        </w:tc>
        <w:tc>
          <w:tcPr>
            <w:tcW w:type="dxa" w:w="2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[term, Same as [first facility], or n/a]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OID / call protection</w:t>
            </w:r>
          </w:p>
        </w:tc>
        <w:tc>
          <w:tcPr>
            <w:tcW w:type="dxa" w:w="2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[term, Same as [first facility], or n/a]</w:t>
            </w:r>
          </w:p>
        </w:tc>
        <w:tc>
          <w:tcPr>
            <w:tcW w:type="dxa" w:w="2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[term, Same as [first facility], or n/a]</w:t>
            </w:r>
          </w:p>
        </w:tc>
        <w:tc>
          <w:tcPr>
            <w:tcW w:type="dxa" w:w="2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[term, Same as [first facility], or n/a]</w:t>
            </w:r>
          </w:p>
        </w:tc>
      </w:tr>
    </w:tbl>
    <w:p>
      <w:pPr>
        <w:spacing w:after="0" w:before="0"/>
      </w:pPr>
      <w:r>
        <w:rPr>
          <w:rFonts w:ascii="Open Sans" w:cs="Open Sans" w:eastAsia="Open Sans" w:hAnsi="Open Sans"/>
          <w:color w:val="000000"/>
          <w:sz w:val="18"/>
          <w:szCs w:val="18"/>
        </w:rPr>
        <w:t xml:space="preserve">Notes: (1) [condition, only where a cell is marked (note 1)]. (2) [condition].</w:t>
      </w:r>
    </w:p>
    <w:p>
      <w:pPr>
        <w:spacing w:after="160" w:before="60"/>
      </w:pPr>
      <w:r>
        <w:rPr>
          <w:rFonts w:ascii="Open Sans" w:cs="Open Sans" w:eastAsia="Open Sans" w:hAnsi="Open Sans"/>
          <w:i/>
          <w:iCs/>
          <w:color w:val="5A636A"/>
          <w:sz w:val="15"/>
          <w:szCs w:val="15"/>
        </w:rPr>
        <w:t xml:space="preserve">Source: [documents and pages]</w:t>
      </w:r>
    </w:p>
    <w:p>
      <w:pPr>
        <w:pStyle w:val="Heading1"/>
        <w:keepNext/>
        <w:pBdr>
          <w:bottom w:val="single" w:color="000000" w:sz="6" w:space="2"/>
        </w:pBdr>
        <w:spacing w:after="100" w:before="240"/>
      </w:pPr>
      <w:r>
        <w:rPr>
          <w:rFonts w:ascii="Open Sans" w:cs="Open Sans" w:eastAsia="Open Sans" w:hAnsi="Open Sans"/>
          <w:b/>
          <w:bCs/>
          <w:color w:val="000000"/>
          <w:sz w:val="22"/>
          <w:szCs w:val="22"/>
        </w:rPr>
        <w:t xml:space="preserve">Sponsor and Management</w:t>
      </w:r>
    </w:p>
    <w:p>
      <w:pPr>
        <w:spacing w:after="100" w:before="0"/>
      </w:pPr>
      <w:r>
        <w:rPr>
          <w:rFonts w:ascii="Open Sans" w:cs="Open Sans" w:eastAsia="Open Sans" w:hAnsi="Open Sans"/>
          <w:color w:val="000000"/>
          <w:sz w:val="18"/>
          <w:szCs w:val="18"/>
        </w:rPr>
        <w:t xml:space="preserve">[Sponsor: one line on track record and thesis, labeled sponsor-sourced where the sponsor cites its own record.]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1400"/>
        <w:gridCol w:w="4236"/>
      </w:tblGrid>
      <w:tr>
        <w:trPr>
          <w:cantSplit/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Tenure</w:t>
            </w:r>
          </w:p>
        </w:tc>
        <w:tc>
          <w:tcPr>
            <w:tcW w:type="dxa" w:w="4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Background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[Name]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[Title]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[Tenure]</w:t>
            </w:r>
          </w:p>
        </w:tc>
        <w:tc>
          <w:tcPr>
            <w:tcW w:type="dxa" w:w="4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[Background]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[Name]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[Title]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[Tenure]</w:t>
            </w:r>
          </w:p>
        </w:tc>
        <w:tc>
          <w:tcPr>
            <w:tcW w:type="dxa" w:w="4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[Background]</w:t>
            </w:r>
          </w:p>
        </w:tc>
      </w:tr>
    </w:tbl>
    <w:p>
      <w:pPr>
        <w:spacing w:after="160" w:before="60"/>
      </w:pPr>
      <w:r>
        <w:rPr>
          <w:rFonts w:ascii="Open Sans" w:cs="Open Sans" w:eastAsia="Open Sans" w:hAnsi="Open Sans"/>
          <w:i/>
          <w:iCs/>
          <w:color w:val="5A636A"/>
          <w:sz w:val="15"/>
          <w:szCs w:val="15"/>
        </w:rPr>
        <w:t xml:space="preserve">Source: [documents and pages]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36"/>
      </w:tblGrid>
      <w:tr>
        <w:trPr>
          <w:cantSplit/>
          <w:tblHeader/>
        </w:trPr>
        <w:tc>
          <w:tcPr>
            <w:tcW w:type="dxa" w:w="9936"/>
            <w:tcBorders>
              <w:top w:val="none" w:color="FFFFFF" w:sz="0"/>
              <w:left w:val="single" w:color="5A636A" w:sz="18"/>
              <w:bottom w:val="none" w:color="FFFFFF" w:sz="0"/>
              <w:right w:val="none" w:color="FFFFFF" w:sz="0"/>
            </w:tcBorders>
            <w:shd w:fill="EDEDE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7"/>
                <w:szCs w:val="17"/>
              </w:rPr>
              <w:t xml:space="preserve">Analyst Note: [include only where a critical leadership gap exists, for example no CEO identified or an interim CFO.]</w:t>
            </w:r>
          </w:p>
        </w:tc>
      </w:tr>
    </w:tbl>
    <w:p>
      <w:pPr>
        <w:pStyle w:val="Heading1"/>
        <w:keepNext/>
        <w:pBdr>
          <w:bottom w:val="single" w:color="000000" w:sz="6" w:space="2"/>
        </w:pBdr>
        <w:spacing w:after="100" w:before="240"/>
      </w:pPr>
      <w:r>
        <w:rPr>
          <w:rFonts w:ascii="Open Sans" w:cs="Open Sans" w:eastAsia="Open Sans" w:hAnsi="Open Sans"/>
          <w:b/>
          <w:bCs/>
          <w:color w:val="000000"/>
          <w:sz w:val="22"/>
          <w:szCs w:val="22"/>
        </w:rPr>
        <w:t xml:space="preserve">Business Overview</w:t>
      </w:r>
    </w:p>
    <w:p>
      <w:pPr>
        <w:spacing w:after="100" w:before="0"/>
      </w:pPr>
      <w:r>
        <w:rPr>
          <w:rFonts w:ascii="Open Sans" w:cs="Open Sans" w:eastAsia="Open Sans" w:hAnsi="Open Sans"/>
          <w:color w:val="000000"/>
          <w:sz w:val="18"/>
          <w:szCs w:val="18"/>
        </w:rPr>
        <w:t xml:space="preserve">[What the company does and its scale: 3 to 4 sentences covering what it makes and sells, who buys it, how it reaches customers, revenue and margin scale, and the transaction context.]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36"/>
        <w:gridCol w:w="2000"/>
        <w:gridCol w:w="2000"/>
        <w:gridCol w:w="2100"/>
      </w:tblGrid>
      <w:tr>
        <w:trPr>
          <w:cantSplit/>
          <w:tblHeader/>
        </w:trPr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Product line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Revenue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% of revenue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Market position</w:t>
            </w:r>
          </w:p>
        </w:tc>
      </w:tr>
      <w:tr>
        <w:trPr>
          <w:cantSplit/>
          <w:tblHeader w:val="false"/>
        </w:trPr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[Product line]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[amt]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[%]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[rank]</w:t>
            </w:r>
          </w:p>
        </w:tc>
      </w:tr>
      <w:tr>
        <w:trPr>
          <w:cantSplit/>
          <w:tblHeader w:val="false"/>
        </w:trPr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[Product line]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[amt]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[%]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[rank]</w:t>
            </w:r>
          </w:p>
        </w:tc>
      </w:tr>
      <w:tr>
        <w:trPr>
          <w:cantSplit/>
          <w:tblHeader w:val="false"/>
        </w:trPr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[Product line]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[amt]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[%]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[rank]</w:t>
            </w:r>
          </w:p>
        </w:tc>
      </w:tr>
    </w:tbl>
    <w:p>
      <w:pPr>
        <w:spacing w:after="160" w:before="60"/>
      </w:pPr>
      <w:r>
        <w:rPr>
          <w:rFonts w:ascii="Open Sans" w:cs="Open Sans" w:eastAsia="Open Sans" w:hAnsi="Open Sans"/>
          <w:i/>
          <w:iCs/>
          <w:color w:val="5A636A"/>
          <w:sz w:val="15"/>
          <w:szCs w:val="15"/>
        </w:rPr>
        <w:t xml:space="preserve">Source: [documents and pages]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36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Revenue cut</w:t>
            </w:r>
          </w:p>
        </w:tc>
        <w:tc>
          <w:tcPr>
            <w:tcW w:type="dxa" w:w="6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Breakdown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End market (life cycle view)</w:t>
            </w:r>
          </w:p>
        </w:tc>
        <w:tc>
          <w:tcPr>
            <w:tcW w:type="dxa" w:w="6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[breakdown]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Vertical (audited view)</w:t>
            </w:r>
          </w:p>
        </w:tc>
        <w:tc>
          <w:tcPr>
            <w:tcW w:type="dxa" w:w="6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[breakdown]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Geography</w:t>
            </w:r>
          </w:p>
        </w:tc>
        <w:tc>
          <w:tcPr>
            <w:tcW w:type="dxa" w:w="6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[breakdown]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Sales channel</w:t>
            </w:r>
          </w:p>
        </w:tc>
        <w:tc>
          <w:tcPr>
            <w:tcW w:type="dxa" w:w="6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[breakdown]</w:t>
            </w:r>
          </w:p>
        </w:tc>
      </w:tr>
    </w:tbl>
    <w:p>
      <w:pPr>
        <w:spacing w:after="160" w:before="60"/>
      </w:pPr>
      <w:r>
        <w:rPr>
          <w:rFonts w:ascii="Open Sans" w:cs="Open Sans" w:eastAsia="Open Sans" w:hAnsi="Open Sans"/>
          <w:i/>
          <w:iCs/>
          <w:color w:val="5A636A"/>
          <w:sz w:val="15"/>
          <w:szCs w:val="15"/>
        </w:rPr>
        <w:t xml:space="preserve">Source: [documents and pages]</w:t>
      </w:r>
    </w:p>
    <w:p>
      <w:pPr>
        <w:spacing w:after="0" w:before="0"/>
      </w:pPr>
      <w:r>
        <w:rPr>
          <w:rFonts w:ascii="Open Sans" w:cs="Open Sans" w:eastAsia="Open Sans" w:hAnsi="Open Sans"/>
          <w:color w:val="000000"/>
          <w:sz w:val="18"/>
          <w:szCs w:val="18"/>
        </w:rPr>
        <w:t xml:space="preserve">[Revenue quality and credit read: one paragraph on aftermarket versus project-based revenue, contractual commitment versus backlog and repeat ordering, customer concentration, and the two highest-ranked vulnerabilities, each with its figure. Company claims about its own market position are labeled sponsor-sourced.]</w:t>
      </w:r>
    </w:p>
    <w:p>
      <w:pPr>
        <w:pStyle w:val="Heading1"/>
        <w:keepNext/>
        <w:pBdr>
          <w:bottom w:val="single" w:color="000000" w:sz="6" w:space="2"/>
        </w:pBdr>
        <w:spacing w:after="100" w:before="240"/>
      </w:pPr>
      <w:r>
        <w:rPr>
          <w:rFonts w:ascii="Open Sans" w:cs="Open Sans" w:eastAsia="Open Sans" w:hAnsi="Open Sans"/>
          <w:b/>
          <w:bCs/>
          <w:color w:val="000000"/>
          <w:sz w:val="22"/>
          <w:szCs w:val="22"/>
        </w:rPr>
        <w:t xml:space="preserve">Industry</w:t>
      </w:r>
    </w:p>
    <w:p>
      <w:pPr>
        <w:spacing w:after="100" w:before="0"/>
      </w:pPr>
      <w:r>
        <w:rPr>
          <w:rFonts w:ascii="Open Sans" w:cs="Open Sans" w:eastAsia="Open Sans" w:hAnsi="Open Sans"/>
          <w:color w:val="000000"/>
          <w:sz w:val="18"/>
          <w:szCs w:val="18"/>
        </w:rPr>
        <w:t xml:space="preserve">[The market: one paragraph covering what the industry is, market size and year, historical and forecast growth, and the fastest and slowest growing segments with their rates.]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5136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Dimension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Verdict</w:t>
            </w:r>
          </w:p>
        </w:tc>
        <w:tc>
          <w:tcPr>
            <w:tcW w:type="dxa" w:w="5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Stat line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Growth trajectory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[verdict]</w:t>
            </w:r>
          </w:p>
        </w:tc>
        <w:tc>
          <w:tcPr>
            <w:tcW w:type="dxa" w:w="5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[stat line, as stored]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Stability through cycles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[verdict]</w:t>
            </w:r>
          </w:p>
        </w:tc>
        <w:tc>
          <w:tcPr>
            <w:tcW w:type="dxa" w:w="5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[stat line, as stored]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Pricing power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[verdict]</w:t>
            </w:r>
          </w:p>
        </w:tc>
        <w:tc>
          <w:tcPr>
            <w:tcW w:type="dxa" w:w="5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[stat line, as stored]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Structural change risk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[verdict]</w:t>
            </w:r>
          </w:p>
        </w:tc>
        <w:tc>
          <w:tcPr>
            <w:tcW w:type="dxa" w:w="5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[stat line, as stored]</w:t>
            </w:r>
          </w:p>
        </w:tc>
      </w:tr>
    </w:tbl>
    <w:p>
      <w:pPr>
        <w:spacing w:after="160" w:before="60"/>
      </w:pPr>
      <w:r>
        <w:rPr>
          <w:rFonts w:ascii="Open Sans" w:cs="Open Sans" w:eastAsia="Open Sans" w:hAnsi="Open Sans"/>
          <w:i/>
          <w:iCs/>
          <w:color w:val="5A636A"/>
          <w:sz w:val="15"/>
          <w:szCs w:val="15"/>
        </w:rPr>
        <w:t xml:space="preserve">Source: [documents and pages]</w:t>
      </w:r>
    </w:p>
    <w:p>
      <w:pPr>
        <w:spacing w:after="80"/>
      </w:pPr>
      <w:r>
        <w:rPr>
          <w:rFonts w:ascii="Open Sans" w:cs="Open Sans" w:eastAsia="Open Sans" w:hAnsi="Open Sans"/>
          <w:b/>
          <w:bCs/>
          <w:color w:val="000000"/>
          <w:sz w:val="18"/>
          <w:szCs w:val="18"/>
        </w:rPr>
        <w:t xml:space="preserve">Structure and competition. </w:t>
      </w:r>
      <w:r>
        <w:rPr>
          <w:rFonts w:ascii="Open Sans" w:cs="Open Sans" w:eastAsia="Open Sans" w:hAnsi="Open Sans"/>
          <w:color w:val="000000"/>
          <w:sz w:val="18"/>
          <w:szCs w:val="18"/>
        </w:rPr>
        <w:t xml:space="preserve">[2 to 3 sentences on fragmentation, the larger incumbents, and the basis of competition.]</w:t>
      </w:r>
    </w:p>
    <w:p>
      <w:pPr>
        <w:spacing w:after="80"/>
      </w:pPr>
      <w:r>
        <w:rPr>
          <w:rFonts w:ascii="Open Sans" w:cs="Open Sans" w:eastAsia="Open Sans" w:hAnsi="Open Sans"/>
          <w:b/>
          <w:bCs/>
          <w:color w:val="000000"/>
          <w:sz w:val="18"/>
          <w:szCs w:val="18"/>
        </w:rPr>
        <w:t xml:space="preserve">Cyclicality. </w:t>
      </w:r>
      <w:r>
        <w:rPr>
          <w:rFonts w:ascii="Open Sans" w:cs="Open Sans" w:eastAsia="Open Sans" w:hAnsi="Open Sans"/>
          <w:color w:val="000000"/>
          <w:sz w:val="18"/>
          <w:szCs w:val="18"/>
        </w:rPr>
        <w:t xml:space="preserve">[Stored verdict and cycle position, which demand is deferrable and which is not, and the backlog or secured revenue evidence.]</w:t>
      </w:r>
    </w:p>
    <w:p>
      <w:pPr>
        <w:spacing w:after="40" w:before="40"/>
      </w:pPr>
      <w:r>
        <w:rPr>
          <w:rFonts w:ascii="Open Sans" w:cs="Open Sans" w:eastAsia="Open Sans" w:hAnsi="Open Sans"/>
          <w:b/>
          <w:bCs/>
          <w:color w:val="000000"/>
          <w:sz w:val="18"/>
          <w:szCs w:val="18"/>
        </w:rPr>
        <w:t xml:space="preserve">Top risks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Open Sans" w:cs="Open Sans" w:eastAsia="Open Sans" w:hAnsi="Open Sans"/>
          <w:color w:val="000000"/>
          <w:sz w:val="18"/>
          <w:szCs w:val="18"/>
        </w:rPr>
        <w:t xml:space="preserve">[Risk, one line]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Open Sans" w:cs="Open Sans" w:eastAsia="Open Sans" w:hAnsi="Open Sans"/>
          <w:color w:val="000000"/>
          <w:sz w:val="18"/>
          <w:szCs w:val="18"/>
        </w:rPr>
        <w:t xml:space="preserve">[Risk, one line]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Open Sans" w:cs="Open Sans" w:eastAsia="Open Sans" w:hAnsi="Open Sans"/>
          <w:color w:val="000000"/>
          <w:sz w:val="18"/>
          <w:szCs w:val="18"/>
        </w:rPr>
        <w:t xml:space="preserve">[Risk, one line]</w:t>
      </w:r>
    </w:p>
    <w:p>
      <w:pPr>
        <w:spacing w:after="0" w:before="60"/>
      </w:pPr>
      <w:r>
        <w:rPr>
          <w:rFonts w:ascii="Open Sans" w:cs="Open Sans" w:eastAsia="Open Sans" w:hAnsi="Open Sans"/>
          <w:color w:val="000000"/>
          <w:sz w:val="18"/>
          <w:szCs w:val="18"/>
        </w:rPr>
        <w:t xml:space="preserve">[One or two sentences on what the industry picture means for repayment.]</w:t>
      </w:r>
    </w:p>
    <w:p>
      <w:pPr>
        <w:spacing w:after="160" w:before="60"/>
      </w:pPr>
      <w:r>
        <w:rPr>
          <w:rFonts w:ascii="Open Sans" w:cs="Open Sans" w:eastAsia="Open Sans" w:hAnsi="Open Sans"/>
          <w:i/>
          <w:iCs/>
          <w:color w:val="5A636A"/>
          <w:sz w:val="15"/>
          <w:szCs w:val="15"/>
        </w:rPr>
        <w:t xml:space="preserve">[Include only if the market sizing comes from sponsor materials: Market sizing is from sponsor materials and is not independently verified.]</w:t>
      </w:r>
    </w:p>
    <w:p>
      <w:pPr>
        <w:pStyle w:val="Heading1"/>
        <w:keepNext/>
        <w:pBdr>
          <w:bottom w:val="single" w:color="000000" w:sz="6" w:space="2"/>
        </w:pBdr>
        <w:spacing w:after="100" w:before="240"/>
      </w:pPr>
      <w:r>
        <w:rPr>
          <w:rFonts w:ascii="Open Sans" w:cs="Open Sans" w:eastAsia="Open Sans" w:hAnsi="Open Sans"/>
          <w:b/>
          <w:bCs/>
          <w:color w:val="000000"/>
          <w:sz w:val="22"/>
          <w:szCs w:val="22"/>
        </w:rPr>
        <w:t xml:space="preserve">Sponsor Projections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6"/>
        <w:gridCol w:w="1250"/>
        <w:gridCol w:w="1250"/>
        <w:gridCol w:w="1250"/>
        <w:gridCol w:w="1250"/>
        <w:gridCol w:w="1250"/>
        <w:gridCol w:w="1250"/>
      </w:tblGrid>
      <w:tr>
        <w:trPr>
          <w:cantSplit/>
          <w:tblHeader/>
        </w:trPr>
        <w:tc>
          <w:tcPr>
            <w:tcW w:type="dxa" w:w="2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Sponsor case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Entry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[Year 1]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[Year 2]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[Year 3]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[Year 4]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[Year 5]</w:t>
            </w:r>
          </w:p>
        </w:tc>
      </w:tr>
      <w:tr>
        <w:trPr>
          <w:cantSplit/>
          <w:tblHeader w:val="false"/>
        </w:trPr>
        <w:tc>
          <w:tcPr>
            <w:tcW w:type="dxa" w:w="2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Revenue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</w:tr>
      <w:tr>
        <w:trPr>
          <w:cantSplit/>
          <w:tblHeader w:val="false"/>
        </w:trPr>
        <w:tc>
          <w:tcPr>
            <w:tcW w:type="dxa" w:w="2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Revenue growth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</w:tr>
      <w:tr>
        <w:trPr>
          <w:cantSplit/>
          <w:tblHeader w:val="false"/>
        </w:trPr>
        <w:tc>
          <w:tcPr>
            <w:tcW w:type="dxa" w:w="2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Adj. EBITDA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</w:tr>
      <w:tr>
        <w:trPr>
          <w:cantSplit/>
          <w:tblHeader w:val="false"/>
        </w:trPr>
        <w:tc>
          <w:tcPr>
            <w:tcW w:type="dxa" w:w="2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EBITDA margin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</w:tr>
      <w:tr>
        <w:trPr>
          <w:cantSplit/>
          <w:tblHeader w:val="false"/>
        </w:trPr>
        <w:tc>
          <w:tcPr>
            <w:tcW w:type="dxa" w:w="2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Capex % of revenue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</w:tr>
      <w:tr>
        <w:trPr>
          <w:cantSplit/>
          <w:tblHeader w:val="false"/>
        </w:trPr>
        <w:tc>
          <w:tcPr>
            <w:tcW w:type="dxa" w:w="2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Levered FCF available to repay debt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</w:tr>
      <w:tr>
        <w:trPr>
          <w:cantSplit/>
          <w:tblHeader w:val="false"/>
        </w:trPr>
        <w:tc>
          <w:tcPr>
            <w:tcW w:type="dxa" w:w="2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Net debt / PF Adj. EBITDA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</w:tr>
      <w:tr>
        <w:trPr>
          <w:cantSplit/>
          <w:tblHeader w:val="false"/>
        </w:trPr>
        <w:tc>
          <w:tcPr>
            <w:tcW w:type="dxa" w:w="2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Total debt / PF Adj. EBITDA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</w:tr>
      <w:tr>
        <w:trPr>
          <w:cantSplit/>
          <w:tblHeader w:val="false"/>
        </w:trPr>
        <w:tc>
          <w:tcPr>
            <w:tcW w:type="dxa" w:w="2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PF Adj. EBITDA / net interest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</w:tr>
      <w:tr>
        <w:trPr>
          <w:cantSplit/>
          <w:tblHeader w:val="false"/>
        </w:trPr>
        <w:tc>
          <w:tcPr>
            <w:tcW w:type="dxa" w:w="2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[Tranche] balance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</w:tr>
      <w:tr>
        <w:trPr>
          <w:cantSplit/>
          <w:tblHeader w:val="false"/>
        </w:trPr>
        <w:tc>
          <w:tcPr>
            <w:tcW w:type="dxa" w:w="2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Cumulative % of opening debt repaid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[x]</w:t>
            </w:r>
          </w:p>
        </w:tc>
      </w:tr>
    </w:tbl>
    <w:p>
      <w:pPr>
        <w:spacing w:after="160" w:before="60"/>
      </w:pPr>
      <w:r>
        <w:rPr>
          <w:rFonts w:ascii="Open Sans" w:cs="Open Sans" w:eastAsia="Open Sans" w:hAnsi="Open Sans"/>
          <w:i/>
          <w:iCs/>
          <w:color w:val="5A636A"/>
          <w:sz w:val="15"/>
          <w:szCs w:val="15"/>
        </w:rPr>
        <w:t xml:space="preserve">Source: [documents and pages]. Paydown assumption: [as stored]. Cumulative debt repaid reflects the amortization and sweep mechanics already in the model.</w:t>
      </w:r>
    </w:p>
    <w:p>
      <w:pPr>
        <w:spacing w:after="0" w:before="0"/>
      </w:pPr>
      <w:r>
        <w:rPr>
          <w:rFonts w:ascii="Open Sans" w:cs="Open Sans" w:eastAsia="Open Sans" w:hAnsi="Open Sans"/>
          <w:color w:val="000000"/>
          <w:sz w:val="18"/>
          <w:szCs w:val="18"/>
        </w:rPr>
        <w:t xml:space="preserve">[Two or three sentences on how leverage and debt paydown move across the years, from the model commentary.]</w:t>
      </w:r>
    </w:p>
    <w:p>
      <w:pPr>
        <w:pStyle w:val="Heading1"/>
        <w:keepNext/>
        <w:pBdr>
          <w:bottom w:val="single" w:color="000000" w:sz="6" w:space="2"/>
        </w:pBdr>
        <w:spacing w:after="100" w:before="240"/>
      </w:pPr>
      <w:r>
        <w:rPr>
          <w:rFonts w:ascii="Open Sans" w:cs="Open Sans" w:eastAsia="Open Sans" w:hAnsi="Open Sans"/>
          <w:b/>
          <w:bCs/>
          <w:color w:val="000000"/>
          <w:sz w:val="22"/>
          <w:szCs w:val="22"/>
        </w:rPr>
        <w:t xml:space="preserve">Merits and Risks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68"/>
        <w:gridCol w:w="4968"/>
      </w:tblGrid>
      <w:tr>
        <w:trPr>
          <w:cantSplit/>
          <w:tblHeader/>
        </w:trPr>
        <w:tc>
          <w:tcPr>
            <w:tcW w:type="dxa" w:w="4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Merits</w:t>
            </w:r>
          </w:p>
        </w:tc>
        <w:tc>
          <w:tcPr>
            <w:tcW w:type="dxa" w:w="4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Risks</w:t>
            </w:r>
          </w:p>
        </w:tc>
      </w:tr>
      <w:tr>
        <w:trPr>
          <w:cantSplit/>
          <w:tblHeader w:val="false"/>
        </w:trPr>
        <w:tc>
          <w:tcPr>
            <w:tcW w:type="dxa" w:w="4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1. [Merit]</w:t>
            </w:r>
          </w:p>
        </w:tc>
        <w:tc>
          <w:tcPr>
            <w:tcW w:type="dxa" w:w="4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1. [Risk]</w:t>
            </w:r>
          </w:p>
        </w:tc>
      </w:tr>
      <w:tr>
        <w:trPr>
          <w:cantSplit/>
          <w:tblHeader w:val="false"/>
        </w:trPr>
        <w:tc>
          <w:tcPr>
            <w:tcW w:type="dxa" w:w="4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2. [Merit]</w:t>
            </w:r>
          </w:p>
        </w:tc>
        <w:tc>
          <w:tcPr>
            <w:tcW w:type="dxa" w:w="4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2. [Risk]</w:t>
            </w:r>
          </w:p>
        </w:tc>
      </w:tr>
      <w:tr>
        <w:trPr>
          <w:cantSplit/>
          <w:tblHeader w:val="false"/>
        </w:trPr>
        <w:tc>
          <w:tcPr>
            <w:tcW w:type="dxa" w:w="4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3. [Merit]</w:t>
            </w:r>
          </w:p>
        </w:tc>
        <w:tc>
          <w:tcPr>
            <w:tcW w:type="dxa" w:w="4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3. [Risk]</w:t>
            </w:r>
          </w:p>
        </w:tc>
      </w:tr>
    </w:tbl>
    <w:p>
      <w:pPr>
        <w:spacing w:after="160" w:before="60"/>
      </w:pPr>
      <w:r>
        <w:rPr>
          <w:rFonts w:ascii="Open Sans" w:cs="Open Sans" w:eastAsia="Open Sans" w:hAnsi="Open Sans"/>
          <w:i/>
          <w:iCs/>
          <w:color w:val="5A636A"/>
          <w:sz w:val="15"/>
          <w:szCs w:val="15"/>
        </w:rPr>
        <w:t xml:space="preserve">Source: [documents and pages]. Each column is ranked on its own. A merit and a risk in the same row are not paired.</w:t>
      </w:r>
    </w:p>
    <w:p>
      <w:pPr>
        <w:pStyle w:val="Heading1"/>
        <w:keepNext/>
        <w:pBdr>
          <w:bottom w:val="single" w:color="000000" w:sz="6" w:space="2"/>
        </w:pBdr>
        <w:spacing w:after="100" w:before="240"/>
      </w:pPr>
      <w:r>
        <w:rPr>
          <w:rFonts w:ascii="Open Sans" w:cs="Open Sans" w:eastAsia="Open Sans" w:hAnsi="Open Sans"/>
          <w:b/>
          <w:bCs/>
          <w:color w:val="000000"/>
          <w:sz w:val="22"/>
          <w:szCs w:val="22"/>
        </w:rPr>
        <w:t xml:space="preserve">Key Focus Areas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Open Sans" w:cs="Open Sans" w:eastAsia="Open Sans" w:hAnsi="Open Sans"/>
          <w:color w:val="000000"/>
          <w:sz w:val="18"/>
          <w:szCs w:val="18"/>
        </w:rPr>
        <w:t xml:space="preserve">[Focus area]: [credit mechanism sentence, as stored]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Open Sans" w:cs="Open Sans" w:eastAsia="Open Sans" w:hAnsi="Open Sans"/>
          <w:color w:val="000000"/>
          <w:sz w:val="18"/>
          <w:szCs w:val="18"/>
        </w:rPr>
        <w:t xml:space="preserve">[Focus area]: [credit mechanism sentence]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Open Sans" w:cs="Open Sans" w:eastAsia="Open Sans" w:hAnsi="Open Sans"/>
          <w:color w:val="000000"/>
          <w:sz w:val="18"/>
          <w:szCs w:val="18"/>
        </w:rPr>
        <w:t xml:space="preserve">[Focus area]: [credit mechanism sentence]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Open Sans" w:cs="Open Sans" w:eastAsia="Open Sans" w:hAnsi="Open Sans"/>
          <w:color w:val="000000"/>
          <w:sz w:val="18"/>
          <w:szCs w:val="18"/>
        </w:rPr>
        <w:t xml:space="preserve">[Focus area]: [credit mechanism sentence]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Open Sans" w:cs="Open Sans" w:eastAsia="Open Sans" w:hAnsi="Open Sans"/>
          <w:color w:val="000000"/>
          <w:sz w:val="18"/>
          <w:szCs w:val="18"/>
        </w:rPr>
        <w:t xml:space="preserve">[Focus area]: [credit mechanism sentence]</w:t>
      </w:r>
    </w:p>
    <w:p>
      <w:pPr>
        <w:pStyle w:val="Heading1"/>
        <w:keepNext/>
        <w:pBdr>
          <w:bottom w:val="single" w:color="000000" w:sz="6" w:space="2"/>
        </w:pBdr>
        <w:spacing w:after="100" w:before="240"/>
      </w:pPr>
      <w:r>
        <w:rPr>
          <w:rFonts w:ascii="Open Sans" w:cs="Open Sans" w:eastAsia="Open Sans" w:hAnsi="Open Sans"/>
          <w:b/>
          <w:bCs/>
          <w:color w:val="000000"/>
          <w:sz w:val="22"/>
          <w:szCs w:val="22"/>
        </w:rPr>
        <w:t xml:space="preserve">Open Diligence Items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3500"/>
        <w:gridCol w:w="3036"/>
      </w:tblGrid>
      <w:tr>
        <w:trPr>
          <w:cantSplit/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Topic (high priority)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Source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000000"/>
                <w:sz w:val="18"/>
                <w:szCs w:val="18"/>
              </w:rPr>
              <w:t xml:space="preserve">Diligence ask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[Topic]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[Source]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[Description]</w:t>
            </w:r>
          </w:p>
        </w:tc>
        <w:tc>
          <w:tcPr>
            <w:tcW w:type="dxa" w:w="3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[Ask]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[Topic]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[Source]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[Description]</w:t>
            </w:r>
          </w:p>
        </w:tc>
        <w:tc>
          <w:tcPr>
            <w:tcW w:type="dxa" w:w="3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  <w:t xml:space="preserve">[Ask]</w:t>
            </w:r>
          </w:p>
        </w:tc>
      </w:tr>
    </w:tbl>
    <w:p>
      <w:pPr>
        <w:spacing w:after="60" w:before="140"/>
      </w:pPr>
      <w:r>
        <w:rPr>
          <w:rFonts w:ascii="Open Sans" w:cs="Open Sans" w:eastAsia="Open Sans" w:hAnsi="Open Sans"/>
          <w:b/>
          <w:bCs/>
          <w:color w:val="000000"/>
          <w:sz w:val="18"/>
          <w:szCs w:val="18"/>
        </w:rPr>
        <w:t xml:space="preserve">Medium priority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Open Sans" w:cs="Open Sans" w:eastAsia="Open Sans" w:hAnsi="Open Sans"/>
          <w:color w:val="000000"/>
          <w:sz w:val="18"/>
          <w:szCs w:val="18"/>
        </w:rPr>
        <w:t xml:space="preserve">[Topic] | [Source]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Open Sans" w:cs="Open Sans" w:eastAsia="Open Sans" w:hAnsi="Open Sans"/>
          <w:color w:val="000000"/>
          <w:sz w:val="18"/>
          <w:szCs w:val="18"/>
        </w:rPr>
        <w:t xml:space="preserve">[Topic] | [Source]</w:t>
      </w:r>
    </w:p>
    <w:p>
      <w:pPr>
        <w:spacing w:after="160" w:before="60"/>
      </w:pPr>
      <w:r>
        <w:rPr>
          <w:rFonts w:ascii="Open Sans" w:cs="Open Sans" w:eastAsia="Open Sans" w:hAnsi="Open Sans"/>
          <w:i/>
          <w:iCs/>
          <w:color w:val="5A636A"/>
          <w:sz w:val="15"/>
          <w:szCs w:val="15"/>
        </w:rPr>
        <w:t xml:space="preserve">Source: [documents and period]. Includes any staleness note and any missing document that limits the credit read.</w:t>
      </w:r>
    </w:p>
    <w:sectPr>
      <w:footerReference w:type="default" r:id="rId7"/>
      <w:pgSz w:w="12240" w:h="15840" w:orient="portrait"/>
      <w:pgMar w:top="1008" w:right="1152" w:bottom="1008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936"/>
      </w:tabs>
    </w:pPr>
    <w:r>
      <w:rPr>
        <w:rFonts w:ascii="Open Sans" w:cs="Open Sans" w:eastAsia="Open Sans" w:hAnsi="Open Sans"/>
        <w:color w:val="5A636A"/>
        <w:sz w:val="15"/>
        <w:szCs w:val="15"/>
      </w:rPr>
      <w:t xml:space="preserve">Confidential: internal work product</w:t>
    </w:r>
    <w:r>
      <w:rPr>
        <w:rFonts w:ascii="Open Sans" w:cs="Open Sans" w:eastAsia="Open Sans" w:hAnsi="Open Sans"/>
        <w:color w:val="5A636A"/>
        <w:sz w:val="15"/>
        <w:szCs w:val="15"/>
      </w:rPr>
      <w:t xml:space="preserve">	</w:t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Open Sans" w:cs="Open Sans" w:eastAsia="Open Sans" w:hAnsi="Open Sans"/>
        <w:sz w:val="18"/>
        <w:szCs w:val="18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openxmlformats.org/officeDocument/2006/relationships/endnotes" Target="endnotes.xml"/><Relationship Id="rId9" Type="http://schemas.openxmlformats.org/officeDocument/2006/relationships/customXml" Target="../customXml/item1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9143079854A54D9892AFDB502399A0" ma:contentTypeVersion="15" ma:contentTypeDescription="Create a new document." ma:contentTypeScope="" ma:versionID="22e601a24562e73b2f5afc1046dcfba6">
  <xsd:schema xmlns:xsd="http://www.w3.org/2001/XMLSchema" xmlns:xs="http://www.w3.org/2001/XMLSchema" xmlns:p="http://schemas.microsoft.com/office/2006/metadata/properties" xmlns:ns2="7945be74-f550-42ae-be50-e20c01470fa8" xmlns:ns3="41866f6e-3c95-4ce7-90cd-084695edabd7" targetNamespace="http://schemas.microsoft.com/office/2006/metadata/properties" ma:root="true" ma:fieldsID="4c891952338fb39d319fedeac18bb4f8" ns2:_="" ns3:_="">
    <xsd:import namespace="7945be74-f550-42ae-be50-e20c01470fa8"/>
    <xsd:import namespace="41866f6e-3c95-4ce7-90cd-084695edab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45be74-f550-42ae-be50-e20c01470f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4d09cff7-3085-437c-9583-5564e34a3e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866f6e-3c95-4ce7-90cd-084695edabd7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bdc2924a-1837-4a5f-9c22-6b8d8f490986}" ma:internalName="TaxCatchAll" ma:showField="CatchAllData" ma:web="41866f6e-3c95-4ce7-90cd-084695edab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1866f6e-3c95-4ce7-90cd-084695edabd7" xsi:nil="true"/>
    <lcf76f155ced4ddcb4097134ff3c332f xmlns="7945be74-f550-42ae-be50-e20c01470fa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9B9AE20-00BA-469E-BF40-1410542B661A}"/>
</file>

<file path=customXml/itemProps2.xml><?xml version="1.0" encoding="utf-8"?>
<ds:datastoreItem xmlns:ds="http://schemas.openxmlformats.org/officeDocument/2006/customXml" ds:itemID="{CC01A717-F626-46C6-A8F7-F8E58C04F685}"/>
</file>

<file path=customXml/itemProps3.xml><?xml version="1.0" encoding="utf-8"?>
<ds:datastoreItem xmlns:ds="http://schemas.openxmlformats.org/officeDocument/2006/customXml" ds:itemID="{B60EB18F-5170-4E45-973A-1835428B3EE2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Initial Deal Review Template</dc:title>
  <cp:lastModifiedBy>Un-named</cp:lastModifiedBy>
  <cp:revision>1</cp:revision>
  <dcterms:created xsi:type="dcterms:W3CDTF">2026-10-07T15:57:09Z</dcterms:created>
  <dcterms:modified xsi:type="dcterms:W3CDTF">2026-10-07T15:57:09Z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0x010100979143079854A54D9892AFDB502399A0</vt:lpwstr>
  </property>
</Properties>
</file>