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mmary"/>
    <w:p>
      <w:pPr>
        <w:pStyle w:val="2"/>
      </w:pPr>
      <w:r>
        <w:t xml:space="preserve">Summary</w:t>
      </w:r>
    </w:p>
    <w:p>
      <w:pPr>
        <w:pStyle w:val="FirstParagraph"/>
      </w:pPr>
      <w:r>
        <w:t xml:space="preserve">Replaces the Gemini-only AI client with an env-driven adapter that speaks to a</w:t>
      </w:r>
      <w:r>
        <w:t xml:space="preserve"> </w:t>
      </w:r>
      <w:r>
        <w:rPr>
          <w:b/>
          <w:bCs/>
        </w:rPr>
        <w:t xml:space="preserve">self-hosted OpenAI-compatible model server</w:t>
      </w:r>
      <w:r>
        <w:t xml:space="preserve"> </w:t>
      </w:r>
      <w:r>
        <w:t xml:space="preserve">(Ollama / llama.cpp) as the primary backend, eliminating the external API dependency for the retained AI portfolio (spec parse, photo transcription, name matching). Research docs:</w:t>
      </w:r>
      <w:r>
        <w:t xml:space="preserve"> </w:t>
      </w:r>
      <w:r>
        <w:rPr>
          <w:rStyle w:val="VerbatimChar"/>
        </w:rPr>
        <w:t xml:space="preserve">local-ai-installation-research</w:t>
      </w:r>
      <w:r>
        <w:t xml:space="preserve"> </w:t>
      </w:r>
      <w:r>
        <w:t xml:space="preserve">+ Option B deep dive (to be committed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in the follow-up benchmark PR).</w:t>
      </w:r>
    </w:p>
    <w:bookmarkEnd w:id="20"/>
    <w:bookmarkStart w:id="21" w:name="what-changes"/>
    <w:p>
      <w:pPr>
        <w:pStyle w:val="2"/>
      </w:pPr>
      <w:r>
        <w:t xml:space="preserve">What changes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lib/integrations-openai-ai-server/src/client.ts</w:t>
      </w:r>
      <w:r>
        <w:t xml:space="preserve"> </w:t>
      </w:r>
      <w:r>
        <w:t xml:space="preserve">— provider dispatch: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LOCAL_AI_BASE_URL</w:t>
      </w:r>
      <w:r>
        <w:t xml:space="preserve"> </w:t>
      </w:r>
      <w:r>
        <w:t xml:space="preserve">set →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SDK client (already a package dependency) pointed at the self-hosted server; native system/vision/response_format handling, no Gemini translation</w:t>
      </w:r>
    </w:p>
    <w:p>
      <w:pPr>
        <w:pStyle w:val="Compact"/>
        <w:numPr>
          <w:ilvl w:val="1"/>
          <w:numId w:val="1002"/>
        </w:numPr>
      </w:pPr>
      <w:r>
        <w:t xml:space="preserve">Otherwise → existing Gemini path (Replit proxy or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), fully preserved</w:t>
      </w:r>
    </w:p>
    <w:p>
      <w:pPr>
        <w:pStyle w:val="Compact"/>
        <w:numPr>
          <w:ilvl w:val="1"/>
          <w:numId w:val="1002"/>
        </w:numPr>
      </w:pPr>
      <w:r>
        <w:t xml:space="preserve">Per-call fallback to Gemini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transport-level failures and only when</w:t>
      </w:r>
      <w:r>
        <w:t xml:space="preserve"> </w:t>
      </w:r>
      <w:r>
        <w:rPr>
          <w:rStyle w:val="VerbatimChar"/>
        </w:rPr>
        <w:t xml:space="preserve">LOCAL_AI_FALLBACK_TO_GEMINI=true</w:t>
      </w:r>
      <w:r>
        <w:t xml:space="preserve"> </w:t>
      </w:r>
      <w:r>
        <w:t xml:space="preserve">— validation errors never fall back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models.ts</w:t>
      </w:r>
      <w:r>
        <w:t xml:space="preserve"> </w:t>
      </w:r>
      <w:r>
        <w:t xml:space="preserve">— tiers become env-driven:</w:t>
      </w:r>
      <w:r>
        <w:t xml:space="preserve"> </w:t>
      </w:r>
      <w:r>
        <w:rPr>
          <w:rStyle w:val="VerbatimChar"/>
        </w:rPr>
        <w:t xml:space="preserve">LOCAL_MODEL_FULL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qwen3:14b</w:t>
      </w:r>
      <w:r>
        <w:t xml:space="preserve">),</w:t>
      </w:r>
      <w:r>
        <w:t xml:space="preserve"> </w:t>
      </w:r>
      <w:r>
        <w:rPr>
          <w:rStyle w:val="VerbatimChar"/>
        </w:rPr>
        <w:t xml:space="preserve">LOCAL_MODEL_CHEAP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qwen3:4b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artifacts/api-server/src/routes/health.ts</w:t>
      </w:r>
      <w:r>
        <w:t xml:space="preserve"> </w:t>
      </w:r>
      <w:r>
        <w:t xml:space="preserve">— readiness accepts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as AI configuration (same pattern as #79); optional strict model-host probe via</w:t>
      </w:r>
      <w:r>
        <w:t xml:space="preserve"> </w:t>
      </w:r>
      <w:r>
        <w:rPr>
          <w:rStyle w:val="VerbatimChar"/>
        </w:rPr>
        <w:t xml:space="preserve">LOCAL_AI_STRICT_READINESS=true</w:t>
      </w:r>
      <w:r>
        <w:t xml:space="preserve"> </w:t>
      </w:r>
      <w:r>
        <w:t xml:space="preserve">(off by default so cold tunnels don’t block rollouts)</w:t>
      </w:r>
    </w:p>
    <w:bookmarkEnd w:id="21"/>
    <w:bookmarkStart w:id="22" w:name="explicitly-unchanged"/>
    <w:p>
      <w:pPr>
        <w:pStyle w:val="2"/>
      </w:pPr>
      <w:r>
        <w:t xml:space="preserve">Explicitly unchanged</w:t>
      </w:r>
    </w:p>
    <w:p>
      <w:pPr>
        <w:pStyle w:val="Compact"/>
        <w:numPr>
          <w:ilvl w:val="0"/>
          <w:numId w:val="1003"/>
        </w:numPr>
      </w:pPr>
      <w:r>
        <w:t xml:space="preserve">All ~30 AI call sites, generated API clients, web/mobile UI</w:t>
      </w:r>
    </w:p>
    <w:p>
      <w:pPr>
        <w:pStyle w:val="Compact"/>
        <w:numPr>
          <w:ilvl w:val="0"/>
          <w:numId w:val="1003"/>
        </w:numPr>
      </w:pPr>
      <w:r>
        <w:t xml:space="preserve">Test mocks (exports remain</w:t>
      </w:r>
      <w:r>
        <w:t xml:space="preserve"> </w:t>
      </w:r>
      <w:r>
        <w:rPr>
          <w:rStyle w:val="VerbatimChar"/>
        </w:rPr>
        <w:t xml:space="preserve">{ openai, AI_MODELS, pickModel }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aiJsonRetry</w:t>
      </w:r>
      <w:r>
        <w:t xml:space="preserve">, result cache, cost middleware (retarget deferred to benchmark follow-up)</w:t>
      </w:r>
    </w:p>
    <w:p>
      <w:pPr>
        <w:pStyle w:val="Compact"/>
        <w:numPr>
          <w:ilvl w:val="0"/>
          <w:numId w:val="1003"/>
        </w:numPr>
      </w:pPr>
      <w:r>
        <w:t xml:space="preserve">Deterministic calculators remain authoritative per</w:t>
      </w:r>
      <w:r>
        <w:t xml:space="preserve"> </w:t>
      </w:r>
      <w:r>
        <w:rPr>
          <w:rStyle w:val="VerbatimChar"/>
        </w:rPr>
        <w:t xml:space="preserve">deterministic-ai-gates.md</w:t>
      </w:r>
      <w:r>
        <w:t xml:space="preserve">; AI failures still fail closed to the labeled unavailable state</w:t>
      </w:r>
    </w:p>
    <w:bookmarkEnd w:id="22"/>
    <w:bookmarkStart w:id="23" w:name="deployment-env-vars"/>
    <w:p>
      <w:pPr>
        <w:pStyle w:val="2"/>
      </w:pPr>
      <w:r>
        <w:t xml:space="preserve">Deployment env vars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http://100.x.y.z:11434/v1</w:t>
            </w:r>
            <w:r>
              <w:t xml:space="preserve"> </w:t>
            </w:r>
            <w:r>
              <w:t xml:space="preserve">(Tailscale) or colocated VPS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model host sits behind a keyed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LOCAL_MODEL_FULL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LOCAL_MODEL_CHEAP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names served by the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LOCAL_AI_FALLBACK_TO_GEMINI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retry transport failures against Gemini</w:t>
            </w:r>
          </w:p>
        </w:tc>
      </w:tr>
    </w:tbl>
    <w:bookmarkEnd w:id="23"/>
    <w:bookmarkStart w:id="24" w:name="gate-before-merging-draft-pr"/>
    <w:p>
      <w:pPr>
        <w:pStyle w:val="2"/>
      </w:pPr>
      <w:r>
        <w:t xml:space="preserve">Gate before merging (draft PR)</w:t>
      </w:r>
    </w:p>
    <w:p>
      <w:pPr>
        <w:pStyle w:val="FirstParagraph"/>
      </w:pPr>
      <w:r>
        <w:t xml:space="preserve">Per the 2026-09-05 AI-feature-value-audit, acceptance is the</w:t>
      </w:r>
      <w:r>
        <w:t xml:space="preserve"> </w:t>
      </w:r>
      <w:r>
        <w:rPr>
          <w:b/>
          <w:bCs/>
        </w:rPr>
        <w:t xml:space="preserve">corpus benchmark</w:t>
      </w:r>
      <w:r>
        <w:t xml:space="preserve">, not code review:</w:t>
      </w:r>
    </w:p>
    <w:p>
      <w:pPr>
        <w:pStyle w:val="Compact"/>
        <w:numPr>
          <w:ilvl w:val="0"/>
          <w:numId w:val="1004"/>
        </w:numPr>
      </w:pPr>
      <w:r>
        <w:t xml:space="preserve">☐ Phase 0: run spec-import corpus harness against</w:t>
      </w:r>
      <w:r>
        <w:t xml:space="preserve"> </w:t>
      </w:r>
      <w:r>
        <w:rPr>
          <w:rStyle w:val="VerbatimChar"/>
        </w:rPr>
        <w:t xml:space="preserve">qwen3:14b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gemma3:12b</w:t>
      </w:r>
      <w:r>
        <w:t xml:space="preserve"> </w:t>
      </w:r>
      <w:r>
        <w:t xml:space="preserve">+ vision corpus against</w:t>
      </w:r>
      <w:r>
        <w:t xml:space="preserve"> </w:t>
      </w:r>
      <w:r>
        <w:rPr>
          <w:rStyle w:val="VerbatimChar"/>
        </w:rPr>
        <w:t xml:space="preserve">qwen2.5vl:7b</w:t>
      </w:r>
      <w:r>
        <w:t xml:space="preserve">; compare discrepancy rates vs the PR #81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baseline</w:t>
      </w:r>
    </w:p>
    <w:p>
      <w:pPr>
        <w:pStyle w:val="Compact"/>
        <w:numPr>
          <w:ilvl w:val="0"/>
          <w:numId w:val="1004"/>
        </w:numPr>
      </w:pPr>
      <w:r>
        <w:t xml:space="preserve">☐ Per-route verdict recorded (switch / keep-Gemini / hybrid)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SPEC_PARSE_VERSION</w:t>
      </w:r>
      <w:r>
        <w:t xml:space="preserve"> </w:t>
      </w:r>
      <w:r>
        <w:t xml:space="preserve">bump (40→41) staged in the follow-up if any route switches</w:t>
      </w:r>
    </w:p>
    <w:p>
      <w:pPr>
        <w:pStyle w:val="Compact"/>
        <w:numPr>
          <w:ilvl w:val="0"/>
          <w:numId w:val="1004"/>
        </w:numPr>
      </w:pPr>
      <w:r>
        <w:t xml:space="preserve">☐ Gemini fallback decision for spec import recorded in the audit doc’s portfolio table</w:t>
      </w:r>
    </w:p>
    <w:bookmarkEnd w:id="24"/>
    <w:bookmarkStart w:id="25" w:name="rollback"/>
    <w:p>
      <w:pPr>
        <w:pStyle w:val="2"/>
      </w:pPr>
      <w:r>
        <w:t xml:space="preserve">Rollback</w:t>
      </w:r>
    </w:p>
    <w:p>
      <w:pPr>
        <w:pStyle w:val="FirstParagraph"/>
      </w:pPr>
      <w:r>
        <w:t xml:space="preserve">Unset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LOCAL_AI_FALLBACK_TO_gemini</w:t>
      </w:r>
      <w:r>
        <w:t xml:space="preserve">) → adapter returns to the pure Gemini path. No schema changes; cache keys unchanged.</w:t>
      </w:r>
    </w:p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2026-09-27T04:30:21Z</dcterms:created>
  <dcterms:modified xsi:type="dcterms:W3CDTF">2026-09-27T04:30:21Z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-20260927123021","ReservedCode1":"","ContentPropagator":"001191110108MACG2KBH8F20000","PropagateID":"daipljk8k36dhc750sf0-1a0b7e70-0c02-85d8-8000-0923a27389c5-20260927123021","ReservedCode2":""}</vt:lpwstr>
  </property>
</Properties>
</file>