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dd7971461400395335c98eb50adb1163ee310b"/>
    <w:p>
      <w:pPr>
        <w:pStyle w:val="1"/>
      </w:pPr>
      <w:r>
        <w:t xml:space="preserve">Local AI Installation Research — Removing the External API Dependency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2026-09-26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Can the app’s AI run</w:t>
      </w:r>
      <w:r>
        <w:t xml:space="preserve"> </w:t>
      </w:r>
      <w:r>
        <w:rPr>
          <w:i/>
          <w:iCs/>
        </w:rPr>
        <w:t xml:space="preserve">in the app itself</w:t>
      </w:r>
      <w:r>
        <w:t xml:space="preserve"> </w:t>
      </w:r>
      <w:r>
        <w:t xml:space="preserve">so no external API (Gemini/Replit integration) is needed?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Production Run Calculator — web app (React 19 + Vite, floor-staff kiosk/tablet browsers, Floor Mode), Express 5 API on Render (autoscale, cold starts), Postgres. AI portfolio after the 2026-09-05 audit retains only: spec workbook parsing (large structured output), spec photo transcription (vision), unresolved-name matching (cheap), photo stock intake (vision). All model calls flow through</w:t>
      </w:r>
      <w:r>
        <w:t xml:space="preserve"> </w:t>
      </w:r>
      <w:r>
        <w:rPr>
          <w:rStyle w:val="VerbatimChar"/>
        </w:rPr>
        <w:t xml:space="preserve">@workspace/integrations-openai-ai-server</w:t>
      </w:r>
      <w:r>
        <w:t xml:space="preserve"> </w:t>
      </w:r>
      <w:r>
        <w:t xml:space="preserve">— an OpenAI-shaped adapter over</w:t>
      </w:r>
      <w:r>
        <w:t xml:space="preserve"> </w:t>
      </w:r>
      <w:r>
        <w:rPr>
          <w:rStyle w:val="VerbatimChar"/>
        </w:rPr>
        <w:t xml:space="preserve">@google/genai</w:t>
      </w:r>
      <w:r>
        <w:t xml:space="preserve"> </w:t>
      </w:r>
      <w:r>
        <w:t xml:space="preserve">(~30 call sites,</w:t>
      </w:r>
      <w:r>
        <w:t xml:space="preserve"> </w:t>
      </w:r>
      <w:r>
        <w:rPr>
          <w:rStyle w:val="VerbatimChar"/>
        </w:rPr>
        <w:t xml:space="preserve">pickModel("cheap"|"full")</w:t>
      </w:r>
      <w:r>
        <w:t xml:space="preserve">). Current incident history: Google retired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(404) and broke all Render imports for days until PR #81 moved to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.</w:t>
      </w:r>
    </w:p>
    <w:bookmarkStart w:id="20" w:name="what-no-api-can-mean-three-architectures"/>
    <w:p>
      <w:pPr>
        <w:pStyle w:val="2"/>
      </w:pPr>
      <w:r>
        <w:t xml:space="preserve">What</w:t>
      </w:r>
      <w:r>
        <w:t xml:space="preserve"> </w:t>
      </w:r>
      <w:r>
        <w:t xml:space="preserve">“</w:t>
      </w:r>
      <w:r>
        <w:t xml:space="preserve">no API</w:t>
      </w:r>
      <w:r>
        <w:t xml:space="preserve">”</w:t>
      </w:r>
      <w:r>
        <w:t xml:space="preserve"> </w:t>
      </w:r>
      <w:r>
        <w:t xml:space="preserve">can mean — three architectures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inference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this app?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In-browser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client device (WebGPU/WASM)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after model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fit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Self-hosted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server/VPS next to the API (Ollama / llama.cpp / LocalAI)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(your hardware)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 Browser-native Prompt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Chrome’s bundled Gemini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desktop only, Google hardware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(kiosk tablets, needs Chrome desktop + 4GB VRAM + 22GB disk)</w:t>
            </w:r>
          </w:p>
        </w:tc>
      </w:tr>
    </w:tbl>
    <w:bookmarkEnd w:id="20"/>
    <w:bookmarkStart w:id="21" w:name="X577df70324893b734626dcf83f51a25b679fd41"/>
    <w:p>
      <w:pPr>
        <w:pStyle w:val="2"/>
      </w:pPr>
      <w:r>
        <w:t xml:space="preserve">Option A — In-browser inference (WebLLM / Transformers.js)</w:t>
      </w:r>
    </w:p>
    <w:p>
      <w:pPr>
        <w:pStyle w:val="FirstParagraph"/>
      </w:pPr>
      <w:r>
        <w:t xml:space="preserve">2026 state of the art: WebLLM 0.2.85 (163 prebuilt models, Qwen3/Qwen3.5 0.8B–9B, Llama 3.2 1B/3B, Phi-4-mini, Gemma3 1B, DeepSeek-R1 distills; OpenAI-compatible</w:t>
      </w:r>
      <w:r>
        <w:t xml:space="preserve"> </w:t>
      </w:r>
      <w:r>
        <w:rPr>
          <w:rStyle w:val="VerbatimChar"/>
        </w:rPr>
        <w:t xml:space="preserve">chat.completions</w:t>
      </w:r>
      <w:r>
        <w:t xml:space="preserve"> </w:t>
      </w:r>
      <w:r>
        <w:t xml:space="preserve">surface), Transformers.js 4.3.0 (WebGPU + WASM fallback; embeddings/ASR/vision/classification beyond chat), Chrome Prompt API (desktop-only). WebGPU is now broadly shipped: Chrome/Edge 113+, Chrome Android 121+, Safari 26, Firefox 141+ (partial).</w:t>
      </w:r>
    </w:p>
    <w:p>
      <w:pPr>
        <w:pStyle w:val="a0"/>
      </w:pPr>
      <w:r>
        <w:rPr>
          <w:b/>
          <w:bCs/>
        </w:rPr>
        <w:t xml:space="preserve">Why it fails for this app’s real workload: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core retained job is spec-workbook extraction</w:t>
      </w:r>
      <w:r>
        <w:t xml:space="preserve"> </w:t>
      </w:r>
      <w:r>
        <w:t xml:space="preserve">— messy, multi-sheet, structured-output parsing where the audit rated Gemini-class quality as the entire value proposition (</w:t>
      </w:r>
      <w:r>
        <w:t xml:space="preserve">“</w:t>
      </w:r>
      <w:r>
        <w:t xml:space="preserve">the clearest labor-saving AI workflow,</w:t>
      </w:r>
      <w:r>
        <w:t xml:space="preserve">”</w:t>
      </w:r>
      <w:r>
        <w:t xml:space="preserve"> </w:t>
      </w:r>
      <w:r>
        <w:t xml:space="preserve">5/5 necessity). A 1–3B quantized model in a browser tab will not match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on messy spreadsheet semantics. Quality regression directly attacks the one AI feature the audit said to protect.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Vision (spec photos, stock intake) in-browser is possible but weak/slow</w:t>
      </w:r>
      <w:r>
        <w:t xml:space="preserve"> </w:t>
      </w:r>
      <w:r>
        <w:t xml:space="preserve">— SmolVLM-class models are ~1–2GB downloads and materially worse than server vision models.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Per-device model distribution on shared floor hardware.</w:t>
      </w:r>
      <w:r>
        <w:t xml:space="preserve"> </w:t>
      </w:r>
      <w:r>
        <w:t xml:space="preserve">Every kiosk tablet downloads and caches 0.7–4GB of weights; cache eviction, storage pressure, and first-load delays become a support burden for non-technical floor staff. Your users’ GPUs are not your GPUs — performance is unpredictable across the device fleet.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Floor devices are Android tablets/phones in Chrome</w:t>
      </w:r>
      <w:r>
        <w:t xml:space="preserve"> </w:t>
      </w:r>
      <w:r>
        <w:t xml:space="preserve">— WebGPU exists (121+) but thermals and memory pressure make multi-minute vision parses likely.</w:t>
      </w:r>
    </w:p>
    <w:p>
      <w:pPr>
        <w:pStyle w:val="a0"/>
      </w:pPr>
      <w:r>
        <w:rPr>
          <w:b/>
          <w:bCs/>
        </w:rPr>
        <w:t xml:space="preserve">Where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viable:</w:t>
      </w:r>
      <w:r>
        <w:t xml:space="preserve"> </w:t>
      </w:r>
      <w:r>
        <w:t xml:space="preserve">the cheap tier only — unresolved-name matching (Qwen3-0.6B / SmolLM2-360M-class, sub-GB download) as an offline-friendly enhancement. Even then, the existing deterministic matcher + alias memory already resolves most cases; the marginal value is small.</w:t>
      </w:r>
    </w:p>
    <w:bookmarkEnd w:id="21"/>
    <w:bookmarkStart w:id="22" w:name="Xcf3895598fd7ebf70b45460a8f228bf492383ee"/>
    <w:p>
      <w:pPr>
        <w:pStyle w:val="2"/>
      </w:pPr>
      <w:r>
        <w:t xml:space="preserve">Option B — Self-hosted local model server (recommended research direction)</w:t>
      </w:r>
    </w:p>
    <w:p>
      <w:pPr>
        <w:pStyle w:val="FirstParagraph"/>
      </w:pPr>
      <w:r>
        <w:t xml:space="preserve">Run an OpenAI-compatible inference server you operate: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(managed model catalog, one-command install, built-in REST API, native + OpenAI-compatible endpoints, structured output via</w:t>
      </w:r>
      <w:r>
        <w:t xml:space="preserve"> </w:t>
      </w:r>
      <w:r>
        <w:rPr>
          <w:rStyle w:val="VerbatimChar"/>
        </w:rPr>
        <w:t xml:space="preserve">format: "json"</w:t>
      </w:r>
      <w:r>
        <w:t xml:space="preserve"> </w:t>
      </w:r>
      <w:r>
        <w:t xml:space="preserve">or JSON schema, vision via Qwen-VL/Gemma 3/Llama 4 multimodal) or</w:t>
      </w:r>
      <w:r>
        <w:t xml:space="preserve"> </w:t>
      </w:r>
      <w:r>
        <w:rPr>
          <w:b/>
          <w:bCs/>
        </w:rPr>
        <w:t xml:space="preserve">llama-server</w:t>
      </w:r>
      <w:r>
        <w:t xml:space="preserve"> </w:t>
      </w:r>
      <w:r>
        <w:t xml:space="preserve">(raw llama.cpp; ~1.8× faster in benchmarks, grammar/JSON-schema constraints, Prometheus metrics, more control; steeper ops) or</w:t>
      </w:r>
      <w:r>
        <w:t xml:space="preserve"> </w:t>
      </w:r>
      <w:r>
        <w:rPr>
          <w:b/>
          <w:bCs/>
        </w:rPr>
        <w:t xml:space="preserve">LocalAI</w:t>
      </w:r>
      <w:r>
        <w:t xml:space="preserve"> </w:t>
      </w:r>
      <w:r>
        <w:t xml:space="preserve">(multi-backend, text+image+audio in one endpoint, Docker-first, more config).</w:t>
      </w:r>
    </w:p>
    <w:p>
      <w:pPr>
        <w:pStyle w:val="a0"/>
      </w:pPr>
      <w:r>
        <w:rPr>
          <w:b/>
          <w:bCs/>
        </w:rPr>
        <w:t xml:space="preserve">Why it fits this codebase unusually well: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adapter seam already exists.</w:t>
      </w:r>
      <w:r>
        <w:t xml:space="preserve"> </w:t>
      </w:r>
      <w:r>
        <w:t xml:space="preserve">All ~30 call sites speak the OpenAI</w:t>
      </w:r>
      <w:r>
        <w:t xml:space="preserve"> </w:t>
      </w:r>
      <w:r>
        <w:rPr>
          <w:rStyle w:val="VerbatimChar"/>
        </w:rPr>
        <w:t xml:space="preserve">chat.completions.create({model, messages, response_format, max_completion_tokens, stream?})</w:t>
      </w:r>
      <w:r>
        <w:t xml:space="preserve"> </w:t>
      </w:r>
      <w:r>
        <w:t xml:space="preserve">surface. Ollama/llama.cpp expose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. You rewrite one adapter module (swap</w:t>
      </w:r>
      <w:r>
        <w:t xml:space="preserve"> </w:t>
      </w:r>
      <w:r>
        <w:rPr>
          <w:rStyle w:val="VerbatimChar"/>
        </w:rPr>
        <w:t xml:space="preserve">@google/genai</w:t>
      </w:r>
      <w:r>
        <w:t xml:space="preserve"> </w:t>
      </w:r>
      <w:r>
        <w:t xml:space="preserve">internals for an OpenAI client pointed at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), keep</w:t>
      </w:r>
      <w:r>
        <w:t xml:space="preserve"> </w:t>
      </w:r>
      <w:r>
        <w:rPr>
          <w:rStyle w:val="VerbatimChar"/>
        </w:rPr>
        <w:t xml:space="preserve">pickModel</w:t>
      </w:r>
      <w:r>
        <w:t xml:space="preserve">, keep streaming, keep the mock contract. No route changes.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Structured output is a first-class citizen</w:t>
      </w:r>
      <w:r>
        <w:t xml:space="preserve"> </w:t>
      </w:r>
      <w:r>
        <w:t xml:space="preserve">on both (Ollama</w:t>
      </w:r>
      <w:r>
        <w:t xml:space="preserve"> </w:t>
      </w:r>
      <w:r>
        <w:rPr>
          <w:rStyle w:val="VerbatimChar"/>
        </w:rPr>
        <w:t xml:space="preserve">format: json-schema</w:t>
      </w:r>
      <w:r>
        <w:t xml:space="preserve">; llama.cpp grammars + response formats) — spec-parse routes already demand schema-validated JSON.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Vision input maps directly</w:t>
      </w:r>
      <w:r>
        <w:t xml:space="preserve"> </w:t>
      </w:r>
      <w:r>
        <w:t xml:space="preserve">(base64 image messages; Ollama’s multimodal engine handles preprocessing).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Eliminates the incident class that just hurt you.</w:t>
      </w:r>
      <w:r>
        <w:t xml:space="preserve"> </w:t>
      </w:r>
      <w:r>
        <w:t xml:space="preserve">The gemini-2.5-flash 404 outage took down every AI import on Render. A pinned local GGUF never changes underneath you; upgrades become deliberate, testable events gated by the corpus benchmark.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Cost controls become capacity planning</w:t>
      </w:r>
      <w:r>
        <w:t xml:space="preserve"> </w:t>
      </w:r>
      <w:r>
        <w:t xml:space="preserve">— per-token cost/rate limiting middleware can stay (it now guards RAM/queue slots), but there is no external billing.</w:t>
      </w:r>
    </w:p>
    <w:p>
      <w:pPr>
        <w:pStyle w:val="a0"/>
      </w:pPr>
      <w:r>
        <w:rPr>
          <w:b/>
          <w:bCs/>
        </w:rPr>
        <w:t xml:space="preserve">Hard constraints to research before committing: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Render cannot host it.</w:t>
      </w:r>
      <w:r>
        <w:t xml:space="preserve"> </w:t>
      </w:r>
      <w:r>
        <w:t xml:space="preserve">Autoscale web instances have no GPU and limited RAM; a Q4 8B model needs ~5–6GB + KV cache. You need a separate always-on host: GPU VPS (~$50–200/mo), a used workstation on the plant network, or an on-prem mini-PC. Latency from the API server to the model host must stay low (same LAN/region).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Quality gate is non-negotiable.</w:t>
      </w:r>
      <w:r>
        <w:t xml:space="preserve"> </w:t>
      </w:r>
      <w:r>
        <w:t xml:space="preserve">The audit’s acceptance standard is the retained corpus benchmark, not vibes. Before switching: run the spec-import corpus harness against Qwen3-8B / Gemma-3-12B / Qwen2.5-VL on the candidate hardware; compare discrepancy rates against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(PR #81’s baseline); only retire Gemini if local meets the bar. Expect to bump</w:t>
      </w:r>
      <w:r>
        <w:t xml:space="preserve"> </w:t>
      </w:r>
      <w:r>
        <w:rPr>
          <w:rStyle w:val="VerbatimChar"/>
        </w:rPr>
        <w:t xml:space="preserve">SPEC_PARSE_VERSION</w:t>
      </w:r>
      <w:r>
        <w:t xml:space="preserve"> </w:t>
      </w:r>
      <w:r>
        <w:t xml:space="preserve">again (40 → 41) to invalidate cached parses.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Ops burden is real.</w:t>
      </w:r>
      <w:r>
        <w:t xml:space="preserve"> </w:t>
      </w:r>
      <w:r>
        <w:t xml:space="preserve">Model pulls, keep-alive tuning, KV-cache sizing, monitoring. Ollama is the right starting point (appliance model); graduate to llama-server only if you can name the control you need.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Cold starts and readiness.</w:t>
      </w:r>
      <w:r>
        <w:t xml:space="preserve"> </w:t>
      </w:r>
      <w:r>
        <w:t xml:space="preserve">Your Render autoscale already bit you once (lazy-chunk warm-up fix). A remote model host needs its own warm-up/health contract in the readiness dependency check (same pattern as PR #79’s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 </w:t>
      </w:r>
      <w:r>
        <w:t xml:space="preserve">fix).</w:t>
      </w:r>
    </w:p>
    <w:bookmarkEnd w:id="22"/>
    <w:bookmarkStart w:id="23" w:name="Xdc62736535aa4af1c72507ca14feb375b512a36"/>
    <w:p>
      <w:pPr>
        <w:pStyle w:val="2"/>
      </w:pPr>
      <w:r>
        <w:t xml:space="preserve">Option C — Chrome Prompt API (recorded for completeness)</w:t>
      </w:r>
    </w:p>
    <w:p>
      <w:pPr>
        <w:pStyle w:val="FirstParagraph"/>
      </w:pPr>
      <w:r>
        <w:t xml:space="preserve">Stable since Chrome 148 (May 2026), Gemini Nano bundled: zero download in your bundle, but Chrome-desktop-only, requires &gt;4GB VRAM and 22GB free disk, model can be evicted. Floor staff run Android tablets/kiosks — inapplicable.</w:t>
      </w:r>
    </w:p>
    <w:bookmarkEnd w:id="23"/>
    <w:bookmarkStart w:id="24" w:name="recommended-path-phased"/>
    <w:p>
      <w:pPr>
        <w:pStyle w:val="2"/>
      </w:pPr>
      <w:r>
        <w:t xml:space="preserve">Recommended path (phased)</w:t>
      </w:r>
    </w:p>
    <w:p>
      <w:pPr>
        <w:pStyle w:val="FirstParagraph"/>
      </w:pPr>
      <w:r>
        <w:rPr>
          <w:b/>
          <w:bCs/>
        </w:rPr>
        <w:t xml:space="preserve">Phase 0 — Benchmark (decision gate, ~1–2 days):</w:t>
      </w:r>
      <w:r>
        <w:t xml:space="preserve"> </w:t>
      </w:r>
      <w:r>
        <w:t xml:space="preserve">Stand up Ollama on any machine with a GPU (or rented GPU hour). Run the existing corpus harness against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(text) and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gemma3:12b</w:t>
      </w:r>
      <w:r>
        <w:t xml:space="preserve"> </w:t>
      </w:r>
      <w:r>
        <w:t xml:space="preserve">(vision) on the spec-parse and matching routes. Compare against the PR #81 Gemini baseline. Decide keep/switch per route — a hybrid (local for cheap matching, Gemini for full extraction) is fully legitimate.</w:t>
      </w:r>
    </w:p>
    <w:p>
      <w:pPr>
        <w:pStyle w:val="a0"/>
      </w:pPr>
      <w:r>
        <w:rPr>
          <w:b/>
          <w:bCs/>
        </w:rPr>
        <w:t xml:space="preserve">Phase 1 — Adapter swap:</w:t>
      </w:r>
      <w:r>
        <w:t xml:space="preserve"> </w:t>
      </w:r>
      <w:r>
        <w:t xml:space="preserve">Rewrite</w:t>
      </w:r>
      <w:r>
        <w:t xml:space="preserve"> </w:t>
      </w:r>
      <w:r>
        <w:rPr>
          <w:rStyle w:val="VerbatimChar"/>
        </w:rPr>
        <w:t xml:space="preserve">@workspace/integrations-openai-ai-server</w:t>
      </w:r>
      <w:r>
        <w:t xml:space="preserve"> </w:t>
      </w:r>
      <w:r>
        <w:t xml:space="preserve">internals as an OpenAI-compatible client with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; keep</w:t>
      </w:r>
      <w:r>
        <w:t xml:space="preserve"> </w:t>
      </w:r>
      <w:r>
        <w:rPr>
          <w:rStyle w:val="VerbatimChar"/>
        </w:rPr>
        <w:t xml:space="preserve">pickModel</w:t>
      </w:r>
      <w:r>
        <w:t xml:space="preserve"> </w:t>
      </w:r>
      <w:r>
        <w:t xml:space="preserve">mapping to local model names; preserve the vi.mock contract (every test mock must still export</w:t>
      </w:r>
      <w:r>
        <w:t xml:space="preserve"> </w:t>
      </w:r>
      <w:r>
        <w:rPr>
          <w:rStyle w:val="VerbatimChar"/>
        </w:rPr>
        <w:t xml:space="preserve">pickModel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Phase 2 — Hardening:</w:t>
      </w:r>
      <w:r>
        <w:t xml:space="preserve"> </w:t>
      </w:r>
      <w:r>
        <w:t xml:space="preserve">readiness dependency on the model host; cost-limit middleware reinterpreted as concurrency/RAM guards; corpus benchmark wired into CI as the acceptance gate (the audit already names this artifact);</w:t>
      </w:r>
      <w:r>
        <w:t xml:space="preserve"> </w:t>
      </w:r>
      <w:r>
        <w:rPr>
          <w:rStyle w:val="VerbatimChar"/>
        </w:rPr>
        <w:t xml:space="preserve">SPEC_PARSE_VERSION</w:t>
      </w:r>
      <w:r>
        <w:t xml:space="preserve"> </w:t>
      </w:r>
      <w:r>
        <w:t xml:space="preserve">bump; keep Gemini behind an env flag as optional fallback during the transition (this is also the sanctioned cross-provider fallback from the #11 research).</w:t>
      </w:r>
    </w:p>
    <w:p>
      <w:pPr>
        <w:pStyle w:val="a0"/>
      </w:pPr>
      <w:r>
        <w:rPr>
          <w:b/>
          <w:bCs/>
        </w:rPr>
        <w:t xml:space="preserve">Phase 3 — Decommission external AI (optional):</w:t>
      </w:r>
      <w:r>
        <w:t xml:space="preserve"> </w:t>
      </w:r>
      <w:r>
        <w:t xml:space="preserve">remove Gemini env vars from Render, delete the</w:t>
      </w:r>
      <w:r>
        <w:t xml:space="preserve"> </w:t>
      </w:r>
      <w:r>
        <w:rPr>
          <w:rStyle w:val="VerbatimChar"/>
        </w:rPr>
        <w:t xml:space="preserve">@google/genai</w:t>
      </w:r>
      <w:r>
        <w:t xml:space="preserve"> </w:t>
      </w:r>
      <w:r>
        <w:t xml:space="preserve">dependency, retire Replit AI Integration.</w:t>
      </w:r>
    </w:p>
    <w:bookmarkEnd w:id="24"/>
    <w:bookmarkStart w:id="25" w:name="non-goals-do-not"/>
    <w:p>
      <w:pPr>
        <w:pStyle w:val="2"/>
      </w:pPr>
      <w:r>
        <w:t xml:space="preserve">Non-goals / do-not</w:t>
      </w:r>
    </w:p>
    <w:p>
      <w:pPr>
        <w:pStyle w:val="Compact"/>
        <w:numPr>
          <w:ilvl w:val="0"/>
          <w:numId w:val="1001"/>
        </w:numPr>
      </w:pPr>
      <w:r>
        <w:t xml:space="preserve">Do not put a 1B-class browser model on the spec-parse path (quality floor is the product).</w:t>
      </w:r>
    </w:p>
    <w:p>
      <w:pPr>
        <w:pStyle w:val="Compact"/>
        <w:numPr>
          <w:ilvl w:val="0"/>
          <w:numId w:val="1001"/>
        </w:numPr>
      </w:pPr>
      <w:r>
        <w:t xml:space="preserve">Do not co-locate the model on Render web instances (RAM/GPU).</w:t>
      </w:r>
    </w:p>
    <w:p>
      <w:pPr>
        <w:pStyle w:val="Compact"/>
        <w:numPr>
          <w:ilvl w:val="0"/>
          <w:numId w:val="1001"/>
        </w:numPr>
      </w:pPr>
      <w:r>
        <w:t xml:space="preserve">Do not skip the corpus benchmark — the 2026-09-05 audit made it the acceptance standard for exactly this kind of change.</w:t>
      </w:r>
    </w:p>
    <w:bookmarkEnd w:id="25"/>
    <w:bookmarkStart w:id="26" w:name="sources"/>
    <w:p>
      <w:pPr>
        <w:pStyle w:val="2"/>
      </w:pPr>
      <w:r>
        <w:t xml:space="preserve">Sources</w:t>
      </w:r>
    </w:p>
    <w:p>
      <w:pPr>
        <w:pStyle w:val="Compact"/>
        <w:numPr>
          <w:ilvl w:val="0"/>
          <w:numId w:val="1002"/>
        </w:numPr>
      </w:pPr>
      <w:r>
        <w:t xml:space="preserve">Run an LLM Inside a Browser Tab (Pinggy, 2026-09-20) — WebLLM 0.2.85, Transformers.js 4.3.0, WebGPU matrix, Chrome Prompt API</w:t>
      </w:r>
    </w:p>
    <w:p>
      <w:pPr>
        <w:pStyle w:val="Compact"/>
        <w:numPr>
          <w:ilvl w:val="0"/>
          <w:numId w:val="1002"/>
        </w:numPr>
      </w:pPr>
      <w:r>
        <w:t xml:space="preserve">Transformers.js vs Web-LLM (Zen van Riel, 2026-05-06) — LLM vs non-LLM task split</w:t>
      </w:r>
    </w:p>
    <w:p>
      <w:pPr>
        <w:pStyle w:val="Compact"/>
        <w:numPr>
          <w:ilvl w:val="0"/>
          <w:numId w:val="1002"/>
        </w:numPr>
      </w:pPr>
      <w:r>
        <w:t xml:space="preserve">llama.cpp vs Ollama in 2026 (glukhov.org, 2026-09-11) — runtime comparison, migration path</w:t>
      </w:r>
    </w:p>
    <w:p>
      <w:pPr>
        <w:pStyle w:val="Compact"/>
        <w:numPr>
          <w:ilvl w:val="0"/>
          <w:numId w:val="1002"/>
        </w:numPr>
      </w:pPr>
      <w:r>
        <w:t xml:space="preserve">Ollama vs llama.cpp (aiagentskit, 2026-03-02) — ~1.8× throughput delta, multimodal matrix</w:t>
      </w:r>
    </w:p>
    <w:p>
      <w:pPr>
        <w:pStyle w:val="Compact"/>
        <w:numPr>
          <w:ilvl w:val="0"/>
          <w:numId w:val="1002"/>
        </w:numPr>
      </w:pPr>
      <w:r>
        <w:t xml:space="preserve">Running LLMs Locally in 2026 (daily.dev, 2026-03-24) — OpenAI SDK base_url swap pattern, hardware needs</w:t>
      </w:r>
    </w:p>
    <w:bookmarkEnd w:id="26"/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2026-09-27T04:00:14Z</dcterms:created>
  <dcterms:modified xsi:type="dcterms:W3CDTF">2026-09-27T04:00:14Z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-20260927120014","ReservedCode1":"","ContentPropagator":"001191110108MACG2KBH8F20000","PropagateID":"daipljk8k36dhc750sf0-1a0b7e70-0c02-85d8-8000-0923a27389c5-20260927120014","ReservedCode2":""}</vt:lpwstr>
  </property>
</Properties>
</file>